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A2C7D" w14:textId="77777777" w:rsidR="00F50CD8" w:rsidRDefault="00000000">
      <w:pPr>
        <w:spacing w:afterLines="50" w:after="156" w:line="360" w:lineRule="auto"/>
        <w:jc w:val="center"/>
        <w:rPr>
          <w:rFonts w:ascii="宋体" w:eastAsia="宋体" w:hAnsi="宋体" w:cs="宋体" w:hint="eastAsia"/>
          <w:b/>
          <w:bCs/>
          <w:sz w:val="32"/>
          <w:szCs w:val="32"/>
        </w:rPr>
      </w:pPr>
      <w:r>
        <w:rPr>
          <w:rFonts w:ascii="宋体" w:eastAsia="宋体" w:hAnsi="宋体" w:cs="宋体" w:hint="eastAsia"/>
          <w:b/>
          <w:bCs/>
          <w:sz w:val="32"/>
          <w:szCs w:val="32"/>
        </w:rPr>
        <w:t>风险合</w:t>
      </w:r>
      <w:proofErr w:type="gramStart"/>
      <w:r>
        <w:rPr>
          <w:rFonts w:ascii="宋体" w:eastAsia="宋体" w:hAnsi="宋体" w:cs="宋体" w:hint="eastAsia"/>
          <w:b/>
          <w:bCs/>
          <w:sz w:val="32"/>
          <w:szCs w:val="32"/>
        </w:rPr>
        <w:t>规</w:t>
      </w:r>
      <w:proofErr w:type="gramEnd"/>
      <w:r>
        <w:rPr>
          <w:rFonts w:ascii="宋体" w:eastAsia="宋体" w:hAnsi="宋体" w:cs="宋体" w:hint="eastAsia"/>
          <w:b/>
          <w:bCs/>
          <w:sz w:val="32"/>
          <w:szCs w:val="32"/>
        </w:rPr>
        <w:t>类</w:t>
      </w:r>
    </w:p>
    <w:p w14:paraId="33499034" w14:textId="77777777" w:rsidR="00F50CD8" w:rsidRDefault="00000000">
      <w:pPr>
        <w:spacing w:afterLines="50" w:after="156" w:line="360" w:lineRule="auto"/>
        <w:jc w:val="center"/>
        <w:rPr>
          <w:rFonts w:ascii="宋体" w:eastAsia="宋体" w:hAnsi="宋体" w:cs="宋体" w:hint="eastAsia"/>
          <w:b/>
          <w:bCs/>
          <w:sz w:val="32"/>
          <w:szCs w:val="32"/>
        </w:rPr>
      </w:pPr>
      <w:r>
        <w:rPr>
          <w:rFonts w:ascii="宋体" w:eastAsia="宋体" w:hAnsi="宋体" w:cs="宋体" w:hint="eastAsia"/>
          <w:b/>
          <w:bCs/>
          <w:sz w:val="32"/>
          <w:szCs w:val="32"/>
        </w:rPr>
        <w:t>法律法规规范性文件</w:t>
      </w:r>
    </w:p>
    <w:p w14:paraId="282DD7BC" w14:textId="77777777" w:rsidR="00F50CD8" w:rsidRDefault="00000000">
      <w:pPr>
        <w:spacing w:afterLines="50" w:after="156" w:line="360" w:lineRule="auto"/>
        <w:ind w:firstLineChars="200" w:firstLine="482"/>
        <w:outlineLvl w:val="1"/>
        <w:rPr>
          <w:rFonts w:ascii="宋体" w:eastAsia="宋体" w:hAnsi="宋体" w:cs="宋体" w:hint="eastAsia"/>
          <w:b/>
          <w:bCs/>
          <w:sz w:val="24"/>
        </w:rPr>
      </w:pPr>
      <w:r>
        <w:rPr>
          <w:rFonts w:ascii="宋体" w:eastAsia="宋体" w:hAnsi="宋体" w:cs="宋体" w:hint="eastAsia"/>
          <w:b/>
          <w:bCs/>
          <w:sz w:val="24"/>
        </w:rPr>
        <w:t>1.《中华人民共和国反不正当竞争法（2019修正）》</w:t>
      </w:r>
    </w:p>
    <w:p w14:paraId="01BA0D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发文机构：全国人大常委会    文号：中华人民共和国主席令第29号</w:t>
      </w:r>
    </w:p>
    <w:p w14:paraId="59AAAF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（1993年9月2日第八届全国人民代表大会常务委员会第三次会议通过　2017年11月4日第十二届全国人民代表大会常务委员会第三十次会议修订　根据2019年4月23日第十三届全国人民代表大会常务委员会第十次会议《关于修改〈中华人民共和国建筑法〉等八部法律的决定》修正）</w:t>
      </w:r>
    </w:p>
    <w:p w14:paraId="0408DC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630ADB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为了促进社会主义市场经济健康发展，鼓励和保护公平竞争，制止不正当竞争行为，保护经营者和消费者的合法权益，制定本法。</w:t>
      </w:r>
    </w:p>
    <w:p w14:paraId="32962D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经营者在生产经营活动中，应当遵循自愿、平等、公平、诚信的原则，遵守法律和商业道德。</w:t>
      </w:r>
    </w:p>
    <w:p w14:paraId="46615F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本法所称的不正当竞争行为，是指经营者在生产经营活动中，违反本法规定，扰乱市场竞争秩序，损害其他经营者或者消费者的合法权益的行为。</w:t>
      </w:r>
    </w:p>
    <w:p w14:paraId="208CBA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本法所称的经营者，是指从事商品生产、经营或者提供服务（以下所称商品包括服务）的自然人、法人和非法人组织。</w:t>
      </w:r>
    </w:p>
    <w:p w14:paraId="51E558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各级人民政府应当采取措施，制止不正当竞争行为，为公平竞争创造良好的环境和条件。</w:t>
      </w:r>
    </w:p>
    <w:p w14:paraId="6682FC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国务院建立反不正当竞争工作协调机制，研究决定反不正当竞争重大政策，协调处理维护市场竞争秩序的重大问题。</w:t>
      </w:r>
    </w:p>
    <w:p w14:paraId="4A150E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县级以上人民政府履行工商行政管理职责的部门对不正当竞争行为进行查处；法律、行政法规规定由其他部门查处的，依照其规定。</w:t>
      </w:r>
    </w:p>
    <w:p w14:paraId="24DD14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国家鼓励、支持和保护一切组织和个人对不正当竞争行为进行社会</w:t>
      </w:r>
      <w:r>
        <w:rPr>
          <w:rFonts w:ascii="宋体" w:eastAsia="宋体" w:hAnsi="宋体" w:cs="宋体" w:hint="eastAsia"/>
          <w:sz w:val="24"/>
        </w:rPr>
        <w:lastRenderedPageBreak/>
        <w:t>监督。</w:t>
      </w:r>
    </w:p>
    <w:p w14:paraId="507B03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国家机关及其工作人员不得支持、包庇不正当竞争行为。</w:t>
      </w:r>
    </w:p>
    <w:p w14:paraId="1A4FA9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行业组织应当加强行业自律，引导、规范会员依法竞争，维护市场竞争秩序。</w:t>
      </w:r>
    </w:p>
    <w:p w14:paraId="7D18E0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不正当竞争行为</w:t>
      </w:r>
    </w:p>
    <w:p w14:paraId="3E6217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经营者不得实施下列混淆行为，引人误认为是他人商品或者与他人存在特定联系：</w:t>
      </w:r>
    </w:p>
    <w:p w14:paraId="543823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（一）擅自使用与他人有一定影响的商品名称、包装、装潢等相同或者近似的标识；</w:t>
      </w:r>
    </w:p>
    <w:p w14:paraId="08AD8A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（二）擅自使用他人有一定影响的企业名称（包括简称、字号等）、社会组织名称（包括简称等）、姓名（包括笔名、艺名、译名等）；</w:t>
      </w:r>
    </w:p>
    <w:p w14:paraId="04ABC1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（三）擅自使用他人有一定影响的域名主体部分、网站名称、网页等；</w:t>
      </w:r>
    </w:p>
    <w:p w14:paraId="4C3CF0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（四）其他足以引人误认为是他人商品或者与他人存在</w:t>
      </w:r>
      <w:proofErr w:type="gramStart"/>
      <w:r>
        <w:rPr>
          <w:rFonts w:ascii="宋体" w:eastAsia="宋体" w:hAnsi="宋体" w:cs="宋体" w:hint="eastAsia"/>
          <w:sz w:val="24"/>
        </w:rPr>
        <w:t>特定联系</w:t>
      </w:r>
      <w:proofErr w:type="gramEnd"/>
      <w:r>
        <w:rPr>
          <w:rFonts w:ascii="宋体" w:eastAsia="宋体" w:hAnsi="宋体" w:cs="宋体" w:hint="eastAsia"/>
          <w:sz w:val="24"/>
        </w:rPr>
        <w:t>的混淆行为。</w:t>
      </w:r>
    </w:p>
    <w:p w14:paraId="58D5F6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经营者不得采用财物或者其他手段贿赂下列单位或者个人，以谋取交易机会或者竞争优势：</w:t>
      </w:r>
    </w:p>
    <w:p w14:paraId="236594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（一）交易相对方的工作人员；</w:t>
      </w:r>
    </w:p>
    <w:p w14:paraId="0B06A4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（二）受交易相对方委托办理相关事务的单位或者个人；</w:t>
      </w:r>
    </w:p>
    <w:p w14:paraId="18D8AD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（三）利用职权或者影响力影响交易的单位或者个人。</w:t>
      </w:r>
    </w:p>
    <w:p w14:paraId="4B88D2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经营者在交易活动中，可以以明示方式向交易相对方支付折扣，或者向中间人支付佣金。经营者向交易相对方支付折扣、向中间人支付佣金的，应当如实入账。接受折扣、佣金的经营者也应当如实入账。</w:t>
      </w:r>
    </w:p>
    <w:p w14:paraId="5AF3CB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经营者的工作人员进行贿赂的，应当认定为经营者的行为；但是，经营者有证据证明该工作人员的行为与为经营者谋取交易机会或者竞争优势无关的除外。</w:t>
      </w:r>
    </w:p>
    <w:p w14:paraId="55C0E5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经营者不得对其商品的性能、功能、质量、销售状况、用户评价、曾获荣誉等作虚假或者引人误解的商业宣传，欺骗、误导消费者。</w:t>
      </w:r>
    </w:p>
    <w:p w14:paraId="6420C4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经营者不得通过组织虚假交易等方式，帮助其他经营者进行虚假或者引人误解的商业宣传。</w:t>
      </w:r>
    </w:p>
    <w:p w14:paraId="581957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经营者不得实施下列侵犯商业秘密的行为：</w:t>
      </w:r>
    </w:p>
    <w:p w14:paraId="5F4D52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（一）以盗窃、贿赂、欺诈、胁迫、电子侵入或者其他不正当手段获取权利人的商业秘密；</w:t>
      </w:r>
    </w:p>
    <w:p w14:paraId="3470D9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（二）披露、使用或者允许他人使用以前项手段获取的权利人的商业秘密；</w:t>
      </w:r>
    </w:p>
    <w:p w14:paraId="684F2F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（三）违反保密义务或者违反权利人有关保守商业秘密的要求，披露、使用或者允许他人使用其所掌握的商业秘密；</w:t>
      </w:r>
    </w:p>
    <w:p w14:paraId="40D2D2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（四）教唆、引诱、帮助他人违反保密义务或者违反权利人有关保守商业秘密的要求，获取、披露、使用或者允许他人使用权利人的商业秘密。</w:t>
      </w:r>
    </w:p>
    <w:p w14:paraId="72D325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经营者以外的其他自然人、法人和非法人组织实施前款所列违法行为的，视为侵犯商业秘密。</w:t>
      </w:r>
    </w:p>
    <w:p w14:paraId="294277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第三人明知或者应</w:t>
      </w:r>
      <w:proofErr w:type="gramStart"/>
      <w:r>
        <w:rPr>
          <w:rFonts w:ascii="宋体" w:eastAsia="宋体" w:hAnsi="宋体" w:cs="宋体" w:hint="eastAsia"/>
          <w:sz w:val="24"/>
        </w:rPr>
        <w:t>知商业</w:t>
      </w:r>
      <w:proofErr w:type="gramEnd"/>
      <w:r>
        <w:rPr>
          <w:rFonts w:ascii="宋体" w:eastAsia="宋体" w:hAnsi="宋体" w:cs="宋体" w:hint="eastAsia"/>
          <w:sz w:val="24"/>
        </w:rPr>
        <w:t>秘密权利人的员工、前员工或者其他单位、个人实施本条第一款所列违法行为，仍获取、披露、使用或者允许他人使用该商业秘密的，视为侵犯商业秘密。</w:t>
      </w:r>
    </w:p>
    <w:p w14:paraId="75E431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本法所称的商业秘密，是指不为公众所知悉、具有商业价值并经权利人采取相应保密措施的技术信息、经营信息等商业信息。</w:t>
      </w:r>
    </w:p>
    <w:p w14:paraId="4E538D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经营者进行有奖销售不得存在下列情形：</w:t>
      </w:r>
    </w:p>
    <w:p w14:paraId="7659CA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（一）所设奖的种类、兑奖条件、奖金金额或者奖品等有奖销售信息不明确，影响兑奖；</w:t>
      </w:r>
    </w:p>
    <w:p w14:paraId="6DAA70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（二）采用谎称有奖或者故意让内定人员中奖的欺骗方式进行有奖销售；</w:t>
      </w:r>
    </w:p>
    <w:p w14:paraId="3E9A91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（三）抽奖式的有奖销售，最高奖的金额超过五万元。</w:t>
      </w:r>
    </w:p>
    <w:p w14:paraId="4AC114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经营者不得编造、传播虚假信息或者误导性信息，损害竞争对手的商业信誉、商品声誉。</w:t>
      </w:r>
    </w:p>
    <w:p w14:paraId="6C3FAE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经营者利用网络从事生产经营活动，应当遵守本法的各项规定。</w:t>
      </w:r>
    </w:p>
    <w:p w14:paraId="620840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经营者不得利用技术手段，通过影响用户选择或者其他方式，实施下列妨碍、破坏其他经营者合法提供的网络产品或者服务正常运行的行为：</w:t>
      </w:r>
    </w:p>
    <w:p w14:paraId="71AF46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（一）未经其他经营者同意，在其合法提供的网络产品或者服务中，插入链接、强制进行目标跳转；</w:t>
      </w:r>
    </w:p>
    <w:p w14:paraId="6C3EA8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（二）误导、欺骗、强迫用户修改、关闭、卸载其他经营者合法提供的网络产品或者服务；</w:t>
      </w:r>
    </w:p>
    <w:p w14:paraId="3AC519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（三）恶意对其他经营者合法提供的网络产品或者服务实施不兼容；</w:t>
      </w:r>
    </w:p>
    <w:p w14:paraId="366AC5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（四）其他妨碍、破坏其他经营者合法提供的网络产品或者服务正常运行的行为。</w:t>
      </w:r>
    </w:p>
    <w:p w14:paraId="39311C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对涉嫌不正当竞争行为的调查</w:t>
      </w:r>
    </w:p>
    <w:p w14:paraId="2C2824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监督检查部门调查涉嫌不正当竞争行为，可以采取下列措施：</w:t>
      </w:r>
    </w:p>
    <w:p w14:paraId="1B1891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（一）进入涉嫌不正当竞争行为的经营场所进行检查；</w:t>
      </w:r>
    </w:p>
    <w:p w14:paraId="188F20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（二）询问被调查的经营者、利害关系人及其他有关单位、个人，要求其说明有关情况或者提供与被调查行为有关的其他资料；</w:t>
      </w:r>
    </w:p>
    <w:p w14:paraId="45EACA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（三）查询、复制与涉嫌不正当竞争行为有关的协议、账簿、单据、文件、记录、业务函电和其他资料；</w:t>
      </w:r>
    </w:p>
    <w:p w14:paraId="5B5B92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（四）查封、扣押与涉嫌不正当竞争行为有关的财物；</w:t>
      </w:r>
    </w:p>
    <w:p w14:paraId="63138E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（五）查询涉嫌不正当竞争行为的经营者的银行账户。</w:t>
      </w:r>
    </w:p>
    <w:p w14:paraId="003DC2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采取前款规定的措施，应当向监督检查部门主要负责人书面报告，并经批准。采取前款第四项、第五项规定的措施，应当向设区的市级以上人民政府监督检查部门主要负责人书面报告，并经批准。</w:t>
      </w:r>
    </w:p>
    <w:p w14:paraId="5C4EDA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监督检查部门调查涉嫌不正当竞争行为，应当遵守《中华人民共和国行政强制法》和其他有关法律、行政法规的规定，并应当将查处结果及时向社会公开。</w:t>
      </w:r>
    </w:p>
    <w:p w14:paraId="58330C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监督检查部门调查涉嫌不正当竞争行为，被调查的经营者、利害关系人及其他有关单位、个人应当如实提供有关资料或者情况。</w:t>
      </w:r>
    </w:p>
    <w:p w14:paraId="397079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第十五条　监督检查部门及其工作人员对调查过程中知悉的商业秘密负有保密义务。</w:t>
      </w:r>
    </w:p>
    <w:p w14:paraId="2AF318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对涉嫌不正当竞争行为，任何单位和个人有权向监督检查部门举报，监督检查部门接到举报后应当依法及时处理。</w:t>
      </w:r>
    </w:p>
    <w:p w14:paraId="4AF6DB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监督检查部门应当向社会公开受理举报的电话、信箱或者电子邮件地址，并为举报人保密。对实名举报并提供相关事实和证据的，监督检查部门应当将处理结果告知举报人。</w:t>
      </w:r>
    </w:p>
    <w:p w14:paraId="7B6094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法律责任</w:t>
      </w:r>
    </w:p>
    <w:p w14:paraId="432723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经营者违反本法规定，给他人造成损害的，应当依法承担民事责任。</w:t>
      </w:r>
    </w:p>
    <w:p w14:paraId="4F9AD5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经营者的合法权益受到不正当竞争行为损害的，可以向人民法院提起诉讼。</w:t>
      </w:r>
    </w:p>
    <w:p w14:paraId="01EC41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因不正当竞争行为受到损害的经营者的赔偿数额，按照其因被侵权所受到的实际损失确定；实际损失难以计算的，按照侵权人因侵权所获得的利益确定。经营者恶意实施侵犯商业秘密行为，情节严重的，可以在按照上述方法确定数额的一倍以上五倍以下确定赔偿数额。赔偿数额还应当包括经营者为制止侵权行为所支付的合理开支。</w:t>
      </w:r>
    </w:p>
    <w:p w14:paraId="5F90BC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经营者违反本法第六条、第九条规定，权利人因被侵权所受到的实际损失、侵权人因侵权所获得的利益难以确定的，由人民法院根据侵权行为的情节判决给予权利人五百万元以下的赔偿。</w:t>
      </w:r>
    </w:p>
    <w:p w14:paraId="4EAE6C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经营者违反本法第六条规定实施混淆行为的，由监督检查部门责令停止违法行为，没收违法商品。违法经营额五万元以上的，可以并处违法经营额五倍以下的罚款；没有违法经营额或者违法经营额不足五万元的，可以并处二十五万元以下的罚款。情节严重的，吊销营业执照。</w:t>
      </w:r>
    </w:p>
    <w:p w14:paraId="14791B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经营者登记的企业名称违反本法第六条规定的，应当及时办理名称变更登记；名称变更前，由原企业登记机关以统一社会信用代码代替其名称。</w:t>
      </w:r>
    </w:p>
    <w:p w14:paraId="052A2B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经营者违反本法第七条规定贿赂他人的，由监督检查部门没收违</w:t>
      </w:r>
      <w:r>
        <w:rPr>
          <w:rFonts w:ascii="宋体" w:eastAsia="宋体" w:hAnsi="宋体" w:cs="宋体" w:hint="eastAsia"/>
          <w:sz w:val="24"/>
        </w:rPr>
        <w:lastRenderedPageBreak/>
        <w:t>法所得，处十万元以上三百万元以下的罚款。情节严重的，吊销营业执照。</w:t>
      </w:r>
    </w:p>
    <w:p w14:paraId="3DD79C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w:t>
      </w:r>
    </w:p>
    <w:p w14:paraId="138E12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经营者违反本法第八条规定，属于发布虚假广告的，依照《中华人民共和国广告法》的规定处罚。</w:t>
      </w:r>
    </w:p>
    <w:p w14:paraId="4C5C47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经营者以及其他自然人、法人和非法人组织违反本法第九条规定侵犯商业秘密的，由监督检查部门责令停止违法行为，没收违法所得，处十万元以上一百万元以下的罚款；情节严重的，处五十万元以上五百万元以下的罚款。</w:t>
      </w:r>
    </w:p>
    <w:p w14:paraId="0B273D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经营者违反本法第十条规定进行有奖销售的，由监督检查部门责令停止违法行为，处五万元以上五十万元以下的罚款。</w:t>
      </w:r>
    </w:p>
    <w:p w14:paraId="7B5F94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经营者违反本法第十一条规定损害竞争对手商业信誉、商品声誉的，由监督检查部门责令停止违法行为、消除影响，处十万元以上五十万元以下的罚款；情节严重的，处五十万元以上三百万元以下的罚款。</w:t>
      </w:r>
    </w:p>
    <w:p w14:paraId="1CCE7A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经营者违反本法第十二条规定妨碍、破坏其他经营者合法提供的网络产品或者服务正常运行的，由监督检查部门责令停止违法行为，处十万元以上五十万元以下的罚款；情节严重的，处五十万元以上三百万元以下的罚款。</w:t>
      </w:r>
    </w:p>
    <w:p w14:paraId="384DF7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经营者违反本法规定从事不正当竞争，有主动消除或者减轻违法行为危害后果等法定情形的，依法从轻或者减轻行政处罚；违法行为轻微并及时纠正，没有造成危害后果的，不予行政处罚。</w:t>
      </w:r>
    </w:p>
    <w:p w14:paraId="22211A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经营者违反本法规定从事不正当竞争，受到行政处罚的，由监督检查部门记入信用记录，并依照有关法律、行政法规的规定予以公示。</w:t>
      </w:r>
    </w:p>
    <w:p w14:paraId="6AEF55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经营者违反本法规定，应当承担民事责任、行政责任和刑事责任，其财产不足以支付的，优先用于承担民事责任。</w:t>
      </w:r>
    </w:p>
    <w:p w14:paraId="7AA778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妨害监督检查部门依照本法履行职责，拒绝、阻碍调查的，由</w:t>
      </w:r>
      <w:r>
        <w:rPr>
          <w:rFonts w:ascii="宋体" w:eastAsia="宋体" w:hAnsi="宋体" w:cs="宋体" w:hint="eastAsia"/>
          <w:sz w:val="24"/>
        </w:rPr>
        <w:lastRenderedPageBreak/>
        <w:t>监督检查部门责令改正，对个人可以处五千元以下的罚款，对单位可以处五万元以下的罚款，并可以由公安机关依法给予治安管理处罚。</w:t>
      </w:r>
    </w:p>
    <w:p w14:paraId="05C5F1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当事人对监督检查部门</w:t>
      </w:r>
      <w:proofErr w:type="gramStart"/>
      <w:r>
        <w:rPr>
          <w:rFonts w:ascii="宋体" w:eastAsia="宋体" w:hAnsi="宋体" w:cs="宋体" w:hint="eastAsia"/>
          <w:sz w:val="24"/>
        </w:rPr>
        <w:t>作出</w:t>
      </w:r>
      <w:proofErr w:type="gramEnd"/>
      <w:r>
        <w:rPr>
          <w:rFonts w:ascii="宋体" w:eastAsia="宋体" w:hAnsi="宋体" w:cs="宋体" w:hint="eastAsia"/>
          <w:sz w:val="24"/>
        </w:rPr>
        <w:t>的决定不服的，可以依法申请行政复议或者提起行政诉讼。</w:t>
      </w:r>
    </w:p>
    <w:p w14:paraId="15DE28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监督检查部门的工作人员滥用职权、玩忽职守、徇私舞弊或者泄露调查过程中知悉的商业秘密的，依法给予处分。</w:t>
      </w:r>
    </w:p>
    <w:p w14:paraId="06C19A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违反本法规定，构成犯罪的，依法追究刑事责任。</w:t>
      </w:r>
    </w:p>
    <w:p w14:paraId="4C5467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在侵犯商业秘密的民事审判程序中，商业秘密权利人提供初步证据，证明其已经对所主张的商业秘密采取保密措施，且合理表明商业秘密被侵犯，涉嫌侵权人应当证明权利人所主张的商业秘密不属于本法规定的商业秘密。</w:t>
      </w:r>
    </w:p>
    <w:p w14:paraId="5D0603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商业秘密权利人提供初步证据合理表明商业秘密被侵犯，且提供以下证据之一的，涉嫌侵权人应当证明其不存在侵犯商业秘密的行为：</w:t>
      </w:r>
    </w:p>
    <w:p w14:paraId="4AD0B2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（一）有证据表明涉嫌侵权人有渠道或者机会获取商业秘密，且其使用的信息与该商业秘密实质上相同；</w:t>
      </w:r>
    </w:p>
    <w:p w14:paraId="43653C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（二）有证据表明商业秘密已经被涉嫌侵权人披露、使用或者有被披露、使用的风险；</w:t>
      </w:r>
    </w:p>
    <w:p w14:paraId="1DBE68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（三）有其他证据表明商业秘密被涉嫌侵权人侵犯。</w:t>
      </w:r>
    </w:p>
    <w:p w14:paraId="2CC3F6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附则</w:t>
      </w:r>
    </w:p>
    <w:p w14:paraId="74DCBA32" w14:textId="77777777" w:rsidR="00F50CD8" w:rsidRDefault="00000000">
      <w:pPr>
        <w:spacing w:afterLines="50" w:after="156" w:line="360" w:lineRule="auto"/>
        <w:ind w:firstLineChars="200" w:firstLine="480"/>
        <w:rPr>
          <w:rFonts w:ascii="宋体" w:eastAsia="宋体" w:hAnsi="宋体" w:cs="宋体" w:hint="eastAsia"/>
          <w:sz w:val="24"/>
        </w:rPr>
        <w:sectPr w:rsidR="00F50CD8">
          <w:footerReference w:type="default" r:id="rId7"/>
          <w:pgSz w:w="11906" w:h="16838"/>
          <w:pgMar w:top="1440" w:right="1800" w:bottom="1440" w:left="1800" w:header="851" w:footer="992" w:gutter="0"/>
          <w:cols w:space="425"/>
          <w:docGrid w:type="lines" w:linePitch="312"/>
        </w:sectPr>
      </w:pPr>
      <w:r>
        <w:rPr>
          <w:rFonts w:ascii="宋体" w:eastAsia="宋体" w:hAnsi="宋体" w:cs="宋体" w:hint="eastAsia"/>
          <w:sz w:val="24"/>
        </w:rPr>
        <w:t>第三十三条　本法自2018年1月1日起施行。</w:t>
      </w:r>
    </w:p>
    <w:p w14:paraId="52E009B2"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2.《中华人民共和国民法典》</w:t>
      </w:r>
    </w:p>
    <w:p w14:paraId="77E0E3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发文机构：全国人民代表大会    文号：中华人民共和国主席令第45号</w:t>
      </w:r>
    </w:p>
    <w:p w14:paraId="0983BC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《中华人民共和国民法典》已由中华人民共和国第十三届全国人民代表大会第三次会议于2020年5月28日通过，现予公布，自2021年1月1日起施行。    </w:t>
      </w:r>
    </w:p>
    <w:p w14:paraId="1DD5EF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第一编　总则</w:t>
      </w:r>
    </w:p>
    <w:p w14:paraId="334AFD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基本规定</w:t>
      </w:r>
    </w:p>
    <w:p w14:paraId="5EF563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为了保护民事主体的合法权益，调整民事关系，维护社会和经济秩序，适应中国特色社会主义发展要求，弘扬社会主义核心价值观，根据宪法，制定本法。</w:t>
      </w:r>
    </w:p>
    <w:p w14:paraId="070559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民法调整平等主体的自然人、法人和非法人组织之间的人身关系和财产关系。</w:t>
      </w:r>
    </w:p>
    <w:p w14:paraId="735698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民事主体的人身权利、财产权利以及其他合法权益受法律保护，任何组织或者个人不得侵犯。</w:t>
      </w:r>
    </w:p>
    <w:p w14:paraId="5C125B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民事主体在民事活动中的法律地位一律平等。</w:t>
      </w:r>
    </w:p>
    <w:p w14:paraId="474158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民事主体从事民事活动，应当遵循自愿原则，按照自己的意思设立、变更、终止民事法律关系。</w:t>
      </w:r>
    </w:p>
    <w:p w14:paraId="30E5FC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民事主体从事民事活动，应当遵循公平原则，合理确定各方的权利和义务。</w:t>
      </w:r>
    </w:p>
    <w:p w14:paraId="021017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民事主体从事民事活动，应当遵循诚信原则，秉持诚实，恪守承诺。</w:t>
      </w:r>
    </w:p>
    <w:p w14:paraId="3E529E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民事主体从事民事活动，不得违反法律，不得违背公序良俗。</w:t>
      </w:r>
    </w:p>
    <w:p w14:paraId="02A5E9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民事主体从事民事活动，应当有利于节约资源、保护生态环境。</w:t>
      </w:r>
    </w:p>
    <w:p w14:paraId="31EFEA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处理民事纠纷，应当依照法律；法律没有规定的，可以适用习惯，但是不得违背公序良俗。</w:t>
      </w:r>
    </w:p>
    <w:p w14:paraId="5BFB41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其他法律对民事关系有特别规定的，依照其规定。</w:t>
      </w:r>
    </w:p>
    <w:p w14:paraId="51079D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第十二条　中华人民共和国领域内的民事活动，适用中华人民共和国法律。法律另有规定的，依照其规定。</w:t>
      </w:r>
    </w:p>
    <w:p w14:paraId="2C451A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自然人</w:t>
      </w:r>
    </w:p>
    <w:p w14:paraId="720BED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民事权利能力和民事行为能力</w:t>
      </w:r>
    </w:p>
    <w:p w14:paraId="4EAAC2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自然人从出生时起到死亡时止，具有民事权利能力，依法享有民事权利，承担民事义务。</w:t>
      </w:r>
    </w:p>
    <w:p w14:paraId="07F72D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自然人的民事权利能力一律平等。</w:t>
      </w:r>
    </w:p>
    <w:p w14:paraId="30897A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自然人的出生时间和死亡时间，以出生证明、死亡证明记载的时间为准；没有出生证明、死亡证明的，以户籍登记或者其他有效身份登记记载的时间为准。有其他证据足以推翻以上记载时间的，以该证据证明的时间为准。</w:t>
      </w:r>
    </w:p>
    <w:p w14:paraId="253B29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涉及遗产继承、接受赠与等胎儿利益保护的，胎儿视为具有民事权利能力。但是，胎儿娩出时为死体的，其民事权利能力自始不存在。</w:t>
      </w:r>
    </w:p>
    <w:p w14:paraId="69C376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十八周岁以上的自然人为成年人。不满十八周岁的自然人为未成年人。</w:t>
      </w:r>
    </w:p>
    <w:p w14:paraId="0AB583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成年人为完全民事行为能力人，可以独立实施民事法律行为。</w:t>
      </w:r>
    </w:p>
    <w:p w14:paraId="706FF7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十六周岁以上的未成年人，以自己的劳动收入为主要生活来源的，视为完全民事行为能力人。</w:t>
      </w:r>
    </w:p>
    <w:p w14:paraId="1264F2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八周岁以上的未成年人为限制民事行为能力人，实施民事法律行为由其法定代理人代理或者经其法定代理人同意、追认；但是，可以独立实施纯获利益的民事法律行为或者与其年龄、智力相适应的民事法律行为。</w:t>
      </w:r>
    </w:p>
    <w:p w14:paraId="45AAB2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不满八周岁的未成年人为无民事行为能力人，由其法定代理人代理实施民事法律行为。</w:t>
      </w:r>
    </w:p>
    <w:p w14:paraId="409F62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不能辨认自己行为的成年人为无民事行为能力人，由其法定代理人代理实施民事法律行为。</w:t>
      </w:r>
    </w:p>
    <w:p w14:paraId="3D9F16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八周岁以上的未成年人不能辨认自己行为的，适用前款规定。</w:t>
      </w:r>
    </w:p>
    <w:p w14:paraId="1B41B5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第二十二条　不能完全辨认自己行为的成年人为限制民事行为能力人，实施民事法律行为由其法定代理人代理或者经其法定代理人同意、追认；但是，可以独立实施纯获利益的民事法律行为或者与其智力、精神健康状况相适应的民事法律行为。</w:t>
      </w:r>
    </w:p>
    <w:p w14:paraId="42E3E9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无民事行为能力人、限制民事行为能力人的监护人是其法定代理人。</w:t>
      </w:r>
    </w:p>
    <w:p w14:paraId="3C77D4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不能辨认或者不能完全辨认自己行为的成年人，其利害关系人或者有关组织，可以向人民法院申请认定该成年人为无民事行为能力人或者限制民事行为能力人。</w:t>
      </w:r>
    </w:p>
    <w:p w14:paraId="5C1593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被人民法院认定为无民事行为能力人或者限制民事行为能力人的，经本人、利害关系人或者有关组织申请，人民法院可以根据其智力、精神健康恢复的状况，认定该成年人恢复为限制民事行为能力人或者完全民事行为能力人。</w:t>
      </w:r>
    </w:p>
    <w:p w14:paraId="42D04A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本条规定的有关组织包括：居民委员会、村民委员会、学校、医疗机构、妇女联合会、残疾人联合会、依法设立的老年人组织、民政部门等。</w:t>
      </w:r>
    </w:p>
    <w:p w14:paraId="4BB53F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自然人以户籍登记或者其他有效身份登记记载的居所为住所；经常居所与住所不一致的，经常居所视为住所。</w:t>
      </w:r>
    </w:p>
    <w:p w14:paraId="035E1B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监护</w:t>
      </w:r>
    </w:p>
    <w:p w14:paraId="4C4391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父母对未成年子女负有抚养、教育和保护的义务。</w:t>
      </w:r>
    </w:p>
    <w:p w14:paraId="573318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成年子女对父母负有赡养、扶助和保护的义务。</w:t>
      </w:r>
    </w:p>
    <w:p w14:paraId="5E4856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父母是未成年子女的监护人。</w:t>
      </w:r>
    </w:p>
    <w:p w14:paraId="183A08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未成年人的父母已经死亡或者没有监护能力的，由下列有监护能力的人按顺序担任监护人：</w:t>
      </w:r>
    </w:p>
    <w:p w14:paraId="0568B0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（一）祖父母、外祖父母；</w:t>
      </w:r>
    </w:p>
    <w:p w14:paraId="1C3592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（二）兄、姐；</w:t>
      </w:r>
    </w:p>
    <w:p w14:paraId="4E5053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（三）其他愿意担任监护人的个人或者组织，但是须经未成年人住所地的居</w:t>
      </w:r>
      <w:r>
        <w:rPr>
          <w:rFonts w:ascii="宋体" w:eastAsia="宋体" w:hAnsi="宋体" w:cs="宋体" w:hint="eastAsia"/>
          <w:sz w:val="24"/>
        </w:rPr>
        <w:lastRenderedPageBreak/>
        <w:t>民委员会、村民委员会或者民政部门同意。</w:t>
      </w:r>
    </w:p>
    <w:p w14:paraId="7AAB8A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无民事行为能力或者限制民事行为能力的成年人，由下列有监护能力的人按顺序担任监护人：</w:t>
      </w:r>
    </w:p>
    <w:p w14:paraId="21E6B4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（一）配偶；</w:t>
      </w:r>
    </w:p>
    <w:p w14:paraId="2AB3C3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（二）父母、子女；</w:t>
      </w:r>
    </w:p>
    <w:p w14:paraId="4D58CA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（三）其他近亲属；</w:t>
      </w:r>
    </w:p>
    <w:p w14:paraId="626CB6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（四）其他愿意担任监护人的个人或者组织，但是须经被监护人住所地的居民委员会、村民委员会或者民政部门同意。</w:t>
      </w:r>
    </w:p>
    <w:p w14:paraId="7FA3B5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被监护人的父母担任监护人的，可以通过遗嘱指定监护人。</w:t>
      </w:r>
    </w:p>
    <w:p w14:paraId="468757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依法具有监护资格的人之间可以协议确定监护人。协议确定监护人应当尊重被监护人的真实意愿。</w:t>
      </w:r>
    </w:p>
    <w:p w14:paraId="5137CD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对监护人的确定有争议的，由被监护人住所地的居民委员会、村民委员会或者民政部门指定监护人，有关当事人对指定不服的，可以向人民法院申请指定监护人；有关当事人也可以直接向人民法院申请指定监护人。</w:t>
      </w:r>
    </w:p>
    <w:p w14:paraId="64C69C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居民委员会、村民委员会、民政部门或者人民法院应当尊重被监护人的真实意愿，按照最有利于被监护人的原则在依法具有监护资格的人中指定监护人。</w:t>
      </w:r>
    </w:p>
    <w:p w14:paraId="326F99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依据本条第一款规定指定监护人前，被监护人的人身权利、财产权利以及其他合法权益处于无人保护状态的，由被监护人住所地的居民委员会、村民委员会、法律规定的有关组织或者民政部门担任临时监护人。</w:t>
      </w:r>
    </w:p>
    <w:p w14:paraId="7E5F73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监护人被指定后，不得擅自变更；擅自变更的，</w:t>
      </w:r>
      <w:proofErr w:type="gramStart"/>
      <w:r>
        <w:rPr>
          <w:rFonts w:ascii="宋体" w:eastAsia="宋体" w:hAnsi="宋体" w:cs="宋体" w:hint="eastAsia"/>
          <w:sz w:val="24"/>
        </w:rPr>
        <w:t>不</w:t>
      </w:r>
      <w:proofErr w:type="gramEnd"/>
      <w:r>
        <w:rPr>
          <w:rFonts w:ascii="宋体" w:eastAsia="宋体" w:hAnsi="宋体" w:cs="宋体" w:hint="eastAsia"/>
          <w:sz w:val="24"/>
        </w:rPr>
        <w:t>免除被指定的监护人的责任。</w:t>
      </w:r>
    </w:p>
    <w:p w14:paraId="2EEA45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没有依法具有监护资格的人的，监护人由民政部门担任，也可以由具备履行监护职责条件的被监护人住所地的居民委员会、村民委员会担任。</w:t>
      </w:r>
    </w:p>
    <w:p w14:paraId="6C85C5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具有完全民事行为能力的成年人，可以与其近亲属、其他愿意担任监护人的个人或者组织事先协商，以书面形式确定自己的监护人，在自己丧</w:t>
      </w:r>
      <w:r>
        <w:rPr>
          <w:rFonts w:ascii="宋体" w:eastAsia="宋体" w:hAnsi="宋体" w:cs="宋体" w:hint="eastAsia"/>
          <w:sz w:val="24"/>
        </w:rPr>
        <w:lastRenderedPageBreak/>
        <w:t>失或者部分丧失民事行为能力时，由该监护人履行监护职责。</w:t>
      </w:r>
    </w:p>
    <w:p w14:paraId="62F410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监护人的职责是代理被监护人实施民事法律行为，保护被监护人的人身权利、财产权利以及其他合法权益等。</w:t>
      </w:r>
    </w:p>
    <w:p w14:paraId="483C6F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监护人依法履行监护职责产生的权利，受法律保护。</w:t>
      </w:r>
    </w:p>
    <w:p w14:paraId="518DBD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监护人不履行监护职责或者侵害被监护人合法权益的，应当承担法律责任。</w:t>
      </w:r>
    </w:p>
    <w:p w14:paraId="45991B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因发生突发事件等紧急情况，监护人暂时无法履行监护职责，被监护人的生活处于无人照料状态的，被监护人住所地的居民委员会、村民委员会或者民政部门应当为被监护人安排必要的临时生活照料措施。</w:t>
      </w:r>
    </w:p>
    <w:p w14:paraId="1DC27C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监护人应当按照最有利于被监护人的原则履行监护职责。监护人除为维护被监护人利益外，不得处分被监护人的财产。</w:t>
      </w:r>
    </w:p>
    <w:p w14:paraId="4923FF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未成年人的监护人履行监护职责，在</w:t>
      </w:r>
      <w:proofErr w:type="gramStart"/>
      <w:r>
        <w:rPr>
          <w:rFonts w:ascii="宋体" w:eastAsia="宋体" w:hAnsi="宋体" w:cs="宋体" w:hint="eastAsia"/>
          <w:sz w:val="24"/>
        </w:rPr>
        <w:t>作出</w:t>
      </w:r>
      <w:proofErr w:type="gramEnd"/>
      <w:r>
        <w:rPr>
          <w:rFonts w:ascii="宋体" w:eastAsia="宋体" w:hAnsi="宋体" w:cs="宋体" w:hint="eastAsia"/>
          <w:sz w:val="24"/>
        </w:rPr>
        <w:t>与被监护人利益有关的决定时，应当根据被监护人的年龄和智力状况，尊重被监护人的真实意愿。</w:t>
      </w:r>
    </w:p>
    <w:p w14:paraId="051B3F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成年人的监护人履行监护职责，应当最大程度地尊重被监护人的真实意愿，保障并协助被监护人实施与其智力、精神健康状况相适应的民事法律行为。对被监护人有能力独立处理的事务，监护人不得干涉。</w:t>
      </w:r>
    </w:p>
    <w:p w14:paraId="014E2B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监护人有下列情形之一的，人民法院根据有关个人或者组织的申请，撤销其监护人资格，安排必要的临时监护措施，并按照最有利于被监护人的原则依法指定监护人：</w:t>
      </w:r>
    </w:p>
    <w:p w14:paraId="2EDD9D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（一）实施严重损害被监护人身心健康的行为；</w:t>
      </w:r>
    </w:p>
    <w:p w14:paraId="06EB3A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w:t>
      </w:r>
      <w:proofErr w:type="gramStart"/>
      <w:r>
        <w:rPr>
          <w:rFonts w:ascii="宋体" w:eastAsia="宋体" w:hAnsi="宋体" w:cs="宋体" w:hint="eastAsia"/>
          <w:sz w:val="24"/>
        </w:rPr>
        <w:t>怠</w:t>
      </w:r>
      <w:proofErr w:type="gramEnd"/>
      <w:r>
        <w:rPr>
          <w:rFonts w:ascii="宋体" w:eastAsia="宋体" w:hAnsi="宋体" w:cs="宋体" w:hint="eastAsia"/>
          <w:sz w:val="24"/>
        </w:rPr>
        <w:t>于履行监护职责，或者无法履行监护职责且拒绝将监护职责部分或者全部委托给他人，导致被监护人处于危困状态；</w:t>
      </w:r>
    </w:p>
    <w:p w14:paraId="091DEE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（三）实施严重侵害被监护人合法权益的其他行为。</w:t>
      </w:r>
    </w:p>
    <w:p w14:paraId="5C6019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本条规定的有关个人、组织包括：其他依法具有监护资格的人，居民委员会、村民委员会、学校、医疗机构、妇女联合会、残疾人联合会、未成年人保护组织、依法设立的老年人组织、民政部门等。</w:t>
      </w:r>
    </w:p>
    <w:p w14:paraId="6DC92E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前款规定的个人和民政部门以外的组织未及时向人民法院申请撤销监护人资格的，民政部门应当向人民法院申请。</w:t>
      </w:r>
    </w:p>
    <w:p w14:paraId="5A13B3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依法负担被监护人抚养费、赡养费、扶养费的父母、子女、配偶等，被人民法院撤销监护人资格后，应当继续履行负担的义务。</w:t>
      </w:r>
    </w:p>
    <w:p w14:paraId="40DED1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被监护人的父母或者子女被人民法院撤销监护人资格后，除对被监护人实施故意犯罪的外，确有悔改表现的，经其申请，人民法院可以在尊重被监护人真实意愿的前提下，视情况恢复其监护人资格，人民法院指定的监护人与被监护人的监护关系同时终止。</w:t>
      </w:r>
    </w:p>
    <w:p w14:paraId="3F1317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有下列情形之一的，监护关系终止：</w:t>
      </w:r>
    </w:p>
    <w:p w14:paraId="5A8AE1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（一）被监护人取得或者恢复完全民事行为能力；</w:t>
      </w:r>
    </w:p>
    <w:p w14:paraId="1D0560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（二）监护人丧失监护能力；</w:t>
      </w:r>
    </w:p>
    <w:p w14:paraId="7252C4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（三）被监护人或者监护人死亡；</w:t>
      </w:r>
    </w:p>
    <w:p w14:paraId="6C3A9B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（四）人民法院认定监护关系终止的其他情形。</w:t>
      </w:r>
    </w:p>
    <w:p w14:paraId="1F7206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监护关系终止后，被监护人仍然需要监护的，应当依法另行确定监护人。</w:t>
      </w:r>
    </w:p>
    <w:p w14:paraId="7479A6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第三节　宣告失踪和宣告死亡</w:t>
      </w:r>
    </w:p>
    <w:p w14:paraId="79EEAF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自然人下落不明满二年的，利害关系人可以向人民法院申请宣告该自然人为失踪人。</w:t>
      </w:r>
    </w:p>
    <w:p w14:paraId="54C7B4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自然人下落不明的时间自其失去音讯之日起计算。战争期间下落不明的，下落不明的时间自战争结束之日或者有关机关确定的下落不明之日起计算。</w:t>
      </w:r>
    </w:p>
    <w:p w14:paraId="0C72CD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失踪人的财产由其配偶、成年子女、父母或者其他愿意担任财产代管人的人代管。</w:t>
      </w:r>
    </w:p>
    <w:p w14:paraId="2B33C6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代管有争议，没有前款规定的人，或者前款规定的人无代管能力的，由人民法院指定的人代管。</w:t>
      </w:r>
    </w:p>
    <w:p w14:paraId="7C4A45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财产代管人应当妥善管理失踪人的财产，维护其财产权益。</w:t>
      </w:r>
    </w:p>
    <w:p w14:paraId="484A79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失踪人所欠税款、债务和应付的其他费用，由财产代管人从失踪人的财产中支付。</w:t>
      </w:r>
    </w:p>
    <w:p w14:paraId="6C370D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财产代管人因故意或者重大过失造成失踪人财产损失的，应当承担赔偿责任。</w:t>
      </w:r>
    </w:p>
    <w:p w14:paraId="1704DD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财产代管人不履行代管职责、侵害失踪人财产权益或者丧失代管能力的，失踪人的利害关系人可以向人民法院申请变更财产代管人。</w:t>
      </w:r>
    </w:p>
    <w:p w14:paraId="30B3F0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财产代管人有正当理由的，可以向人民法院申请变更财产代管人。</w:t>
      </w:r>
    </w:p>
    <w:p w14:paraId="021BFB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人民法院变更财产代管人的，变更后的财产代管人有权请求</w:t>
      </w:r>
      <w:proofErr w:type="gramStart"/>
      <w:r>
        <w:rPr>
          <w:rFonts w:ascii="宋体" w:eastAsia="宋体" w:hAnsi="宋体" w:cs="宋体" w:hint="eastAsia"/>
          <w:sz w:val="24"/>
        </w:rPr>
        <w:t>原财产</w:t>
      </w:r>
      <w:proofErr w:type="gramEnd"/>
      <w:r>
        <w:rPr>
          <w:rFonts w:ascii="宋体" w:eastAsia="宋体" w:hAnsi="宋体" w:cs="宋体" w:hint="eastAsia"/>
          <w:sz w:val="24"/>
        </w:rPr>
        <w:t>代管人及时移交有关财产并报告财产代管情况。</w:t>
      </w:r>
    </w:p>
    <w:p w14:paraId="06982F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失踪人重新出现，经本人或者利害关系人申请，人民法院应当撤销失踪宣告。</w:t>
      </w:r>
    </w:p>
    <w:p w14:paraId="17616D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失踪人重新出现，有权请求财产代管人及时移交有关财产并报告财产代管情况。</w:t>
      </w:r>
    </w:p>
    <w:p w14:paraId="0FB786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自然人有下列情形之一的，利害关系人可以向人民法院申请宣告该自然人死亡：</w:t>
      </w:r>
    </w:p>
    <w:p w14:paraId="0EC128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（一）下落不明满四年；</w:t>
      </w:r>
    </w:p>
    <w:p w14:paraId="233D8C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（二）因意外事件，下落不明满二年。</w:t>
      </w:r>
    </w:p>
    <w:p w14:paraId="0B484E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因意外事件下落不明，经有关机关证明该自然人不可能生存的，申请宣告死亡不受二年时间的限制。</w:t>
      </w:r>
    </w:p>
    <w:p w14:paraId="6FE501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对同一自然人，有的利害关系人申请宣告死亡，有的利害关系人申请宣告失踪，符合本法规定的宣告死亡条件的，人民法院应当宣告死亡。</w:t>
      </w:r>
    </w:p>
    <w:p w14:paraId="3F773C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被宣告死亡的人，人民法院宣告死亡的判决</w:t>
      </w:r>
      <w:proofErr w:type="gramStart"/>
      <w:r>
        <w:rPr>
          <w:rFonts w:ascii="宋体" w:eastAsia="宋体" w:hAnsi="宋体" w:cs="宋体" w:hint="eastAsia"/>
          <w:sz w:val="24"/>
        </w:rPr>
        <w:t>作出</w:t>
      </w:r>
      <w:proofErr w:type="gramEnd"/>
      <w:r>
        <w:rPr>
          <w:rFonts w:ascii="宋体" w:eastAsia="宋体" w:hAnsi="宋体" w:cs="宋体" w:hint="eastAsia"/>
          <w:sz w:val="24"/>
        </w:rPr>
        <w:t>之日视为其死亡的日期；因意外事件下落不明宣告死亡的，意外事件发生之日视为其死亡的日期。</w:t>
      </w:r>
    </w:p>
    <w:p w14:paraId="5C6302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第四十九条　自然人被宣告死亡但是并未死亡的，不影响该自然人在被宣告死亡期间实施的民事法律行为的效力。</w:t>
      </w:r>
    </w:p>
    <w:p w14:paraId="5D5DCD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第五十条　被宣告死亡的人重新出现，经本人或者利害关系人申请，人民法院应当撤销死亡宣告。</w:t>
      </w:r>
    </w:p>
    <w:p w14:paraId="729ABD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第五十一条　被宣告死亡的人的婚姻关系，</w:t>
      </w:r>
      <w:proofErr w:type="gramStart"/>
      <w:r>
        <w:rPr>
          <w:rFonts w:ascii="宋体" w:eastAsia="宋体" w:hAnsi="宋体" w:cs="宋体" w:hint="eastAsia"/>
          <w:sz w:val="24"/>
        </w:rPr>
        <w:t>自死亡</w:t>
      </w:r>
      <w:proofErr w:type="gramEnd"/>
      <w:r>
        <w:rPr>
          <w:rFonts w:ascii="宋体" w:eastAsia="宋体" w:hAnsi="宋体" w:cs="宋体" w:hint="eastAsia"/>
          <w:sz w:val="24"/>
        </w:rPr>
        <w:t>宣告之日起消除。死亡宣告被撤销的，婚姻关系自撤销死亡宣告之日起自行恢复。但是，其配偶再婚或者向婚姻登记机关书面声明不愿意恢复的除外。</w:t>
      </w:r>
    </w:p>
    <w:p w14:paraId="3562A5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第五十二条　被宣告死亡的人在被宣告死亡期间，其子女被他人依法收养的，在死亡宣告被撤销后，不得以未经本人同意为由主张收养行为无效。</w:t>
      </w:r>
    </w:p>
    <w:p w14:paraId="247490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第五十三条　被撤销死亡宣告的人有权请求依照本法第六</w:t>
      </w:r>
      <w:proofErr w:type="gramStart"/>
      <w:r>
        <w:rPr>
          <w:rFonts w:ascii="宋体" w:eastAsia="宋体" w:hAnsi="宋体" w:cs="宋体" w:hint="eastAsia"/>
          <w:sz w:val="24"/>
        </w:rPr>
        <w:t>编取得</w:t>
      </w:r>
      <w:proofErr w:type="gramEnd"/>
      <w:r>
        <w:rPr>
          <w:rFonts w:ascii="宋体" w:eastAsia="宋体" w:hAnsi="宋体" w:cs="宋体" w:hint="eastAsia"/>
          <w:sz w:val="24"/>
        </w:rPr>
        <w:t>其财产的民事主体返还财产；无法返还的，应当给予适当补偿。</w:t>
      </w:r>
    </w:p>
    <w:p w14:paraId="26D44B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利害关系人隐瞒真实情况，致使他人被宣告死亡而取得其财产的，除应当返还财产外，还应当对由此造成的损失承担赔偿责任。</w:t>
      </w:r>
    </w:p>
    <w:p w14:paraId="396370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第四节　个体工商户和农村承包经营户</w:t>
      </w:r>
    </w:p>
    <w:p w14:paraId="36E9AB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第五十四条　自然人从事工商业经营，经依法登记，为个体工商户。个体工商户可以起字号。</w:t>
      </w:r>
    </w:p>
    <w:p w14:paraId="3D54E7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第五十五条　农村集体经济组织的成员，依法取得农村土地承包经营权，从事家庭承包经营的，为农村承包经营户。</w:t>
      </w:r>
    </w:p>
    <w:p w14:paraId="7D4691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第五十六条　个体工商户的债务，个人经营的，以个人财产承担；家庭经营的，以家庭财产承担；无法区分的，以家庭财产承担。</w:t>
      </w:r>
    </w:p>
    <w:p w14:paraId="175949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农村承包经营户的债务，以从事农村土地承包经营的农户财产承担；事实上由农户部分成员经营的，以该部分成员的财产承担。</w:t>
      </w:r>
    </w:p>
    <w:p w14:paraId="57573F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法人</w:t>
      </w:r>
    </w:p>
    <w:p w14:paraId="492F84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一般规定</w:t>
      </w:r>
    </w:p>
    <w:p w14:paraId="3EF864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第五十七条　法人是具有民事权利能力和民事行为能力，依法独立享有民事权利和承担民事义务的组织。</w:t>
      </w:r>
    </w:p>
    <w:p w14:paraId="5A3361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第五十八条　法人应当依法成立。</w:t>
      </w:r>
    </w:p>
    <w:p w14:paraId="002118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法人应当有自己的名称、组织机构、住所、财产或者经费。法人成立的具体条件和程序，依照法律、行政法规的规定。</w:t>
      </w:r>
    </w:p>
    <w:p w14:paraId="10C55C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设立法人，法律、行政法规规定须经有关机关批准的，依照其规定。</w:t>
      </w:r>
    </w:p>
    <w:p w14:paraId="7E8589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第五十九条　法人的民事权利能力和民事行为能力，从法人成立时产生，到法人终止时消灭。</w:t>
      </w:r>
    </w:p>
    <w:p w14:paraId="63F5EC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第六十条　法人以其全部财产独立承担民事责任。</w:t>
      </w:r>
    </w:p>
    <w:p w14:paraId="6C8C33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第六十一条　依照法律或者法人章程的规定，代表法人从事民事活动的负责人，为法人的法定代表人。</w:t>
      </w:r>
    </w:p>
    <w:p w14:paraId="59A25F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法定代表人以法人名义从事的民事活动，其法律后果由法人承受。</w:t>
      </w:r>
    </w:p>
    <w:p w14:paraId="452BCD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法人章程或者法人权力机构对法定代表人代表权的限制，不得对抗善意相对人。</w:t>
      </w:r>
    </w:p>
    <w:p w14:paraId="3C81E4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第六十二条　法定代表人因执行职务造成他人损害的，由法人承担民事责任。</w:t>
      </w:r>
    </w:p>
    <w:p w14:paraId="5E156B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法人承担民事责任后，依照法律或者法人章程的规定，可以向有过错的法定代表人追偿。</w:t>
      </w:r>
    </w:p>
    <w:p w14:paraId="76C65B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第六十三条　法人以其主要办事机构所在地为住所。依法需要办理法人登记的，应当将主要办事机构所在地登记为住所。</w:t>
      </w:r>
    </w:p>
    <w:p w14:paraId="32B445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第六十四条　法人存续期间登记事项发生变化的，应当依法向登记机关申请变更登记。</w:t>
      </w:r>
    </w:p>
    <w:p w14:paraId="48CA39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第六十五条　法人的实际情况与登记的事项不一致的，不得对抗善意相对人。</w:t>
      </w:r>
    </w:p>
    <w:p w14:paraId="111B0F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第六十六条　登记机关应当依法及时公示法人登记的有关信息。</w:t>
      </w:r>
    </w:p>
    <w:p w14:paraId="56346C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第六十七条　法人合并的，其权利和义务由合并后的法人享有和承担。</w:t>
      </w:r>
    </w:p>
    <w:p w14:paraId="342909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法人分立的，其权利和义务由分立后的法人享有连带债权，承担连带债务，但是债权人和债务人另有约定的除外。</w:t>
      </w:r>
    </w:p>
    <w:p w14:paraId="255397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第六十八条　有下列原因之一并依法完成清算、注销登记的，法人终止：</w:t>
      </w:r>
    </w:p>
    <w:p w14:paraId="12F5D0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（一）法人解散；</w:t>
      </w:r>
    </w:p>
    <w:p w14:paraId="7B3B69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（二）法人被宣告破产；</w:t>
      </w:r>
    </w:p>
    <w:p w14:paraId="314EFB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（三）法律规定的其他原因。</w:t>
      </w:r>
    </w:p>
    <w:p w14:paraId="3E1282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法人终止，法律、行政法规规定须经有关机关批准的，依照其规定。</w:t>
      </w:r>
    </w:p>
    <w:p w14:paraId="67350D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第六十九条　有下列情形之一的，法人解散：</w:t>
      </w:r>
    </w:p>
    <w:p w14:paraId="795B32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（一）法人章程规定的存续期间届满或者法人章程规定的其他解散事由出现；</w:t>
      </w:r>
    </w:p>
    <w:p w14:paraId="3AABE0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（二）法人的权力机构决议解散；</w:t>
      </w:r>
    </w:p>
    <w:p w14:paraId="6EBEAD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（三）因法人合并或者分立需要解散；</w:t>
      </w:r>
    </w:p>
    <w:p w14:paraId="2406BD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（四）法人依法被吊销营业执照、登记证书，被责令关闭或者被撤销；</w:t>
      </w:r>
    </w:p>
    <w:p w14:paraId="31ADAB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（五）法律规定的其他情形。</w:t>
      </w:r>
    </w:p>
    <w:p w14:paraId="6EAAC1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第七十条　法人解散的，除合并或者分立的情形外，清算义务人应当及时组成清算组进行清算。</w:t>
      </w:r>
    </w:p>
    <w:p w14:paraId="27CC44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法人的董事、理事等执行机构或者决策机构的成员为清算义务人。法律、行政法规另有规定的，依照其规定。</w:t>
      </w:r>
    </w:p>
    <w:p w14:paraId="627649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清算义务人未及时履行清算义务，造成损害的，应当承担民事责任；主管机关或者利害关系人可以申请人民法院指定有关人员组成清算组进行清算。</w:t>
      </w:r>
    </w:p>
    <w:p w14:paraId="6EFBEA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第七十一条　法人的清算程序和清算组职权，依照有关法律的规定；没有规定的，参照适用公司法律的有关规定。</w:t>
      </w:r>
    </w:p>
    <w:p w14:paraId="5159E3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第七十二条　清算期间法人存续，但是不得从事与清算无关的活动。</w:t>
      </w:r>
    </w:p>
    <w:p w14:paraId="007F1B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法人清算后的剩余财产，按照法人章程的规定或者法人权力机构的决议处理。法律另有规定的，依照其规定。</w:t>
      </w:r>
    </w:p>
    <w:p w14:paraId="2745CF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清算结束并完成法人注销登记时，法人终止；依法不需要办理法人登记的，清算结束时，法人终止。</w:t>
      </w:r>
    </w:p>
    <w:p w14:paraId="3C44AB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第七十三条　法人被宣告破产的，依法进行破产清算并完成法人注销登记时，</w:t>
      </w:r>
      <w:r>
        <w:rPr>
          <w:rFonts w:ascii="宋体" w:eastAsia="宋体" w:hAnsi="宋体" w:cs="宋体" w:hint="eastAsia"/>
          <w:sz w:val="24"/>
        </w:rPr>
        <w:lastRenderedPageBreak/>
        <w:t>法人终止。</w:t>
      </w:r>
    </w:p>
    <w:p w14:paraId="3181A9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第七十四条　法人可以依法设立分支机构。法律、行政法规规定分支机构应当登记的，依照其规定。</w:t>
      </w:r>
    </w:p>
    <w:p w14:paraId="5654E5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分支机构以自己的名义从事民事活动，产生的民事责任由法人承担；也可以先以该分支机构管理的财产承担，不足以承担的，由法人承担。</w:t>
      </w:r>
    </w:p>
    <w:p w14:paraId="11EC5D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第七十五条　设立人为设立法人从事的民事活动，其法律后果由法人承受；法人未成立的，其法律后果由设立人承受，设立人为二人以上的，享有连带债权，承担连带债务。</w:t>
      </w:r>
    </w:p>
    <w:p w14:paraId="33D999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设立人为设立法人以自己的名义从事民事活动产生的民事责任，第三人有权选择请求法人或者设立人承担。</w:t>
      </w:r>
    </w:p>
    <w:p w14:paraId="3DF35D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营利法人</w:t>
      </w:r>
    </w:p>
    <w:p w14:paraId="3C677A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第七十六条　以取得利润并分配给股东等出资人为目的成立的法人，为营利法人。</w:t>
      </w:r>
    </w:p>
    <w:p w14:paraId="68C727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营利法人包括有限责任公司、股份有限公司和其他企业法人等。</w:t>
      </w:r>
    </w:p>
    <w:p w14:paraId="3B36DB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第七十七条　营利法人经依法登记成立。</w:t>
      </w:r>
    </w:p>
    <w:p w14:paraId="429C8F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第七十八条　依法设立的营利法人，由登记机关发给营利法人营业执照。营业执照签发日期为营利法人的成立日期。</w:t>
      </w:r>
    </w:p>
    <w:p w14:paraId="0B3C53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第七十九条　设立营利法人应当依法制定法人章程。</w:t>
      </w:r>
    </w:p>
    <w:p w14:paraId="245F9E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第八十条　营利法人应当</w:t>
      </w:r>
      <w:proofErr w:type="gramStart"/>
      <w:r>
        <w:rPr>
          <w:rFonts w:ascii="宋体" w:eastAsia="宋体" w:hAnsi="宋体" w:cs="宋体" w:hint="eastAsia"/>
          <w:sz w:val="24"/>
        </w:rPr>
        <w:t>设权力</w:t>
      </w:r>
      <w:proofErr w:type="gramEnd"/>
      <w:r>
        <w:rPr>
          <w:rFonts w:ascii="宋体" w:eastAsia="宋体" w:hAnsi="宋体" w:cs="宋体" w:hint="eastAsia"/>
          <w:sz w:val="24"/>
        </w:rPr>
        <w:t>机构。</w:t>
      </w:r>
    </w:p>
    <w:p w14:paraId="0346C1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权力机构行使修改法人章程，选举或者更换执行机构、监督机构成员，以及法人章程规定的其他职权。</w:t>
      </w:r>
    </w:p>
    <w:p w14:paraId="4C71E4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第八十一条　营利法人应当设执行机构。</w:t>
      </w:r>
    </w:p>
    <w:p w14:paraId="485E0A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执行机构行使召集权力机构会议，决定法人的经营计划和投资方案，决定法人内部管理机构的设置，以及法人章程规定的其他职权。</w:t>
      </w:r>
    </w:p>
    <w:p w14:paraId="5ACF53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执行机构为董事会或者执行董事的，董事长、执行董事或者经理按照法人章程的规定担任法定代表人；未设董事会或者执行董事的，法人章程规定的主要负责人为其执行机构和法定代表人。</w:t>
      </w:r>
    </w:p>
    <w:p w14:paraId="5EB1D1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第八十二条　营利法人设监事会或者监事等监督机构的，监督机构依法行使检查法人财务，监督执行机构成员、高级管理人员执行法人职务的行为，以及法人章程规定的其他职权。</w:t>
      </w:r>
    </w:p>
    <w:p w14:paraId="66BAE7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第八十三条　营利法人的出资人不得滥用出资人权利损害法人或者其他出资人的利益；滥用出资人权利造成法人或者其他出资人损失的，应当依法承担民事责任。</w:t>
      </w:r>
    </w:p>
    <w:p w14:paraId="2B617A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营利法人的出资人不得滥用法人独立地位和出资人有限责任损害法人债权人的利益；滥用法人独立地位和出资人有限责任，逃避债务，严重损害法人债权人的利益的，应当对法人债务承担连带责任。</w:t>
      </w:r>
    </w:p>
    <w:p w14:paraId="55B0A0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第八十四条　营利法人的控股出资人、实际控制人、董事、监事、高级管理人员不得利用其关联关系损害法人的利益；利用关联关系造成法人损失的，应当承担赔偿责任。</w:t>
      </w:r>
    </w:p>
    <w:p w14:paraId="741B76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第八十五条　营利法人的权力机构、执行机构</w:t>
      </w:r>
      <w:proofErr w:type="gramStart"/>
      <w:r>
        <w:rPr>
          <w:rFonts w:ascii="宋体" w:eastAsia="宋体" w:hAnsi="宋体" w:cs="宋体" w:hint="eastAsia"/>
          <w:sz w:val="24"/>
        </w:rPr>
        <w:t>作出</w:t>
      </w:r>
      <w:proofErr w:type="gramEnd"/>
      <w:r>
        <w:rPr>
          <w:rFonts w:ascii="宋体" w:eastAsia="宋体" w:hAnsi="宋体" w:cs="宋体" w:hint="eastAsia"/>
          <w:sz w:val="24"/>
        </w:rPr>
        <w:t>决议的会议召集程序、表决方式违反法律、行政法规、法人章程，或者决议内容违反法人章程的，营利法人的出资人可以请求人民法院撤销该决议。但是，营利法人依据该决议与善意相对人形成的民事法律关系不受影响。</w:t>
      </w:r>
    </w:p>
    <w:p w14:paraId="5CB103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第八十六条　营利法人从事经营活动，应当遵守商业道德，维护交易安全，接受政府和社会的监督，承担社会责任。</w:t>
      </w:r>
    </w:p>
    <w:p w14:paraId="0DF28B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第三节　非营利法人</w:t>
      </w:r>
    </w:p>
    <w:p w14:paraId="2CCC53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第八十七条　为公益目的或者其他非营利目的成立，不向出资人、设立人或者会员分配所取得利润的法人，为非营利法人。</w:t>
      </w:r>
    </w:p>
    <w:p w14:paraId="3599F1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非营利法人包括事业单位、社会团体、基金会、社会服务机构等。</w:t>
      </w:r>
    </w:p>
    <w:p w14:paraId="6DE429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第八十八条　具备法人条件，为适应经济社会发展需要，提供公益服务设立</w:t>
      </w:r>
      <w:r>
        <w:rPr>
          <w:rFonts w:ascii="宋体" w:eastAsia="宋体" w:hAnsi="宋体" w:cs="宋体" w:hint="eastAsia"/>
          <w:sz w:val="24"/>
        </w:rPr>
        <w:lastRenderedPageBreak/>
        <w:t>的事业单位，经依法登记成立，取得事业单位法人资格；依法不需要办理法人登记的，从成立之日起，具有事业单位法人资格。</w:t>
      </w:r>
    </w:p>
    <w:p w14:paraId="651D04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第八十九条　事业单位法人设理事会的，除法律另有规定外，理事会为其决策机构。事业单位法人的法定代表人依照法律、行政法规或者法人章程的规定产生。</w:t>
      </w:r>
    </w:p>
    <w:p w14:paraId="254F64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第九十条　具备法人条件，基于会员共同意愿，为公益目的或者会员共同利益等非营利目的设立的社会团体，经依法登记成立，取得社会团体法人资格；依法不需要办理法人登记的，从成立之日起，具有社会团体法人资格。</w:t>
      </w:r>
    </w:p>
    <w:p w14:paraId="71CAA0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第九十一条　设立社会团体法人应当依法制定法人章程。</w:t>
      </w:r>
    </w:p>
    <w:p w14:paraId="057D12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社会团体法人应当设会员大会或者会员代表大会等权力机构。</w:t>
      </w:r>
    </w:p>
    <w:p w14:paraId="2A498E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社会团体法人应当设理事会等执行机构。理事长或者会长等负责人按照法人章程的规定担任法定代表人。</w:t>
      </w:r>
    </w:p>
    <w:p w14:paraId="62EF01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第九十二条　具备法人条件，为公益目的以捐助财产设立的基金会、社会服务机构等，经依法登记成立，取得捐助法人资格。</w:t>
      </w:r>
    </w:p>
    <w:p w14:paraId="062601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依法设立的宗教活动场所，具备法人条件的，可以申请法人登记，取得捐助法人资格。法律、行政法规对宗教活动场所有规定的，依照其规定。</w:t>
      </w:r>
    </w:p>
    <w:p w14:paraId="7B21C7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第九十三条　设立捐助法人应当依法制定法人章程。</w:t>
      </w:r>
    </w:p>
    <w:p w14:paraId="59FE12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捐助法人应当设理事会、民主管理组织等决策机构，并设执行机构。理事长等负责人按照法人章程的规定担任法定代表人。</w:t>
      </w:r>
    </w:p>
    <w:p w14:paraId="03084F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捐助法人应当设监事会等监督机构。</w:t>
      </w:r>
    </w:p>
    <w:p w14:paraId="70D236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第九十四条　捐助人有权向捐助法人查询捐助财产的使用、管理情况，并提出意见和建议，捐助法人应当及时、如实答复。</w:t>
      </w:r>
    </w:p>
    <w:p w14:paraId="4B9045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捐助法人的决策机构、执行机构或者法定代表人</w:t>
      </w:r>
      <w:proofErr w:type="gramStart"/>
      <w:r>
        <w:rPr>
          <w:rFonts w:ascii="宋体" w:eastAsia="宋体" w:hAnsi="宋体" w:cs="宋体" w:hint="eastAsia"/>
          <w:sz w:val="24"/>
        </w:rPr>
        <w:t>作出</w:t>
      </w:r>
      <w:proofErr w:type="gramEnd"/>
      <w:r>
        <w:rPr>
          <w:rFonts w:ascii="宋体" w:eastAsia="宋体" w:hAnsi="宋体" w:cs="宋体" w:hint="eastAsia"/>
          <w:sz w:val="24"/>
        </w:rPr>
        <w:t>决定的程序违反法律、行政法规、法人章程，或者决定内容违反法人章程的，捐助人等利害关系人或者主管机关可以请求人民法院撤销该决定。但是，捐助法人依据该决定与善意相对</w:t>
      </w:r>
      <w:r>
        <w:rPr>
          <w:rFonts w:ascii="宋体" w:eastAsia="宋体" w:hAnsi="宋体" w:cs="宋体" w:hint="eastAsia"/>
          <w:sz w:val="24"/>
        </w:rPr>
        <w:lastRenderedPageBreak/>
        <w:t>人形成的民事法律关系不受影响。</w:t>
      </w:r>
    </w:p>
    <w:p w14:paraId="78BA04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第九十五条　为公益目的成立的非营利法人终止时，不得向出资人、设立人或者会员分配剩余财产。剩余财产应当按照法人章程的规定或者权力机构的决议用于公益目的；无法按照法人章程的规定或者权力机构的决议处理的，由主管机关主持转给宗旨相同或者相近的法人，并向社会公告。</w:t>
      </w:r>
    </w:p>
    <w:p w14:paraId="133FC4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第四节　特别法人</w:t>
      </w:r>
    </w:p>
    <w:p w14:paraId="107100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第九十六条　本节规定的机关法人、农村集体经济组织法人、城镇农村的合作经济组织法人、基层群众性自治组织法人，为特别法人。</w:t>
      </w:r>
    </w:p>
    <w:p w14:paraId="5A262B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第九十七条　有独立经费的机关和承担行政职能的法定机构从成立之日起，具有机关法人资格，可以从事为履行职能所需要的民事活动。</w:t>
      </w:r>
    </w:p>
    <w:p w14:paraId="054E3C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第九十八条　机关法人被撤销的，法人终止，其民事权利和义务由继任的机关法人享有和承担；没有继任的机关法人的，由</w:t>
      </w:r>
      <w:proofErr w:type="gramStart"/>
      <w:r>
        <w:rPr>
          <w:rFonts w:ascii="宋体" w:eastAsia="宋体" w:hAnsi="宋体" w:cs="宋体" w:hint="eastAsia"/>
          <w:sz w:val="24"/>
        </w:rPr>
        <w:t>作出</w:t>
      </w:r>
      <w:proofErr w:type="gramEnd"/>
      <w:r>
        <w:rPr>
          <w:rFonts w:ascii="宋体" w:eastAsia="宋体" w:hAnsi="宋体" w:cs="宋体" w:hint="eastAsia"/>
          <w:sz w:val="24"/>
        </w:rPr>
        <w:t>撤销决定的机关法人享有和承担。</w:t>
      </w:r>
    </w:p>
    <w:p w14:paraId="256E56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第九十九条　农村集体经济组织依法取得法人资格。</w:t>
      </w:r>
    </w:p>
    <w:p w14:paraId="14F7B9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法律、行政法规对农村集体经济组织有规定的，依照其规定。</w:t>
      </w:r>
    </w:p>
    <w:p w14:paraId="7EA075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第一百条　城镇农村的合作经济组织依法取得法人资格。</w:t>
      </w:r>
    </w:p>
    <w:p w14:paraId="6CCF0C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法律、行政法规对城镇农村的合作经济组织有规定的，依照其规定。</w:t>
      </w:r>
    </w:p>
    <w:p w14:paraId="5E2AA2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第一百零一条　居民委员会、村民委员会具有基层群众性自治组织法人资格，可以从事为履行职能所需要的民事活动。</w:t>
      </w:r>
    </w:p>
    <w:p w14:paraId="24A287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未设立村集体经济组织的，村民委员会可以依法代行村集体经济组织的职能。</w:t>
      </w:r>
    </w:p>
    <w:p w14:paraId="0A462C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非法人组织</w:t>
      </w:r>
    </w:p>
    <w:p w14:paraId="41231F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第一百零二条　非法人组织是不具有法人资格，但是能够依法以自己的名义从事民事活动的组织。</w:t>
      </w:r>
    </w:p>
    <w:p w14:paraId="7B7A4E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非法人组织包括个人独资企业、合伙企业、不具有法人资格的专业服务机构等。</w:t>
      </w:r>
    </w:p>
    <w:p w14:paraId="1E1129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第一百零三条　非法人组织应当依照法律的规定登记。</w:t>
      </w:r>
    </w:p>
    <w:p w14:paraId="136A74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设立非法人组织，法律、行政法规规定须经有关机关批准的，依照其规定。</w:t>
      </w:r>
    </w:p>
    <w:p w14:paraId="760119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第一百零四条　非法人组织的财产不足以清偿债务的，其出资人或者设立人承担无限责任。法律另有规定的，依照其规定。</w:t>
      </w:r>
    </w:p>
    <w:p w14:paraId="234E04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第一百零五条　非法人组织可以确定一人或者数人代表该组织从事民事活动。</w:t>
      </w:r>
    </w:p>
    <w:p w14:paraId="03117D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第一百零六条　有下列情形之一的，非法人组织解散：</w:t>
      </w:r>
    </w:p>
    <w:p w14:paraId="5111F1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（一）章程规定的存续期间届满或者章程规定的其他解散事由出现；</w:t>
      </w:r>
    </w:p>
    <w:p w14:paraId="385CA3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（二）出资人或者设立人决定解散；</w:t>
      </w:r>
    </w:p>
    <w:p w14:paraId="54E665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（三）法律规定的其他情形。</w:t>
      </w:r>
    </w:p>
    <w:p w14:paraId="25D6C7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第一百零七条　非法人组织解散的，应当依法进行清算。</w:t>
      </w:r>
    </w:p>
    <w:p w14:paraId="3BABBC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第一百零八条　非法人组织除适用本章规定外，参照适用本编第三章第一节的有关规定。</w:t>
      </w:r>
    </w:p>
    <w:p w14:paraId="467B2D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民事权利</w:t>
      </w:r>
    </w:p>
    <w:p w14:paraId="7E86E4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第一百零九条　自然人的人身自由、人格尊严受法律保护。</w:t>
      </w:r>
    </w:p>
    <w:p w14:paraId="18094A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第一百一十条　自然人享有生命权、身体权、健康权、姓名权、肖像权、名誉权、荣誉权、隐私权、婚姻自主权等权利。</w:t>
      </w:r>
    </w:p>
    <w:p w14:paraId="376E0C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法人、非法人组织享有名称权、名誉权和荣誉权。</w:t>
      </w:r>
    </w:p>
    <w:p w14:paraId="13D84C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第一百一十一条　自然人的个人信息受法律保护。任何组织或者个人需要获取他人个人信息的，应当依法取得并确保信息安全，不得非法收集、使用、加工、传输他人个人信息，不得非法买卖、提供或者公开他人个人信息。</w:t>
      </w:r>
    </w:p>
    <w:p w14:paraId="6C04BA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第一百一十二条　自然人因婚姻家庭关系等产生的人身权利受法律保护。</w:t>
      </w:r>
    </w:p>
    <w:p w14:paraId="0C7600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第一百一十三条　民事主体的财产权利受法律平等保护。</w:t>
      </w:r>
    </w:p>
    <w:p w14:paraId="25F389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第一百一十四条　民事主体依法享有物权。</w:t>
      </w:r>
    </w:p>
    <w:p w14:paraId="0AF6E0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物权是权利人依法对特定的物享有直接支配和排他的权利，包括所有权、用益物权和担保物权。</w:t>
      </w:r>
    </w:p>
    <w:p w14:paraId="3C0B04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第一百一十五条　物包括不动产和动产。法律规定权利作为物权客体的，依照其规定。</w:t>
      </w:r>
    </w:p>
    <w:p w14:paraId="0DBAF6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第一百一十六条　物权的种类和内容，由法律规定。</w:t>
      </w:r>
    </w:p>
    <w:p w14:paraId="589F00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第一百一十七条　为了公共利益的需要，依照法律规定的权限和程序征收、征用不动产或者动产的，应当给予公平、合理的补偿。</w:t>
      </w:r>
    </w:p>
    <w:p w14:paraId="66D07C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第一百一十八条　民事主体依法享有债权。</w:t>
      </w:r>
    </w:p>
    <w:p w14:paraId="6739E6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债权是因合同、侵权行为、无因管理、不当得利以及法律的其他规定，权利人请求特定义务人为或者不为一定行为的权利。</w:t>
      </w:r>
    </w:p>
    <w:p w14:paraId="334DAA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第一百一十九条　依法成立的合同，对当事人具有法律约束力。</w:t>
      </w:r>
    </w:p>
    <w:p w14:paraId="459C5C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第一百二十条　民事权益受到侵害的，被侵权人有权请求侵权人承担侵权责任。</w:t>
      </w:r>
    </w:p>
    <w:p w14:paraId="1A89B8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第一百二十一条　没有法定的或者约定的义务，为避免他人利益受损失而进行管理的人，有权请求受益人偿还由此支出的必要费用。</w:t>
      </w:r>
    </w:p>
    <w:p w14:paraId="3084DF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第一百二十二条　因他人没有法律根据，取得不当利益，受损失的人有权请求其返还不当利益。</w:t>
      </w:r>
    </w:p>
    <w:p w14:paraId="74778C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第一百二十三条　民事主体依法享有知识产权。</w:t>
      </w:r>
    </w:p>
    <w:p w14:paraId="296729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知识产权是权利人依法就下列客体享有的专有的权利：</w:t>
      </w:r>
    </w:p>
    <w:p w14:paraId="75AC60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（一）作品；</w:t>
      </w:r>
    </w:p>
    <w:p w14:paraId="710314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（二）发明、实用新型、外观设计；</w:t>
      </w:r>
    </w:p>
    <w:p w14:paraId="1E3F8F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（三）商标；</w:t>
      </w:r>
    </w:p>
    <w:p w14:paraId="076BFA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（四）地理标志；</w:t>
      </w:r>
    </w:p>
    <w:p w14:paraId="5487AC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（五）商业秘密；</w:t>
      </w:r>
    </w:p>
    <w:p w14:paraId="73E5EB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（六）集成电路布图设计；</w:t>
      </w:r>
    </w:p>
    <w:p w14:paraId="568993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（七）植物新品种；</w:t>
      </w:r>
    </w:p>
    <w:p w14:paraId="76E9A0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（八）法律规定的其他客体。</w:t>
      </w:r>
    </w:p>
    <w:p w14:paraId="7BB887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第一百二十四条　自然人依法享有继承权。</w:t>
      </w:r>
    </w:p>
    <w:p w14:paraId="712AF4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自然人合法的私有财产，可以依法继承。</w:t>
      </w:r>
    </w:p>
    <w:p w14:paraId="17F3C6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第一百二十五条　民事主体依法享有股权和其他投资性权利。</w:t>
      </w:r>
    </w:p>
    <w:p w14:paraId="7E0DF0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第一百二十六条　民事主体享有法律规定的其他民事权利和利益。</w:t>
      </w:r>
    </w:p>
    <w:p w14:paraId="77D2E4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第一百二十七条　法律对数据、网络虚拟财产的保护有规定的，依照其规定。</w:t>
      </w:r>
    </w:p>
    <w:p w14:paraId="709536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第一百二十八条　法律对未成年人、老年人、残疾人、妇女、消费者等的民事权利保护有特别规定的，依照其规定。</w:t>
      </w:r>
    </w:p>
    <w:p w14:paraId="275AAB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第一百二十九条　民事权利可以依据民事法律行为、事实行为、法律规定的事件或者法律规定的其他方式取得。</w:t>
      </w:r>
    </w:p>
    <w:p w14:paraId="5C77AC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第一百三十条　民事主体按照自己的意愿依法行使民事权利，不受干涉。</w:t>
      </w:r>
    </w:p>
    <w:p w14:paraId="7620FF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第一百三十一条　民事主体行使权利时，应当履行法律规定的和当事人约定的义务。</w:t>
      </w:r>
    </w:p>
    <w:p w14:paraId="6AEAD5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第一百三十二条　民事主体不得滥用民事权利损害国家利益、社会公共利益或者他人合法权益。</w:t>
      </w:r>
    </w:p>
    <w:p w14:paraId="4DFDA8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民事法律行为</w:t>
      </w:r>
    </w:p>
    <w:p w14:paraId="1737F0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一般规定</w:t>
      </w:r>
    </w:p>
    <w:p w14:paraId="5822AD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第一百三十三条　民事法律行为是民事主体通过意思表示设立、变更、终止民事法律关系的行为。</w:t>
      </w:r>
    </w:p>
    <w:p w14:paraId="4571AA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第一百三十四条　民事法律行为可以基于双方或者多方的意思表示一致成立，也可以基于单方的意思表示成立。</w:t>
      </w:r>
    </w:p>
    <w:p w14:paraId="34B5F9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法人、非法人组织依照法律或者章程规定的议事方式和表决程序</w:t>
      </w:r>
      <w:proofErr w:type="gramStart"/>
      <w:r>
        <w:rPr>
          <w:rFonts w:ascii="宋体" w:eastAsia="宋体" w:hAnsi="宋体" w:cs="宋体" w:hint="eastAsia"/>
          <w:sz w:val="24"/>
        </w:rPr>
        <w:t>作出</w:t>
      </w:r>
      <w:proofErr w:type="gramEnd"/>
      <w:r>
        <w:rPr>
          <w:rFonts w:ascii="宋体" w:eastAsia="宋体" w:hAnsi="宋体" w:cs="宋体" w:hint="eastAsia"/>
          <w:sz w:val="24"/>
        </w:rPr>
        <w:t>决议的，</w:t>
      </w:r>
      <w:r>
        <w:rPr>
          <w:rFonts w:ascii="宋体" w:eastAsia="宋体" w:hAnsi="宋体" w:cs="宋体" w:hint="eastAsia"/>
          <w:sz w:val="24"/>
        </w:rPr>
        <w:lastRenderedPageBreak/>
        <w:t>该决议行为成立。</w:t>
      </w:r>
    </w:p>
    <w:p w14:paraId="443EA7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第一百三十五条　民事法律行为可以采用书面形式、口头形式或者其他形式；法律、行政法规规定或者当事人约定采用特定形式的，应当采用特定形式。</w:t>
      </w:r>
    </w:p>
    <w:p w14:paraId="32AB4B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第一百三十六条　民事法律行为自成立时生效，但是法律另有规定或者当事人另有约定的除外。</w:t>
      </w:r>
    </w:p>
    <w:p w14:paraId="707AAF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行为人非依法律规定或者未经对方同意，不得擅自变更或者解除民事法律行为。</w:t>
      </w:r>
    </w:p>
    <w:p w14:paraId="2DA8E6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意思表示</w:t>
      </w:r>
    </w:p>
    <w:p w14:paraId="4398F6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第一百三十七条　以对话方式</w:t>
      </w:r>
      <w:proofErr w:type="gramStart"/>
      <w:r>
        <w:rPr>
          <w:rFonts w:ascii="宋体" w:eastAsia="宋体" w:hAnsi="宋体" w:cs="宋体" w:hint="eastAsia"/>
          <w:sz w:val="24"/>
        </w:rPr>
        <w:t>作出</w:t>
      </w:r>
      <w:proofErr w:type="gramEnd"/>
      <w:r>
        <w:rPr>
          <w:rFonts w:ascii="宋体" w:eastAsia="宋体" w:hAnsi="宋体" w:cs="宋体" w:hint="eastAsia"/>
          <w:sz w:val="24"/>
        </w:rPr>
        <w:t>的意思表示，相对人知道其内容时生效。</w:t>
      </w:r>
    </w:p>
    <w:p w14:paraId="5E37C8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以非对话方式</w:t>
      </w:r>
      <w:proofErr w:type="gramStart"/>
      <w:r>
        <w:rPr>
          <w:rFonts w:ascii="宋体" w:eastAsia="宋体" w:hAnsi="宋体" w:cs="宋体" w:hint="eastAsia"/>
          <w:sz w:val="24"/>
        </w:rPr>
        <w:t>作出</w:t>
      </w:r>
      <w:proofErr w:type="gramEnd"/>
      <w:r>
        <w:rPr>
          <w:rFonts w:ascii="宋体" w:eastAsia="宋体" w:hAnsi="宋体" w:cs="宋体" w:hint="eastAsia"/>
          <w:sz w:val="24"/>
        </w:rPr>
        <w:t>的意思表示，到达相对人时生效。以非对话方式</w:t>
      </w:r>
      <w:proofErr w:type="gramStart"/>
      <w:r>
        <w:rPr>
          <w:rFonts w:ascii="宋体" w:eastAsia="宋体" w:hAnsi="宋体" w:cs="宋体" w:hint="eastAsia"/>
          <w:sz w:val="24"/>
        </w:rPr>
        <w:t>作出</w:t>
      </w:r>
      <w:proofErr w:type="gramEnd"/>
      <w:r>
        <w:rPr>
          <w:rFonts w:ascii="宋体" w:eastAsia="宋体" w:hAnsi="宋体" w:cs="宋体" w:hint="eastAsia"/>
          <w:sz w:val="24"/>
        </w:rPr>
        <w:t>的采用数据电文形式的意思表示，相对人指定特定系统接收数据电文的，该数据电文进入该特定系统时生效；未指定特定系统的，相对人知道或者应当知道该数据电文进入其系统时生效。当事人对采用数据电文形式的意思表示的生效时间另有约定的，按照其约定。</w:t>
      </w:r>
    </w:p>
    <w:p w14:paraId="1D076C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第一百三十八条　无相对人的意思表示，表示完成时生效。法律另有规定的，依照其规定。</w:t>
      </w:r>
    </w:p>
    <w:p w14:paraId="40E1B6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第一百三十九条　以公告方式</w:t>
      </w:r>
      <w:proofErr w:type="gramStart"/>
      <w:r>
        <w:rPr>
          <w:rFonts w:ascii="宋体" w:eastAsia="宋体" w:hAnsi="宋体" w:cs="宋体" w:hint="eastAsia"/>
          <w:sz w:val="24"/>
        </w:rPr>
        <w:t>作出</w:t>
      </w:r>
      <w:proofErr w:type="gramEnd"/>
      <w:r>
        <w:rPr>
          <w:rFonts w:ascii="宋体" w:eastAsia="宋体" w:hAnsi="宋体" w:cs="宋体" w:hint="eastAsia"/>
          <w:sz w:val="24"/>
        </w:rPr>
        <w:t>的意思表示，公告发布时生效。</w:t>
      </w:r>
    </w:p>
    <w:p w14:paraId="2E1B15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第一百四十条　行为人可以明示或者默示</w:t>
      </w:r>
      <w:proofErr w:type="gramStart"/>
      <w:r>
        <w:rPr>
          <w:rFonts w:ascii="宋体" w:eastAsia="宋体" w:hAnsi="宋体" w:cs="宋体" w:hint="eastAsia"/>
          <w:sz w:val="24"/>
        </w:rPr>
        <w:t>作出</w:t>
      </w:r>
      <w:proofErr w:type="gramEnd"/>
      <w:r>
        <w:rPr>
          <w:rFonts w:ascii="宋体" w:eastAsia="宋体" w:hAnsi="宋体" w:cs="宋体" w:hint="eastAsia"/>
          <w:sz w:val="24"/>
        </w:rPr>
        <w:t>意思表示。</w:t>
      </w:r>
    </w:p>
    <w:p w14:paraId="601914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沉默只有在有法律规定、当事人约定或者符合当事人之间的交易习惯时，才可以视为意思表示。</w:t>
      </w:r>
    </w:p>
    <w:p w14:paraId="3D46BF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第一百四十一条　行为人可以撤回意思表示。撤回意思表示的通知应当在意思表示到达相对人前或者与意思表示同时到达相对人。</w:t>
      </w:r>
    </w:p>
    <w:p w14:paraId="5E1CDF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第一百四十二条　有相对人的意思表示的解释，应当按照所使用的词句，结合相关条款、行为的性质和目的、习惯以及诚信原则，确定意思表示的含义。</w:t>
      </w:r>
    </w:p>
    <w:p w14:paraId="14C528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无相对人的意思表示的解释，不能完全拘泥于所使用的词句，而应当结合相</w:t>
      </w:r>
      <w:r>
        <w:rPr>
          <w:rFonts w:ascii="宋体" w:eastAsia="宋体" w:hAnsi="宋体" w:cs="宋体" w:hint="eastAsia"/>
          <w:sz w:val="24"/>
        </w:rPr>
        <w:lastRenderedPageBreak/>
        <w:t>关条款、行为的性质和目的、习惯以及诚信原则，确定行为人的真实意思。</w:t>
      </w:r>
    </w:p>
    <w:p w14:paraId="6AB67D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第三节　民事法律行为的效力</w:t>
      </w:r>
    </w:p>
    <w:p w14:paraId="75FFD6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第一百四十三条　具备下列条件的民事法律行为有效：</w:t>
      </w:r>
    </w:p>
    <w:p w14:paraId="72D59E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（一）行为人具有相应的民事行为能力；</w:t>
      </w:r>
    </w:p>
    <w:p w14:paraId="082EB4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（二）意思表示真实；</w:t>
      </w:r>
    </w:p>
    <w:p w14:paraId="02C2D8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（三）不违反法律、行政法规的强制性规定，不违背公序良俗。</w:t>
      </w:r>
    </w:p>
    <w:p w14:paraId="0804CC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第一百四十四条　无民事行为能力人实施的民事法律行为无效。</w:t>
      </w:r>
    </w:p>
    <w:p w14:paraId="3B18C2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第一百四十五条　限制民事行为能力人实施的纯获利益的民事法律行为或者与其年龄、智力、精神健康状况相适应的民事法律行为有效；实施的其他民事法律行为经法定代理人同意或者追认后有效。</w:t>
      </w:r>
    </w:p>
    <w:p w14:paraId="3FDDDF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相对人可以催告法定代理人自收到通知之日起三十日内予以追认。法定代理人未作表示的，视为拒绝追认。民事法律行为被追认前，善意相对人有撤销的权利。撤销应当以通知的方式</w:t>
      </w:r>
      <w:proofErr w:type="gramStart"/>
      <w:r>
        <w:rPr>
          <w:rFonts w:ascii="宋体" w:eastAsia="宋体" w:hAnsi="宋体" w:cs="宋体" w:hint="eastAsia"/>
          <w:sz w:val="24"/>
        </w:rPr>
        <w:t>作出</w:t>
      </w:r>
      <w:proofErr w:type="gramEnd"/>
      <w:r>
        <w:rPr>
          <w:rFonts w:ascii="宋体" w:eastAsia="宋体" w:hAnsi="宋体" w:cs="宋体" w:hint="eastAsia"/>
          <w:sz w:val="24"/>
        </w:rPr>
        <w:t>。</w:t>
      </w:r>
    </w:p>
    <w:p w14:paraId="3DE088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第一百四十六条　行为人与相对人以虚假的意思表示实施的民事法律行为无效。</w:t>
      </w:r>
    </w:p>
    <w:p w14:paraId="69CE6C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以虚假的意思表示隐藏的民事法律行为的效力，依照有关法律规定处理。</w:t>
      </w:r>
    </w:p>
    <w:p w14:paraId="2F329C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第一百四十七条　基于重大误解实施的民事法律行为，行为人有权请求人民法院或者仲裁机构予以撤销。</w:t>
      </w:r>
    </w:p>
    <w:p w14:paraId="43AC66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第一百四十八条　一方以欺诈手段，使对方在违背真实意思的情况下实施的民事法律行为，受欺诈方有权请求人民法院或者仲裁机构予以撤销。</w:t>
      </w:r>
    </w:p>
    <w:p w14:paraId="47F551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第一百四十九条　第三人实施欺诈行为，使一方在违背真实意思的情况下实施的民事法律行为，对方知道或者应当知道该欺诈行为的，受欺诈方有权请求人民法院或者仲裁机构予以撤销。</w:t>
      </w:r>
    </w:p>
    <w:p w14:paraId="293876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第一百五十条　一方或者第三人以胁迫手段，使对方在违背真实意思的情况下实施的民事法律行为，受胁迫方有权请求人民法院或者仲裁机构予以撤销。</w:t>
      </w:r>
    </w:p>
    <w:p w14:paraId="7614D1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第一百五十一条　一方利用对方处于危困状态、缺乏判断能力等情形，致使民事法律行为成立时显失公平的，受损害方有权请求人民法院或者仲裁机构予以撤销。</w:t>
      </w:r>
    </w:p>
    <w:p w14:paraId="17AFFE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第一百五十二条　有下列情形之一的，撤销权消灭：</w:t>
      </w:r>
    </w:p>
    <w:p w14:paraId="55D2A6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（一）当事人自知道或者应当知道撤销事由之日起一年内、重大误解的当事人自知道或者应当知道撤销事由之日起九十日内没有行使撤销权；</w:t>
      </w:r>
    </w:p>
    <w:p w14:paraId="0D5CB4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（二）当事人受胁迫，自胁迫行为终止之日起一年内没有行使撤销权；</w:t>
      </w:r>
    </w:p>
    <w:p w14:paraId="388405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（三）当事人知道撤销事由后明确表示或者以自己的行为表明放弃撤销权。</w:t>
      </w:r>
    </w:p>
    <w:p w14:paraId="3BD142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当事人自民事法律行为发生之日起五年内没有行使撤销权的，撤销权消灭。</w:t>
      </w:r>
    </w:p>
    <w:p w14:paraId="65FA87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第一百五十三条　违反法律、行政法规的强制性规定的民事法律行为无效。但是，该强制性规定</w:t>
      </w:r>
      <w:proofErr w:type="gramStart"/>
      <w:r>
        <w:rPr>
          <w:rFonts w:ascii="宋体" w:eastAsia="宋体" w:hAnsi="宋体" w:cs="宋体" w:hint="eastAsia"/>
          <w:sz w:val="24"/>
        </w:rPr>
        <w:t>不</w:t>
      </w:r>
      <w:proofErr w:type="gramEnd"/>
      <w:r>
        <w:rPr>
          <w:rFonts w:ascii="宋体" w:eastAsia="宋体" w:hAnsi="宋体" w:cs="宋体" w:hint="eastAsia"/>
          <w:sz w:val="24"/>
        </w:rPr>
        <w:t>导致该民事法律行为无效的除外。</w:t>
      </w:r>
    </w:p>
    <w:p w14:paraId="573CA6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违背公序良俗的民事法律行为无效。</w:t>
      </w:r>
    </w:p>
    <w:p w14:paraId="4CBB01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第一百五十四条　行为人与相对人恶意串通，损害他人合法权益的民事法律行为无效。</w:t>
      </w:r>
    </w:p>
    <w:p w14:paraId="3D2B43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第一百五十五条　无效的或者被撤销的民事法律行为自</w:t>
      </w:r>
      <w:proofErr w:type="gramStart"/>
      <w:r>
        <w:rPr>
          <w:rFonts w:ascii="宋体" w:eastAsia="宋体" w:hAnsi="宋体" w:cs="宋体" w:hint="eastAsia"/>
          <w:sz w:val="24"/>
        </w:rPr>
        <w:t>始没有</w:t>
      </w:r>
      <w:proofErr w:type="gramEnd"/>
      <w:r>
        <w:rPr>
          <w:rFonts w:ascii="宋体" w:eastAsia="宋体" w:hAnsi="宋体" w:cs="宋体" w:hint="eastAsia"/>
          <w:sz w:val="24"/>
        </w:rPr>
        <w:t>法律约束力。</w:t>
      </w:r>
    </w:p>
    <w:p w14:paraId="3FD0E8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第一百五十六条　民事法律行为部分无效，不影响其他部分效力的，其他部分仍然有效。</w:t>
      </w:r>
    </w:p>
    <w:p w14:paraId="4C835B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第一百五十七条　民事法律行为无效、被撤销或者确定不发生效力后，行为人因该行为取得的财产，应当予以返还；不能返还或者没有必要返还的，应当折价补偿。有过错的一方应当赔偿对方由此所受到的损失；各方都有过错的，应当各自承担相应的责任。法律另有规定的，依照其规定。</w:t>
      </w:r>
    </w:p>
    <w:p w14:paraId="666893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第四节　民事法律行为的附条件和附期限</w:t>
      </w:r>
    </w:p>
    <w:p w14:paraId="54F0F5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第一百五十八条　民事法律行为可以附条件，但是根据其性质不得附条件的除外。附生效条件的民事法律行为，自条件成就时生效。附解除条件的民事法律行为，自条件成就时失效。</w:t>
      </w:r>
    </w:p>
    <w:p w14:paraId="3B17EC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第一百五十九条　附条件的民事法律行为，当事人为自己的利益不正当地阻止条件成就的，视为条件已经成就；不正当地促成条件成就的，视为条件</w:t>
      </w:r>
      <w:proofErr w:type="gramStart"/>
      <w:r>
        <w:rPr>
          <w:rFonts w:ascii="宋体" w:eastAsia="宋体" w:hAnsi="宋体" w:cs="宋体" w:hint="eastAsia"/>
          <w:sz w:val="24"/>
        </w:rPr>
        <w:t>不</w:t>
      </w:r>
      <w:proofErr w:type="gramEnd"/>
      <w:r>
        <w:rPr>
          <w:rFonts w:ascii="宋体" w:eastAsia="宋体" w:hAnsi="宋体" w:cs="宋体" w:hint="eastAsia"/>
          <w:sz w:val="24"/>
        </w:rPr>
        <w:t>成就。</w:t>
      </w:r>
    </w:p>
    <w:p w14:paraId="1FC97B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第一百六十条　民事法律行为可以附期限，但是根据其性质不得附期限的除外。附生效期限的民事法律行为，自期限届至时生效。附终止期限的民事法律行为，自期限届满时失效。</w:t>
      </w:r>
    </w:p>
    <w:p w14:paraId="0F8891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代理</w:t>
      </w:r>
    </w:p>
    <w:p w14:paraId="053BD4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一般规定</w:t>
      </w:r>
    </w:p>
    <w:p w14:paraId="634C5B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第一百六十一条　民事主体可以通过代理人实施民事法律行为。</w:t>
      </w:r>
    </w:p>
    <w:p w14:paraId="036B7C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依照法律规定、当事人约定或者民事法律行为的性质，应当由本人亲自实施的民事法律行为，不得代理。</w:t>
      </w:r>
    </w:p>
    <w:p w14:paraId="4DA470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第一百六十二条　代理人在代理权限内，以被代理人名义实施的民事法律行为，对被代理人发生效力。</w:t>
      </w:r>
    </w:p>
    <w:p w14:paraId="3883A2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第一百六十三条　代理包括委托代理和法定代理。</w:t>
      </w:r>
    </w:p>
    <w:p w14:paraId="2CF324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委托代理人按照被代理人的委托行使代理权。法定代理人依照法律的规定行使代理权。</w:t>
      </w:r>
    </w:p>
    <w:p w14:paraId="06CAFF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第一百六十四条　代理人不履行或者不完全履行职责，造成被代理人损害的，应当承担民事责任。</w:t>
      </w:r>
    </w:p>
    <w:p w14:paraId="34BA12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代理人和相对人恶意串通，损害被代理人合法权益的，代理人和相对人应当承担连带责任。</w:t>
      </w:r>
    </w:p>
    <w:p w14:paraId="6171CD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委托代理</w:t>
      </w:r>
    </w:p>
    <w:p w14:paraId="65EFEE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第一百六十五条　委托代理授权采用书面形式的，授权委托书应当载明代理人的姓名或者名称、代理事项、权限和期限，并由被代理人签名或者盖章。</w:t>
      </w:r>
    </w:p>
    <w:p w14:paraId="40A0B9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第一百六十六条　数人为同一代理事项的代理人的，应当共同行使代理权，但是当事人另有约定的除外。</w:t>
      </w:r>
    </w:p>
    <w:p w14:paraId="70ECAE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第一百六十七条　代理人知道或者应当知道代理事项违法仍然实施代理行</w:t>
      </w:r>
      <w:r>
        <w:rPr>
          <w:rFonts w:ascii="宋体" w:eastAsia="宋体" w:hAnsi="宋体" w:cs="宋体" w:hint="eastAsia"/>
          <w:sz w:val="24"/>
        </w:rPr>
        <w:lastRenderedPageBreak/>
        <w:t>为，或者被代理人知道或者应当知道代理人的代理行为违法未作反对表示的，被代理人和代理人应当承担连带责任。</w:t>
      </w:r>
    </w:p>
    <w:p w14:paraId="42E271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第一百六十八条　代理人不得以被代理人的名义与自己实施民事法律行为，但是被代理人同意或者追认的除外。</w:t>
      </w:r>
    </w:p>
    <w:p w14:paraId="042ED8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代理人不得以被代理人的名义与自己同时代理的其他人实施民事法律行为，但是被代理的双方同意或者追认的除外。</w:t>
      </w:r>
    </w:p>
    <w:p w14:paraId="144109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第一百六十九条　代理人需要转委托第三人代理的，应当取得被代理人的同意或者追认。</w:t>
      </w:r>
    </w:p>
    <w:p w14:paraId="1E19D8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转委托代理经被代理人同意或者追认的，被代理人可以就代理事务直接指示转委托的第三人，代理人仅就第三人的选任以及对第三人的指示承担责任。</w:t>
      </w:r>
    </w:p>
    <w:p w14:paraId="6084F7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转委托代理未经被代理人同意或者追认的，代理人应当对转委托的第三人的行为承担责任；但是，在紧急情况下代理人为了维护被代理人的利益需要转委托第三人代理的除外。</w:t>
      </w:r>
    </w:p>
    <w:p w14:paraId="680B51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第一百七十条　执行法人或者非法人组织工作任务的人员，就其职权范围内的事项，以法人或者非法人组织的名义实施的民事法律行为，对法人或者非法人组织发生效力。</w:t>
      </w:r>
    </w:p>
    <w:p w14:paraId="15552C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法人或者非法人组织对执行其工作任务的人员职权范围的限制，不得对抗善意相对人。</w:t>
      </w:r>
    </w:p>
    <w:p w14:paraId="7F8CAF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第一百七十一条　行为人没有代理权、超越代理权或者代理权终止后，仍然实施代理行为，未经被代理人追认的，对被代理人不发生效力。</w:t>
      </w:r>
    </w:p>
    <w:p w14:paraId="532E58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相对人可以催告被代理人自收到通知之日起三十日内予以追认。被代理人未作表示的，视为拒绝追认。行为人实施的行为被追认前，善意相对人有撤销的权利。撤销应当以通知的方式</w:t>
      </w:r>
      <w:proofErr w:type="gramStart"/>
      <w:r>
        <w:rPr>
          <w:rFonts w:ascii="宋体" w:eastAsia="宋体" w:hAnsi="宋体" w:cs="宋体" w:hint="eastAsia"/>
          <w:sz w:val="24"/>
        </w:rPr>
        <w:t>作出</w:t>
      </w:r>
      <w:proofErr w:type="gramEnd"/>
      <w:r>
        <w:rPr>
          <w:rFonts w:ascii="宋体" w:eastAsia="宋体" w:hAnsi="宋体" w:cs="宋体" w:hint="eastAsia"/>
          <w:sz w:val="24"/>
        </w:rPr>
        <w:t>。</w:t>
      </w:r>
    </w:p>
    <w:p w14:paraId="33FE12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行为人实施的行为未被追认的，善意相对人有权请求行为人履行债务或者就其受到的损害请求行为人赔偿。但是，赔偿的范围不得超过被代理人追认时相对人所能获得的利益。</w:t>
      </w:r>
    </w:p>
    <w:p w14:paraId="352B09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相对人知道或者应当知道行为人无权代理的，相对人和行为人按照各自的过错承担责任。</w:t>
      </w:r>
    </w:p>
    <w:p w14:paraId="4F2925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第一百七十二条　行为人没有代理权、超越代理权或者代理权终止后，仍然实施代理行为，相对人有理由相信行为人有代理权的，代理行为有效。</w:t>
      </w:r>
    </w:p>
    <w:p w14:paraId="788F01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第三节　代理终止</w:t>
      </w:r>
    </w:p>
    <w:p w14:paraId="213C38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第一百七十三条　有下列情形之一的，委托代理终止：</w:t>
      </w:r>
    </w:p>
    <w:p w14:paraId="1E5DAB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（一）代理期限届满或者代理事务完成；</w:t>
      </w:r>
    </w:p>
    <w:p w14:paraId="0A8C49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（二）被代理人取消委托或者代理人辞去委托；</w:t>
      </w:r>
    </w:p>
    <w:p w14:paraId="42E4BE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（三）代理人丧失民事行为能力；</w:t>
      </w:r>
    </w:p>
    <w:p w14:paraId="5C5DCE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（四）代理人或者被代理人死亡；</w:t>
      </w:r>
    </w:p>
    <w:p w14:paraId="15D922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（五）作为代理人或者被代理人的法人、非法人组织终止。</w:t>
      </w:r>
    </w:p>
    <w:p w14:paraId="460DB4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第一百七十四条　被代理人死亡后，有下列情形之一的，委托代理人实施的代理行为有效：</w:t>
      </w:r>
    </w:p>
    <w:p w14:paraId="16C288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（一）代理人不知道且不应当知道被代理人死亡；</w:t>
      </w:r>
    </w:p>
    <w:p w14:paraId="3FEF44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（二）被代理人的继承人予以承认；</w:t>
      </w:r>
    </w:p>
    <w:p w14:paraId="5932EC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（三）授权中明确代理权在代理事务完成时终止；</w:t>
      </w:r>
    </w:p>
    <w:p w14:paraId="11A870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（四）被代理人死亡前已经实施，为了被代理人的继承人的利益继续代理。</w:t>
      </w:r>
    </w:p>
    <w:p w14:paraId="05E906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作为被代理人的法人、非法人组织终止的，参照适用前款规定。</w:t>
      </w:r>
    </w:p>
    <w:p w14:paraId="57AA3B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第一百七十五条　有下列情形之一的，法定代理终止：</w:t>
      </w:r>
    </w:p>
    <w:p w14:paraId="38B00A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（一）被代理人取得或者恢复完全民事行为能力；</w:t>
      </w:r>
    </w:p>
    <w:p w14:paraId="54955A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（二）代理人丧失民事行为能力；</w:t>
      </w:r>
    </w:p>
    <w:p w14:paraId="00C06B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（三）代理人或者被代理人死亡；</w:t>
      </w:r>
    </w:p>
    <w:p w14:paraId="70F587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（四）法律规定的其他情形。</w:t>
      </w:r>
    </w:p>
    <w:p w14:paraId="16515C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第八章　民事责任</w:t>
      </w:r>
    </w:p>
    <w:p w14:paraId="4A45CC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第一百七十六条　民事主体依照法律规定或者按照当事人约定，履行民事义务，承担民事责任。</w:t>
      </w:r>
    </w:p>
    <w:p w14:paraId="72CD7E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第一百七十七条　二人以上依法承担按份责任，能够确定责任大小的，各自承担相应的责任；难以确定责任大小的，平均承担责任。</w:t>
      </w:r>
    </w:p>
    <w:p w14:paraId="506E71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第一百七十八条　二人以上依法承担连带责任的，权利人有权请求部分或者全部连带责任人承担责任。</w:t>
      </w:r>
    </w:p>
    <w:p w14:paraId="380B87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连带责任人的责任份额根据各自责任大小确定；难以确定责任大小的，平均承担责任。实际承担责任超过自己责任份额的连带责任人，有权向其他连带责任人追偿。</w:t>
      </w:r>
    </w:p>
    <w:p w14:paraId="2D5C5C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连带责任，由法律规定或者当事人约定。</w:t>
      </w:r>
    </w:p>
    <w:p w14:paraId="4B4271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第一百七十九条　承担民事责任的方式主要有：</w:t>
      </w:r>
    </w:p>
    <w:p w14:paraId="4EFB90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（一）停止侵害；</w:t>
      </w:r>
    </w:p>
    <w:p w14:paraId="23D132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（二）排除妨碍；</w:t>
      </w:r>
    </w:p>
    <w:p w14:paraId="2B8AA6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（三）消除危险；</w:t>
      </w:r>
    </w:p>
    <w:p w14:paraId="010F17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（四）返还财产；</w:t>
      </w:r>
    </w:p>
    <w:p w14:paraId="3B0590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（五）恢复原状；</w:t>
      </w:r>
    </w:p>
    <w:p w14:paraId="5F9763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（六）修理、重作、更换；</w:t>
      </w:r>
    </w:p>
    <w:p w14:paraId="4DD1BA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（七）继续履行；</w:t>
      </w:r>
    </w:p>
    <w:p w14:paraId="01DBBC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（八）赔偿损失；</w:t>
      </w:r>
    </w:p>
    <w:p w14:paraId="65C80A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（九）支付违约金；</w:t>
      </w:r>
    </w:p>
    <w:p w14:paraId="464FE9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（十）消除影响、恢复名誉；</w:t>
      </w:r>
    </w:p>
    <w:p w14:paraId="02C158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（十一）赔礼道歉。</w:t>
      </w:r>
    </w:p>
    <w:p w14:paraId="4E63FF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法律规定惩罚性赔偿的，依照其规定。</w:t>
      </w:r>
    </w:p>
    <w:p w14:paraId="6D5525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本条规定的承担民事责任的方式，可以单独适用，也可以合并适用。</w:t>
      </w:r>
    </w:p>
    <w:p w14:paraId="767C8A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第一百八十条　因不可抗力不能履行民事义务的，不承担民事责任。法律另有规定的，依照其规定。</w:t>
      </w:r>
    </w:p>
    <w:p w14:paraId="22CD71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不可抗力是不能预见、不能避免且不能克服的客观情况。</w:t>
      </w:r>
    </w:p>
    <w:p w14:paraId="3E7713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第一百八十一条　因正当防卫造成损害的，不承担民事责任。</w:t>
      </w:r>
    </w:p>
    <w:p w14:paraId="793057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正当防卫超过必要的限度，造成不应有的损害的，正当防卫人应当承担适当的民事责任。</w:t>
      </w:r>
    </w:p>
    <w:p w14:paraId="4E8C02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第一百八十二条　因紧急避险造成损害的，由引起险情发生的人承担民事责任。</w:t>
      </w:r>
    </w:p>
    <w:p w14:paraId="6C49D805"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危险由</w:t>
      </w:r>
      <w:proofErr w:type="gramEnd"/>
      <w:r>
        <w:rPr>
          <w:rFonts w:ascii="宋体" w:eastAsia="宋体" w:hAnsi="宋体" w:cs="宋体" w:hint="eastAsia"/>
          <w:sz w:val="24"/>
        </w:rPr>
        <w:t>自然原因引起的，紧急避险人不承担民事责任，可以给予适当补偿。</w:t>
      </w:r>
    </w:p>
    <w:p w14:paraId="67F135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紧急避险采取措施不当或者超过必要的限度，造成不应有的损害的，紧急避险人应当承担适当的民事责任。</w:t>
      </w:r>
    </w:p>
    <w:p w14:paraId="2BB14C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第一百八十三条　因保护他人民事权益使自己受到损害的，由侵权人承担民事责任，受益人可以给予适当补偿。没有侵权人、侵权人逃逸或者无力承担民事责任，受害人请求补偿的，受益人应当给予适当补偿。</w:t>
      </w:r>
    </w:p>
    <w:p w14:paraId="4BE30E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第一百八十四条　因自愿实施紧急救助行为造成受助人损害的，救助人不承担民事责任。</w:t>
      </w:r>
    </w:p>
    <w:p w14:paraId="60B9C6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第一百八十五条　侵害英雄烈士等的姓名、肖像、名誉、荣誉，损害社会公共利益的，应当承担民事责任。</w:t>
      </w:r>
    </w:p>
    <w:p w14:paraId="51F656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第一百八十六条　因当事人一方的违约行为，损害对方人身权益、财产权益的，受损害方有权选择请求其承担违约责任或者侵权责任。</w:t>
      </w:r>
    </w:p>
    <w:p w14:paraId="726D6F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第一百八十七条　民事主体因同一行为应当承担民事责任、行政责任和刑事责任的，承担行政责任或者刑事责任不影响承担民事责任；民事主体的财产不足以支付的，优先用于承担民事责任。</w:t>
      </w:r>
    </w:p>
    <w:p w14:paraId="6B4E4C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第九章　诉讼时效</w:t>
      </w:r>
    </w:p>
    <w:p w14:paraId="35DC14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第一百八十八条　向人民法院请求保护民事权利的诉讼时效期间为三年。法律另有规定的，依照其规定。</w:t>
      </w:r>
    </w:p>
    <w:p w14:paraId="56F9BA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诉讼时效期间自权利人知道或者应当知道权利受到损害以及义务人之日起计算。法律另有规定的，依照其规定。但是，自权利受到损害之日起超过二十年的，人民法院不予保护，有特殊情况的，人民法院可以根据权利人的申请决定延长。</w:t>
      </w:r>
    </w:p>
    <w:p w14:paraId="4581C9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第一百八十九条　当事人约定同一债务分期履行的，诉讼时效期间自最后一期履行期限届满之日起计算。</w:t>
      </w:r>
    </w:p>
    <w:p w14:paraId="1F2CAB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第一百九十条　无民事行为能力人或者限制民事行为能力人对其法定代理人的请求权的诉讼时效期间，自该法定代理终止之日起计算。</w:t>
      </w:r>
    </w:p>
    <w:p w14:paraId="0FA9A6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第一百九十一条　未成年人遭受性侵害的损害赔偿请求权的诉讼时效期间，自受害人年满十八周岁之日起计算。</w:t>
      </w:r>
    </w:p>
    <w:p w14:paraId="7A6356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第一百九十二条　诉讼时效期间届满的，义务人可以提出不履行义务的抗辩。</w:t>
      </w:r>
    </w:p>
    <w:p w14:paraId="4FEC0D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诉讼时效期间届满后，义务人同意履行的，不得以诉讼时效期间届满为由抗辩；义务人已经自愿履行的，不得请求返还。</w:t>
      </w:r>
    </w:p>
    <w:p w14:paraId="2DC8F5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第一百九十三条　人民法院不得主动适用诉讼时效的规定。</w:t>
      </w:r>
    </w:p>
    <w:p w14:paraId="1188F8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第一百九十四条　在诉讼时效期间的最后六个月内，因下列障碍，不能行使请求权的，诉讼时效中止：</w:t>
      </w:r>
    </w:p>
    <w:p w14:paraId="4EC29A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（一）不可抗力；</w:t>
      </w:r>
    </w:p>
    <w:p w14:paraId="1A9CCB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（二）无民事行为能力人或者限制民事行为能力人没有法定代理人，或者法定代理人死亡、丧失民事行为能力、丧失代理权；</w:t>
      </w:r>
    </w:p>
    <w:p w14:paraId="0C38B5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（三）继承开始后未确定继承人或者遗产管理人；</w:t>
      </w:r>
    </w:p>
    <w:p w14:paraId="769C0B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（四）权利人被义务人或者其他人控制；</w:t>
      </w:r>
    </w:p>
    <w:p w14:paraId="5B5FA7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（五）其他导致权利人不能行使请求权的障碍。</w:t>
      </w:r>
    </w:p>
    <w:p w14:paraId="7FA95D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自中止时效的原因消除之日起满六个月，诉讼时效期间届满。</w:t>
      </w:r>
    </w:p>
    <w:p w14:paraId="1F6837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第一百九十五条　有下列情形之一的，诉讼时效中断，从中断、有关程序终结时起，诉讼时效期间重新计算：</w:t>
      </w:r>
    </w:p>
    <w:p w14:paraId="7C12E8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（一）权利人向义务人提出履行请求；</w:t>
      </w:r>
    </w:p>
    <w:p w14:paraId="7C7E6B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（二）义务人同意履行义务；</w:t>
      </w:r>
    </w:p>
    <w:p w14:paraId="18E03F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（三）权利人提起诉讼或者申请仲裁；</w:t>
      </w:r>
    </w:p>
    <w:p w14:paraId="6DF211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（四）与提起诉讼或者申请仲裁具有同等效力的其他情形。</w:t>
      </w:r>
    </w:p>
    <w:p w14:paraId="7AA7BD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第一百九十六条　下列请求权不适用诉讼时效的规定：</w:t>
      </w:r>
    </w:p>
    <w:p w14:paraId="1027F9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（一）请求停止侵害、排除妨碍、消除危险；</w:t>
      </w:r>
    </w:p>
    <w:p w14:paraId="689869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（二）不动产物权和登记的动产物权的权利人请求返还财产；</w:t>
      </w:r>
    </w:p>
    <w:p w14:paraId="3A1014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（三）请求支付抚养费、赡养费或者扶养费；</w:t>
      </w:r>
    </w:p>
    <w:p w14:paraId="15E666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（四）依法不适用诉讼时效的其他请求权。</w:t>
      </w:r>
    </w:p>
    <w:p w14:paraId="430912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第一百九十七条　诉讼时效的期间、计算方法以及中止、中断的事由</w:t>
      </w:r>
      <w:proofErr w:type="gramStart"/>
      <w:r>
        <w:rPr>
          <w:rFonts w:ascii="宋体" w:eastAsia="宋体" w:hAnsi="宋体" w:cs="宋体" w:hint="eastAsia"/>
          <w:sz w:val="24"/>
        </w:rPr>
        <w:t>由</w:t>
      </w:r>
      <w:proofErr w:type="gramEnd"/>
      <w:r>
        <w:rPr>
          <w:rFonts w:ascii="宋体" w:eastAsia="宋体" w:hAnsi="宋体" w:cs="宋体" w:hint="eastAsia"/>
          <w:sz w:val="24"/>
        </w:rPr>
        <w:t>法律规定，当事人约定无效。</w:t>
      </w:r>
    </w:p>
    <w:p w14:paraId="4E04AF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当事人对诉讼时效利益的预先放弃无效。</w:t>
      </w:r>
    </w:p>
    <w:p w14:paraId="24C87E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第一百九十八条　法律对仲裁时效有规定的，依照其规定；没有规定的，适用诉讼时效的规定。</w:t>
      </w:r>
    </w:p>
    <w:p w14:paraId="3AA69D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第一百九十九条　法律规定或者当事人约定的撤销权、解除权等权利的存续期间，除法律另有规定外，自权利人知道或者应当知道权利产生之日起计算，不适用有关诉讼时效中止、中断和延长的规定。存续期间届满，撤销权、解除权等权利消灭。</w:t>
      </w:r>
    </w:p>
    <w:p w14:paraId="24F3F3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第十章　期间计算</w:t>
      </w:r>
    </w:p>
    <w:p w14:paraId="3DC556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第二百条　民法所称的期间按照公历年、月、日、小时计算。</w:t>
      </w:r>
    </w:p>
    <w:p w14:paraId="5687B8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第二百零一条　按照年、月、日计算期间的，开始的当日不计入，自下一日</w:t>
      </w:r>
      <w:r>
        <w:rPr>
          <w:rFonts w:ascii="宋体" w:eastAsia="宋体" w:hAnsi="宋体" w:cs="宋体" w:hint="eastAsia"/>
          <w:sz w:val="24"/>
        </w:rPr>
        <w:lastRenderedPageBreak/>
        <w:t>开始计算。</w:t>
      </w:r>
    </w:p>
    <w:p w14:paraId="2FC713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按照小时计算期间的，自法律规定或者当事人约定的时间开始计算。</w:t>
      </w:r>
    </w:p>
    <w:p w14:paraId="035499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第二百零二条　按照年、月计算期间的，到期月的对应日为期间的最后一日；没有对应日的，月末日为期间的最后一日。</w:t>
      </w:r>
    </w:p>
    <w:p w14:paraId="5F92CA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第二百零三条　期间的最后一日是法定休假日的，以法定休假日结束的次日为期间的最后一日。</w:t>
      </w:r>
    </w:p>
    <w:p w14:paraId="1D7CDB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期间的最后一日的截止时间为二十四时；有业务时间的，停止业务活动的时间为截止时间。</w:t>
      </w:r>
    </w:p>
    <w:p w14:paraId="5A0BE0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第二百零四条　期间的计算方法依照本法的规定，但是法律另有规定或者当事人另有约定的除外。</w:t>
      </w:r>
    </w:p>
    <w:p w14:paraId="14A56E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第二编　物权</w:t>
      </w:r>
    </w:p>
    <w:p w14:paraId="298E15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第一分编　通则</w:t>
      </w:r>
    </w:p>
    <w:p w14:paraId="4AC860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一般规定</w:t>
      </w:r>
    </w:p>
    <w:p w14:paraId="0423C9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第二百零五条　本编调整因物的归属和利用产生的民事关系。</w:t>
      </w:r>
    </w:p>
    <w:p w14:paraId="6BF84D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第二百零六条　国家坚持和完善公有制为主体、多种所有制经济共同发展，按劳分配为主体、多种分配方式并存，社会主义市场经济体制等社会主义基本经济制度。</w:t>
      </w:r>
    </w:p>
    <w:p w14:paraId="2FBDB2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国家巩固和发展公有制经济，鼓励、支持和引导非公有制经济的发展。</w:t>
      </w:r>
    </w:p>
    <w:p w14:paraId="1B6348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国家实行社会主义市场经济，保障一切市场主体的平等法律地位和发展权利。</w:t>
      </w:r>
    </w:p>
    <w:p w14:paraId="4AEACC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第二百零七条　国家、集体、私人的物权和其他权利人的物权受法律平等保护，任何组织或者个人不得侵犯。</w:t>
      </w:r>
    </w:p>
    <w:p w14:paraId="2CC3D4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第二百零八条　不动产物权的设立、变更、转让和消灭，应当依照法律规定登记。动产物权的设立和转让，应当依照法律规定交付。</w:t>
      </w:r>
    </w:p>
    <w:p w14:paraId="6FB61B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物权的设立、变更、转让和消灭</w:t>
      </w:r>
    </w:p>
    <w:p w14:paraId="385057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第一节　不动产登记</w:t>
      </w:r>
    </w:p>
    <w:p w14:paraId="7D4ABD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第二百零九条　不动产物权的设立、变更、转让和消灭，经依法登记，发生效力；未经登记，不发生效力，但是法律另有规定的除外。</w:t>
      </w:r>
    </w:p>
    <w:p w14:paraId="374B0E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依法属于国家所有的自然资源，所有权可以不登记。</w:t>
      </w:r>
    </w:p>
    <w:p w14:paraId="5565EA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第二百一十条　不动产登记，由不动产所在地的登记机构办理。</w:t>
      </w:r>
    </w:p>
    <w:p w14:paraId="41F52B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国家对不动产实行统一登记制度。统一登记的范围、登记机构和登记办法，由法律、行政法规规定。</w:t>
      </w:r>
    </w:p>
    <w:p w14:paraId="758A19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第二百一十一条　当事人申请登记，应当根据不同登记事项提供权属证明和不动产界址、面积等必要材料。</w:t>
      </w:r>
    </w:p>
    <w:p w14:paraId="4DF50A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第二百一十二条　登记机构应当履行下列职责：</w:t>
      </w:r>
    </w:p>
    <w:p w14:paraId="4C9F9B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（一）查验申请人提供的权属证明和其他必要材料；</w:t>
      </w:r>
    </w:p>
    <w:p w14:paraId="220DF1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（二）就有关登记事项询问申请人；</w:t>
      </w:r>
    </w:p>
    <w:p w14:paraId="0BF429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（三）如实、及时登记有关事项；</w:t>
      </w:r>
    </w:p>
    <w:p w14:paraId="30FB69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（四）法律、行政法规规定的其他职责。</w:t>
      </w:r>
    </w:p>
    <w:p w14:paraId="3802EC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申请登记的不动产的有关情况需要进一步证明的，登记机构可以要求申请人补充材料，必要时可以实地查看。</w:t>
      </w:r>
    </w:p>
    <w:p w14:paraId="634972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第二百一十三条　登记机构不得有下列行为：</w:t>
      </w:r>
    </w:p>
    <w:p w14:paraId="13B02B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（一）要求对不动产进行评估；</w:t>
      </w:r>
    </w:p>
    <w:p w14:paraId="6885C1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（二）以年检等名义进行重复登记；</w:t>
      </w:r>
    </w:p>
    <w:p w14:paraId="6E6CD0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（三）超出登记职责范围的其他行为。</w:t>
      </w:r>
    </w:p>
    <w:p w14:paraId="5F9AC0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第二百一十四条　不动产物权的设立、变更、转让和消灭，依照法律规定应当登记的，自记载于不动产登记簿时发生效力。</w:t>
      </w:r>
    </w:p>
    <w:p w14:paraId="4ECB23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第二百一十五条　当事人之间订立有关设立、变更、转让和消灭不动产物权的合同，除法律另有规定或者当事人另有约定外，自合同成立时生效；未办理物</w:t>
      </w:r>
      <w:r>
        <w:rPr>
          <w:rFonts w:ascii="宋体" w:eastAsia="宋体" w:hAnsi="宋体" w:cs="宋体" w:hint="eastAsia"/>
          <w:sz w:val="24"/>
        </w:rPr>
        <w:lastRenderedPageBreak/>
        <w:t>权登记的，不影响合同效力。</w:t>
      </w:r>
    </w:p>
    <w:p w14:paraId="621B56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第二百一十六条　不动产登记簿是物权归属和内容的根据。</w:t>
      </w:r>
    </w:p>
    <w:p w14:paraId="4DC507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不动产登记簿由登记机构管理。</w:t>
      </w:r>
    </w:p>
    <w:p w14:paraId="1ABEE5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第二百一十七条　不动产权属证书是权利人享有该不动产物权的证明。不动产权属证书记载的事项，应当与不动产登记簿一致；记载不一致的，除有证据证明不动产登记簿确有错误外，以不动产登记簿为准。</w:t>
      </w:r>
    </w:p>
    <w:p w14:paraId="28825A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第二百一十八条　权利人、利害关系人可以申请查询、复制不动产登记资料，登记机构应当提供。</w:t>
      </w:r>
    </w:p>
    <w:p w14:paraId="2BC7DB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第二百一十九条　利害关系人不得公开、非法使用权利人的不动产登记资料。</w:t>
      </w:r>
    </w:p>
    <w:p w14:paraId="2D3538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第二百二十条　权利人、利害关系人认为不动产登记簿记载的事项错误的，可以申请更正登记。不动产登记簿记载的权利人书面同意更正或者有证据证明登记确有错误的，登记机构应当予以更正。</w:t>
      </w:r>
    </w:p>
    <w:p w14:paraId="6DB9AF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不动产登记簿记载的权利人不同意更正的，利害关系人可以申请异议登记。登记机构予以异议登记，申请人自异议登记之日起十五日内不提起诉讼的，异议登记失效。异议登记不当，造成权利人损害的，权利人可以向申请人请求损害赔偿。</w:t>
      </w:r>
    </w:p>
    <w:p w14:paraId="078DC8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第二百二十一条　当事人签订买卖房屋的协议或者签订其他不动产物权的协议，为保障将来实现物权，按照约定可以向登记机构申请预告登记。预告登记后，未经预告登记的权利人同意，处分该不动产的，不发生物权效力。</w:t>
      </w:r>
    </w:p>
    <w:p w14:paraId="656295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预告登记后，债权消灭或者</w:t>
      </w:r>
      <w:proofErr w:type="gramStart"/>
      <w:r>
        <w:rPr>
          <w:rFonts w:ascii="宋体" w:eastAsia="宋体" w:hAnsi="宋体" w:cs="宋体" w:hint="eastAsia"/>
          <w:sz w:val="24"/>
        </w:rPr>
        <w:t>自能够</w:t>
      </w:r>
      <w:proofErr w:type="gramEnd"/>
      <w:r>
        <w:rPr>
          <w:rFonts w:ascii="宋体" w:eastAsia="宋体" w:hAnsi="宋体" w:cs="宋体" w:hint="eastAsia"/>
          <w:sz w:val="24"/>
        </w:rPr>
        <w:t>进行不动产登记之日起九十日内未申请登记的，预告登记失效。</w:t>
      </w:r>
    </w:p>
    <w:p w14:paraId="120E22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第二百二十二条　当事人提供虚假材料申请登记，造成他人损害的，应当承担赔偿责任。</w:t>
      </w:r>
    </w:p>
    <w:p w14:paraId="433DEC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因登记错误，造成他人损害的，登记机构应当承担赔偿责任。登记机构赔偿后，可以向造成登记错误的人追偿。</w:t>
      </w:r>
    </w:p>
    <w:p w14:paraId="39B31D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第二百二十三条　不动产登记费按件收取，不得按照不动产的面积、体积或者价款的比例收取。</w:t>
      </w:r>
    </w:p>
    <w:p w14:paraId="278A9E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动产交付</w:t>
      </w:r>
    </w:p>
    <w:p w14:paraId="0BF474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第二百二十四条　动产物权的设立和转让，自交付时发生效力，但是法律另有规定的除外。</w:t>
      </w:r>
    </w:p>
    <w:p w14:paraId="3C36C4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第二百二十五条　船舶、航空器和机动车等的物权的设立、变更、转让和消灭，未经登记，不得对抗善意第三人。</w:t>
      </w:r>
    </w:p>
    <w:p w14:paraId="1C21F2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第二百二十六条　动产物</w:t>
      </w:r>
      <w:proofErr w:type="gramStart"/>
      <w:r>
        <w:rPr>
          <w:rFonts w:ascii="宋体" w:eastAsia="宋体" w:hAnsi="宋体" w:cs="宋体" w:hint="eastAsia"/>
          <w:sz w:val="24"/>
        </w:rPr>
        <w:t>权设立</w:t>
      </w:r>
      <w:proofErr w:type="gramEnd"/>
      <w:r>
        <w:rPr>
          <w:rFonts w:ascii="宋体" w:eastAsia="宋体" w:hAnsi="宋体" w:cs="宋体" w:hint="eastAsia"/>
          <w:sz w:val="24"/>
        </w:rPr>
        <w:t>和转让前，权利人已经占有该动产的，</w:t>
      </w:r>
      <w:proofErr w:type="gramStart"/>
      <w:r>
        <w:rPr>
          <w:rFonts w:ascii="宋体" w:eastAsia="宋体" w:hAnsi="宋体" w:cs="宋体" w:hint="eastAsia"/>
          <w:sz w:val="24"/>
        </w:rPr>
        <w:t>物权自民事</w:t>
      </w:r>
      <w:proofErr w:type="gramEnd"/>
      <w:r>
        <w:rPr>
          <w:rFonts w:ascii="宋体" w:eastAsia="宋体" w:hAnsi="宋体" w:cs="宋体" w:hint="eastAsia"/>
          <w:sz w:val="24"/>
        </w:rPr>
        <w:t>法律行为生效时发生效力。</w:t>
      </w:r>
    </w:p>
    <w:p w14:paraId="5D6AE5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第二百二十七条　动产物</w:t>
      </w:r>
      <w:proofErr w:type="gramStart"/>
      <w:r>
        <w:rPr>
          <w:rFonts w:ascii="宋体" w:eastAsia="宋体" w:hAnsi="宋体" w:cs="宋体" w:hint="eastAsia"/>
          <w:sz w:val="24"/>
        </w:rPr>
        <w:t>权设立</w:t>
      </w:r>
      <w:proofErr w:type="gramEnd"/>
      <w:r>
        <w:rPr>
          <w:rFonts w:ascii="宋体" w:eastAsia="宋体" w:hAnsi="宋体" w:cs="宋体" w:hint="eastAsia"/>
          <w:sz w:val="24"/>
        </w:rPr>
        <w:t>和转让前，第三人占有该动产的，负有交付义务的人可以通过转让请求第三人返还原物的权利代替交付。</w:t>
      </w:r>
    </w:p>
    <w:p w14:paraId="68E019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第二百二十八条　动产物权转让时，当事人又约定由出让人继续占有该动产的，</w:t>
      </w:r>
      <w:proofErr w:type="gramStart"/>
      <w:r>
        <w:rPr>
          <w:rFonts w:ascii="宋体" w:eastAsia="宋体" w:hAnsi="宋体" w:cs="宋体" w:hint="eastAsia"/>
          <w:sz w:val="24"/>
        </w:rPr>
        <w:t>物权自该</w:t>
      </w:r>
      <w:proofErr w:type="gramEnd"/>
      <w:r>
        <w:rPr>
          <w:rFonts w:ascii="宋体" w:eastAsia="宋体" w:hAnsi="宋体" w:cs="宋体" w:hint="eastAsia"/>
          <w:sz w:val="24"/>
        </w:rPr>
        <w:t>约定生效时发生效力。</w:t>
      </w:r>
    </w:p>
    <w:p w14:paraId="7848B2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第三节　其他规定</w:t>
      </w:r>
    </w:p>
    <w:p w14:paraId="17E31A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第二百二十九条　因人民法院、仲裁机构的法律文书或者人民政府的征收决定等，导致物权设立、变更、转让或者消灭的，自法律文书或者征收决定等生效时发生效力。</w:t>
      </w:r>
    </w:p>
    <w:p w14:paraId="7E8CC2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第二百三十条　因继承取得物权的，自继承开始时发生效力。</w:t>
      </w:r>
    </w:p>
    <w:p w14:paraId="790113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第二百三十一条　因合法建造、拆除房屋等事实行为设立或者消灭物权的，自事实行为成就时发生效力。</w:t>
      </w:r>
    </w:p>
    <w:p w14:paraId="395BE4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第二百三十二条　处分依照本节规定享有的不动产物权，依照法律规定需要办理登记的，未经登记，不发生物权效力。</w:t>
      </w:r>
    </w:p>
    <w:p w14:paraId="155CE5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物权的保护</w:t>
      </w:r>
    </w:p>
    <w:p w14:paraId="27E889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第二百三十三条　物权受到侵害的，权利人可以通过和解、调解、仲裁、诉讼等途径解决。</w:t>
      </w:r>
    </w:p>
    <w:p w14:paraId="1EEBA9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第二百三十四条　因物权的归属、内容发生争议的，利害关系人可以请求确认权利。</w:t>
      </w:r>
    </w:p>
    <w:p w14:paraId="51DA39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第二百三十五条　无权占有不动产或者动产的，权利人可以请求返还原物。</w:t>
      </w:r>
    </w:p>
    <w:p w14:paraId="3BD15F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第二百三十六条　妨害物权或者可能妨害物权的，权利人可以请求排除妨害或者消除危险。</w:t>
      </w:r>
    </w:p>
    <w:p w14:paraId="6A46A2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第二百三十七条　造成不动产或者动产毁损的，权利人可以依法请求修理、重作、更换或者恢复原状。</w:t>
      </w:r>
    </w:p>
    <w:p w14:paraId="32DF7F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第二百三十八条　侵害物权，造成权利人损害的，权利人可以依法请求损害赔偿，也可以依法请求承担其他民事责任。</w:t>
      </w:r>
    </w:p>
    <w:p w14:paraId="4326E3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第二百三十九条　本章规定的物权保护方式，可以单独适用，也可以根据权利被侵害的情形合并适用。</w:t>
      </w:r>
    </w:p>
    <w:p w14:paraId="45F8BD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第二分编　所有权</w:t>
      </w:r>
    </w:p>
    <w:p w14:paraId="728738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一般规定</w:t>
      </w:r>
    </w:p>
    <w:p w14:paraId="487CC7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第二百四十条　所有权人对自己的不动产或者动产，依法享有占有、使用、收益和处分的权利。</w:t>
      </w:r>
    </w:p>
    <w:p w14:paraId="75F494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第二百四十一条　所有权人有权在自己的不动产或者动产上设立用益物权和担保物权。用益物权人、担保物权人行使权利，不得损害所有权人的权益。</w:t>
      </w:r>
    </w:p>
    <w:p w14:paraId="430413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第二百四十二条　法律规定专属于国家所有的不动产和动产，任何组织或者个人不能取得所有权。</w:t>
      </w:r>
    </w:p>
    <w:p w14:paraId="0E6E4B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第二百四十三条　为了公共利益的需要，依照法律规定的权限和程序可以征收集体所有的土地和组织、个人的房屋以及其他不动产。</w:t>
      </w:r>
    </w:p>
    <w:p w14:paraId="384056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征收集体所有的土地，应当依法及时足额支付土地补偿费、安置补助费以及农村村民住宅、其他地上附着物和青苗等的补偿费用，并安排被征地农民的社会保障费用，保障被征地农民的生活，维护被征地农民的合法权益。</w:t>
      </w:r>
    </w:p>
    <w:p w14:paraId="1737F7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征收组织、个人的房屋以及其他不动产，应当依法给予征收补偿，维护被征</w:t>
      </w:r>
      <w:r>
        <w:rPr>
          <w:rFonts w:ascii="宋体" w:eastAsia="宋体" w:hAnsi="宋体" w:cs="宋体" w:hint="eastAsia"/>
          <w:sz w:val="24"/>
        </w:rPr>
        <w:lastRenderedPageBreak/>
        <w:t>收人的合法权益；征收个人住宅的，还应当保障被征收人的居住条件。</w:t>
      </w:r>
    </w:p>
    <w:p w14:paraId="592C8D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任何组织或者个人不得贪污、挪用、私分、截留、拖欠征收补偿费等费用。</w:t>
      </w:r>
    </w:p>
    <w:p w14:paraId="1D2F45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第二百四十四条　国家对耕地实行特殊保护，严格限制农用地转为建设用地，控制建设用地总量。不得违反法律规定的权限和程序征收集体所有的土地。</w:t>
      </w:r>
    </w:p>
    <w:p w14:paraId="39981A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第二百四十五条　因抢险救灾、疫情防控等紧急需要，依照法律规定的权限和程序可以征用组织、个人的不动产或者动产。被征用的不动产或者动产使用后，应当返还被征用人。组织、个人的不动产或者动产被征用或者征用后毁损、灭失的，应当给予补偿。</w:t>
      </w:r>
    </w:p>
    <w:p w14:paraId="1B3AE4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国家所有权和集体所有权、私人所有权</w:t>
      </w:r>
    </w:p>
    <w:p w14:paraId="3D59E3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第二百四十六条　法律规定属于国家所有的财产，属于国家所有即全民所有。</w:t>
      </w:r>
    </w:p>
    <w:p w14:paraId="3C82C8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国有财产由国务院代表国家行使所有权。法律另有规定的，依照其规定。</w:t>
      </w:r>
    </w:p>
    <w:p w14:paraId="0041F8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第二百四十七条　矿藏、水流、海域属于国家所有。</w:t>
      </w:r>
    </w:p>
    <w:p w14:paraId="7DD647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第二百四十八条　无居民海岛属于国家所有，国务院代表国家行使无居民海岛所有权。</w:t>
      </w:r>
    </w:p>
    <w:p w14:paraId="206F50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第二百四十九条　城市的土地，属于国家所有。法律规定属于国家所有的农村和城市郊区的土地，属于国家所有。</w:t>
      </w:r>
    </w:p>
    <w:p w14:paraId="695EE4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第二百五十条　森林、山岭、草原、荒地、滩涂等自然资源，属于国家所有，但是法律规定属于集体所有的除外。</w:t>
      </w:r>
    </w:p>
    <w:p w14:paraId="7876C4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第二百五十一条　法律规定属于国家所有的野生动植物资源，属于国家所有。</w:t>
      </w:r>
    </w:p>
    <w:p w14:paraId="7F4AB6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第二百五十二条　无线电频谱资源属于国家所有。</w:t>
      </w:r>
    </w:p>
    <w:p w14:paraId="7039E0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第二百五十三条　法律规定属于国家所有的文物，属于国家所有。</w:t>
      </w:r>
    </w:p>
    <w:p w14:paraId="77620C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第二百五十四条　国防资产属于国家所有。</w:t>
      </w:r>
    </w:p>
    <w:p w14:paraId="07756A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铁路、公路、电力设施、电信设施和油气管道等基础设施，依照法律规定为国家所有的，属于国家所有。</w:t>
      </w:r>
    </w:p>
    <w:p w14:paraId="3E723D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第二百五十五条　国家机关对其直接支配的不动产和动产，享有占有、使用以及依照法律和国务院的有关规定处分的权利。</w:t>
      </w:r>
    </w:p>
    <w:p w14:paraId="3F9C1A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第二百五十六条　国家举办的事业单位对其直接支配的不动产和动产，享有占有、使用以及依照法律和国务院的有关规定收益、处分的权利。</w:t>
      </w:r>
    </w:p>
    <w:p w14:paraId="62A7C1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第二百五十七条　国家出资的企业，由国务院、地方人民政府依照法律、行政法规规定分别代表国家履行出资人职责，享有出资人权益。</w:t>
      </w:r>
    </w:p>
    <w:p w14:paraId="58B7F4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第二百五十八条　国家所有的财产受法律保护，禁止任何组织或者个人侵占、哄抢、私分、截留、破坏。</w:t>
      </w:r>
    </w:p>
    <w:p w14:paraId="243D85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第二百五十九条　履行国有财产管理、监督职责的机构及其工作人员，应当依法加强对国有财产的管理、监督，促进国有财产保值增值，防止国有财产损失；滥用职权，玩忽职守，造成国有财产损失的，应当依法承担法律责任。</w:t>
      </w:r>
    </w:p>
    <w:p w14:paraId="674748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违反国有财产管理规定，在企业改制、合并分立、关联交易等过程中，低价转让、合谋私分、擅自担保或者以其他方式造成国有财产损失的，应当依法承担法律责任。</w:t>
      </w:r>
    </w:p>
    <w:p w14:paraId="34AA10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第二百六十条　集体所有的不动产和动产包括：</w:t>
      </w:r>
    </w:p>
    <w:p w14:paraId="7B3AFF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（一）法律规定属于集体所有的土地和森林、山岭、草原、荒地、滩涂；</w:t>
      </w:r>
    </w:p>
    <w:p w14:paraId="215DA0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（二）集体所有的建筑物、生产设施、农田水利设施；</w:t>
      </w:r>
    </w:p>
    <w:p w14:paraId="1FDB49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（三）集体所有的教育、科学、文化、卫生、体育等设施；</w:t>
      </w:r>
    </w:p>
    <w:p w14:paraId="3AABB8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（四）集体所有的其他不动产和动产。</w:t>
      </w:r>
    </w:p>
    <w:p w14:paraId="68CB73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第二百六十一条　农民集体所有的不动产和动产，属于本集体成员集体所有。</w:t>
      </w:r>
    </w:p>
    <w:p w14:paraId="6026D1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下列事项应当依照法定程序经本集体成员决定：</w:t>
      </w:r>
    </w:p>
    <w:p w14:paraId="4C4873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（一）土地承包方案以及将土地发包给本集体以外的组织或者个人承包；</w:t>
      </w:r>
    </w:p>
    <w:p w14:paraId="129372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（二）个别土地承包经营权人之间承包地的调整；</w:t>
      </w:r>
    </w:p>
    <w:p w14:paraId="3DAEF0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（三）土地补偿费等费用的使用、分配办法；</w:t>
      </w:r>
    </w:p>
    <w:p w14:paraId="7B3A5A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（四）集体出资的企业的所有权变动等事项；</w:t>
      </w:r>
    </w:p>
    <w:p w14:paraId="08C162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（五）法律规定的其他事项。</w:t>
      </w:r>
    </w:p>
    <w:p w14:paraId="7DF4F9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第二百六十二条　对于集体所有的土地和森林、山岭、草原、荒地、滩涂等，依照下列规定行使所有权：</w:t>
      </w:r>
    </w:p>
    <w:p w14:paraId="3A0E90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（一）属于村农民集体所有的，由村集体经济组织或者村民委员会依法代表集体行使所有权；</w:t>
      </w:r>
    </w:p>
    <w:p w14:paraId="5BC15E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（二）分别属于村内两个以上农民集体所有的，由村内各该集体经济组织或者村民小组依法代表集体行使所有权；</w:t>
      </w:r>
    </w:p>
    <w:p w14:paraId="245C50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（三）属于乡镇农民集体所有的，由乡镇集体经济组织代表集体行使所有权。</w:t>
      </w:r>
    </w:p>
    <w:p w14:paraId="04996C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第二百六十三条　城镇集体所有的不动产和动产，依照法律、行政法规的规定由本集体享有占有、使用、收益和处分的权利。</w:t>
      </w:r>
    </w:p>
    <w:p w14:paraId="0CF323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第二百六十四条　农村集体经济组织或者村民委员会、村民小组应当依照法律、行政法规以及章程、村规民约向本集体成员公布集体财产的状况。集体成员有权查阅、复制相关资料。</w:t>
      </w:r>
    </w:p>
    <w:p w14:paraId="66AC43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第二百六十五条　集体所有的财产受法律保护，禁止任何组织或者个人侵占、哄抢、私分、破坏。</w:t>
      </w:r>
    </w:p>
    <w:p w14:paraId="79B37E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农村集体经济组织、村民委员会或者其负责人</w:t>
      </w:r>
      <w:proofErr w:type="gramStart"/>
      <w:r>
        <w:rPr>
          <w:rFonts w:ascii="宋体" w:eastAsia="宋体" w:hAnsi="宋体" w:cs="宋体" w:hint="eastAsia"/>
          <w:sz w:val="24"/>
        </w:rPr>
        <w:t>作出</w:t>
      </w:r>
      <w:proofErr w:type="gramEnd"/>
      <w:r>
        <w:rPr>
          <w:rFonts w:ascii="宋体" w:eastAsia="宋体" w:hAnsi="宋体" w:cs="宋体" w:hint="eastAsia"/>
          <w:sz w:val="24"/>
        </w:rPr>
        <w:t>的决定侵害集体成员合法权益的，受侵害的集体成员可以请求人民法院予以撤销。</w:t>
      </w:r>
    </w:p>
    <w:p w14:paraId="7606D8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第二百六十六条　私人对其合法的收入、房屋、生活用品、生产工具、原材料等不动产和动产享有所有权。</w:t>
      </w:r>
    </w:p>
    <w:p w14:paraId="7FAB53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第二百六十七条　私人的合法财产受法律保护，禁止任何组织或者个人侵占、哄抢、破坏。</w:t>
      </w:r>
    </w:p>
    <w:p w14:paraId="6AB222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第二百六十八条　国家、集体和私人依法可以出资设立有限责任公司、股份有限公司或者其他企业。国家、集体和私人所有的不动产或者动产投到企业的，由出资人按照约定或者出资比例享有资产收益、重大决策以及选择经营管理者等</w:t>
      </w:r>
      <w:r>
        <w:rPr>
          <w:rFonts w:ascii="宋体" w:eastAsia="宋体" w:hAnsi="宋体" w:cs="宋体" w:hint="eastAsia"/>
          <w:sz w:val="24"/>
        </w:rPr>
        <w:lastRenderedPageBreak/>
        <w:t>权利并履行义务。</w:t>
      </w:r>
    </w:p>
    <w:p w14:paraId="4EE117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第二百六十九条　营利法人对其不动产和动产依照法律、行政法规以及章程享有占有、使用、收益和处分的权利。</w:t>
      </w:r>
    </w:p>
    <w:p w14:paraId="2C3C71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营利法人以外的法人，对其不动产和动产的权利，适用有关法律、行政法规以及章程的规定。</w:t>
      </w:r>
    </w:p>
    <w:p w14:paraId="25CDE5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第二百七十条　社会团体法人、捐助法人依法所有的不动产和动产，受法律保护。</w:t>
      </w:r>
    </w:p>
    <w:p w14:paraId="66F0BE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业主的建筑物区分所有权</w:t>
      </w:r>
    </w:p>
    <w:p w14:paraId="3CCF6F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第二百七十一条　业主对建筑物内的住宅、经营性用房等专有部分享有所有权，对专有部分以外的共有部分享有共有和共同管理的权利。</w:t>
      </w:r>
    </w:p>
    <w:p w14:paraId="7CE32F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第二百七十二条　业主对其建筑物专有部分享有占有、使用、收益和处分的权利。业主行使权利不得危及建筑物的安全，不得损害其他业主的合法权益。</w:t>
      </w:r>
    </w:p>
    <w:p w14:paraId="329927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第二百七十三条　业主对建筑物专有部分以外的共有部分，享有权利，承担义务；不得以放弃权利为由不履行义务。</w:t>
      </w:r>
    </w:p>
    <w:p w14:paraId="38961D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业主转让建筑物内的住宅、经营性用房，其对共有部分享有的共有和共同管理的权利一并转让。</w:t>
      </w:r>
    </w:p>
    <w:p w14:paraId="71FC7F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第二百七十四条　建筑区划内的道路，属于业主共有，但是属于城镇公共道路的除外。建筑区划内的绿地，属于业主共有，但是属于城镇公共绿地或者明示属于个人的除外。建筑区划内的其他公共场所、公用设施和物业服务用房，属于业主共有。</w:t>
      </w:r>
    </w:p>
    <w:p w14:paraId="7EA16C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第二百七十五条　建筑区划内，规划用于停放汽车的车位、车库的归属，由当事人通过出售、附赠或者出租等方式约定。</w:t>
      </w:r>
    </w:p>
    <w:p w14:paraId="11D714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占用业主共有的道路或者其他场地用于停放汽车的车位，属于业主共有。</w:t>
      </w:r>
    </w:p>
    <w:p w14:paraId="033FA5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第二百七十六条　建筑区划内，规划用于停放汽车的车位、车库应当首先满足业主的需要。</w:t>
      </w:r>
    </w:p>
    <w:p w14:paraId="3BB47C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第二百七十七条　业主可以设立业主大会，选举业主委员会。业主大会、业主委员会成立的具体条件和程序，依照法律、法规的规定。</w:t>
      </w:r>
    </w:p>
    <w:p w14:paraId="1618D6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地方人民政府有关部门、居民委员会应当对设立业主大会和选举业主委员会给予指导和协助。</w:t>
      </w:r>
    </w:p>
    <w:p w14:paraId="51EDA0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第二百七十八条　下列事项由业主共同决定：</w:t>
      </w:r>
    </w:p>
    <w:p w14:paraId="244062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（一）制定和修改业主大会议事规则；</w:t>
      </w:r>
    </w:p>
    <w:p w14:paraId="55126E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（二）制定和修改管理规约；</w:t>
      </w:r>
    </w:p>
    <w:p w14:paraId="3F2BE0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（三）选举业主委员会或者更换业主委员会成员；</w:t>
      </w:r>
    </w:p>
    <w:p w14:paraId="116098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（四）选聘和解聘物业服务企业或者其他管理人；</w:t>
      </w:r>
    </w:p>
    <w:p w14:paraId="41D771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（五）使用建筑物及其附属设施的维修资金；</w:t>
      </w:r>
    </w:p>
    <w:p w14:paraId="013388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（六）筹集建筑物及其附属设施的维修资金；</w:t>
      </w:r>
    </w:p>
    <w:p w14:paraId="3101AD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（七）改建、重建建筑物及其附属设施；</w:t>
      </w:r>
    </w:p>
    <w:p w14:paraId="285B57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（八）改变共有部分的用途或者利用共有部分从事经营活动；</w:t>
      </w:r>
    </w:p>
    <w:p w14:paraId="5332FB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（九）有关共有和共同管理权利的其他重大事项。</w:t>
      </w:r>
    </w:p>
    <w:p w14:paraId="65F704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业主共同决定事项，应当由专有部分面积占比三分之二以上的业主且人数占比三分之二以上的业主参与表决。决定前款第六项至第八项规定的事项，应当</w:t>
      </w:r>
      <w:proofErr w:type="gramStart"/>
      <w:r>
        <w:rPr>
          <w:rFonts w:ascii="宋体" w:eastAsia="宋体" w:hAnsi="宋体" w:cs="宋体" w:hint="eastAsia"/>
          <w:sz w:val="24"/>
        </w:rPr>
        <w:t>经参与</w:t>
      </w:r>
      <w:proofErr w:type="gramEnd"/>
      <w:r>
        <w:rPr>
          <w:rFonts w:ascii="宋体" w:eastAsia="宋体" w:hAnsi="宋体" w:cs="宋体" w:hint="eastAsia"/>
          <w:sz w:val="24"/>
        </w:rPr>
        <w:t>表决专有部分面积四分之三以上的业主且参与表决人数四分之三以上的业主同意。决定前款其他事项，应当</w:t>
      </w:r>
      <w:proofErr w:type="gramStart"/>
      <w:r>
        <w:rPr>
          <w:rFonts w:ascii="宋体" w:eastAsia="宋体" w:hAnsi="宋体" w:cs="宋体" w:hint="eastAsia"/>
          <w:sz w:val="24"/>
        </w:rPr>
        <w:t>经参与</w:t>
      </w:r>
      <w:proofErr w:type="gramEnd"/>
      <w:r>
        <w:rPr>
          <w:rFonts w:ascii="宋体" w:eastAsia="宋体" w:hAnsi="宋体" w:cs="宋体" w:hint="eastAsia"/>
          <w:sz w:val="24"/>
        </w:rPr>
        <w:t>表决专有部分面积过半数的业主且参与表决人数过半数的业主同意。</w:t>
      </w:r>
    </w:p>
    <w:p w14:paraId="5075A0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第二百七十九条　业主不得违反法律、法规以及管理规约，将住宅改变为经营性用房。业主将住宅改变为经营性用房的，除遵守法律、法规以及管理规约外，应当经有利害关系的业主一致同意。</w:t>
      </w:r>
    </w:p>
    <w:p w14:paraId="4B94CF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第二百八十条　业主大会或者业主委员会的决定，对业主具有法律约束力。</w:t>
      </w:r>
    </w:p>
    <w:p w14:paraId="26E158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业主大会或者业主委员会</w:t>
      </w:r>
      <w:proofErr w:type="gramStart"/>
      <w:r>
        <w:rPr>
          <w:rFonts w:ascii="宋体" w:eastAsia="宋体" w:hAnsi="宋体" w:cs="宋体" w:hint="eastAsia"/>
          <w:sz w:val="24"/>
        </w:rPr>
        <w:t>作出</w:t>
      </w:r>
      <w:proofErr w:type="gramEnd"/>
      <w:r>
        <w:rPr>
          <w:rFonts w:ascii="宋体" w:eastAsia="宋体" w:hAnsi="宋体" w:cs="宋体" w:hint="eastAsia"/>
          <w:sz w:val="24"/>
        </w:rPr>
        <w:t>的决定侵害业主合法权益的，受侵害的业主可</w:t>
      </w:r>
      <w:r>
        <w:rPr>
          <w:rFonts w:ascii="宋体" w:eastAsia="宋体" w:hAnsi="宋体" w:cs="宋体" w:hint="eastAsia"/>
          <w:sz w:val="24"/>
        </w:rPr>
        <w:lastRenderedPageBreak/>
        <w:t>以请求人民法院予以撤销。</w:t>
      </w:r>
    </w:p>
    <w:p w14:paraId="2DFD87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第二百八十一条　建筑物及其附属设施的维修资金，属于业主共有。经业主共同决定，可以用于电梯、屋顶、外墙、无障碍设施等共有部分的维修、更新和改造。建筑物及其附属设施的维修资金的筹集、使用情况应当定期公布。</w:t>
      </w:r>
    </w:p>
    <w:p w14:paraId="72434F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紧急情况下需要维修建筑物及其附属设施的，业主大会或者业主委员会可以依法申请使用建筑物及其附属设施的维修资金。</w:t>
      </w:r>
    </w:p>
    <w:p w14:paraId="1B5573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第二百八十二条　建设单位、物业服务企业或者其他管理人等利用业主的共有部分产生的收入，在扣除合理成本之后，属于业主共有。</w:t>
      </w:r>
    </w:p>
    <w:p w14:paraId="384DF6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第二百八十三条　建筑物及其附属设施的费用分摊、收益分配等事项，有约定的，按照约定；没有约定或者约定不明确的，按照业主专有部分面积所占比例确定。</w:t>
      </w:r>
    </w:p>
    <w:p w14:paraId="21FF72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第二百八十四条　业主可以自行管理建筑物及其附属设施，也可以委托物业服务企业或者其他管理人管理。</w:t>
      </w:r>
    </w:p>
    <w:p w14:paraId="5FE1EB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对建设单位聘请的物业服务企业或者其他管理人，业主有权依法更换。</w:t>
      </w:r>
    </w:p>
    <w:p w14:paraId="7907AC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第二百八十五条　物业服务企业或者其他管理人根据业主的委托，依照本法第三编有关物业服务合同的规定管理建筑区划内的建筑物及其附属设施，接受业主的监督，并及时答复业主对物业服务情况提出的询问。</w:t>
      </w:r>
    </w:p>
    <w:p w14:paraId="365F9F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物业服务企业或者其他管理人应当执行政府依法实施的应急处置措施和其他管理措施，积极配合开展相关工作。</w:t>
      </w:r>
    </w:p>
    <w:p w14:paraId="0D8331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第二百八十六条　业主应当遵守法律、法规以及管理规约，相关行为应当符合节约资源、保护生态环境的要求。对于物业服务企业或者其他管理人执行政府依法实施的应急处置措施和其他管理措施，业主应当依法予以配合。</w:t>
      </w:r>
    </w:p>
    <w:p w14:paraId="7D0734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业主大会或者业主委员会，对任意弃置垃圾、排放污染物或者噪声、违反规定饲养动物、违章搭建、侵占通道、拒付</w:t>
      </w:r>
      <w:proofErr w:type="gramStart"/>
      <w:r>
        <w:rPr>
          <w:rFonts w:ascii="宋体" w:eastAsia="宋体" w:hAnsi="宋体" w:cs="宋体" w:hint="eastAsia"/>
          <w:sz w:val="24"/>
        </w:rPr>
        <w:t>物业费</w:t>
      </w:r>
      <w:proofErr w:type="gramEnd"/>
      <w:r>
        <w:rPr>
          <w:rFonts w:ascii="宋体" w:eastAsia="宋体" w:hAnsi="宋体" w:cs="宋体" w:hint="eastAsia"/>
          <w:sz w:val="24"/>
        </w:rPr>
        <w:t>等损害他人合法权益的行为，有权依照法律、法规以及管理规约，请求行为人停止侵害、排除妨碍、消除危险、恢复原状、赔偿损失。</w:t>
      </w:r>
    </w:p>
    <w:p w14:paraId="186407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业主或者其他行为人拒不履行相关义务的，有关当事人可以向有关行政主管部门报告或者投诉，有关行政主管部门应当依法处理。</w:t>
      </w:r>
    </w:p>
    <w:p w14:paraId="508739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第二百八十七条　业主对建设单位、物业服务企业或者其他管理人以及其他业主侵害自己合法权益的行为，有权请求其承担民事责任。</w:t>
      </w:r>
    </w:p>
    <w:p w14:paraId="6EB808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相邻关系</w:t>
      </w:r>
    </w:p>
    <w:p w14:paraId="25216F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第二百八十八条　不动产的相邻权利人应当按照有利生产、方便生活、团结互助、公平合理的原则，正确处理相邻关系。</w:t>
      </w:r>
    </w:p>
    <w:p w14:paraId="0EB672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第二百八十九条　法律、法规对处理相邻关系有规定的，依照其规定；法律、法规没有规定的，可以按照当地习惯。</w:t>
      </w:r>
    </w:p>
    <w:p w14:paraId="085FCA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第二百九十条　不动产权利人应当为相邻权利人用水、排水提供必要的便利。</w:t>
      </w:r>
    </w:p>
    <w:p w14:paraId="5DE616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对自然流水的利用，应当在不动产的相邻权利人之间合理分配。对自然流水的排放，应当尊重自然流向。</w:t>
      </w:r>
    </w:p>
    <w:p w14:paraId="5F0BA0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第二百九十一条　不动产权利人对相邻权利人因通行等必须利用其土地的，应当提供必要的便利。</w:t>
      </w:r>
    </w:p>
    <w:p w14:paraId="5C2886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第二百九十二条　不动产权利人因建造、修缮建筑物以及铺设电线、电缆、水管、暖气和燃气管线等必须利用相邻土地、建筑物的，该土地、建筑物的权利人应当提供必要的便利。</w:t>
      </w:r>
    </w:p>
    <w:p w14:paraId="19CEDC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第二百九十三条　建造建筑物，不得违反国家有关工程建设标准，不得妨碍相邻建筑物的通风、采光和日照。</w:t>
      </w:r>
    </w:p>
    <w:p w14:paraId="2FDF46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第二百九十四条　不动产权利人不得违反国家规定弃置固体废物，排放大气污染物、水污染物、土壤污染物、噪声、光辐射、电磁辐射等有害物质。</w:t>
      </w:r>
    </w:p>
    <w:p w14:paraId="23A794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第二百九十五条　不动产权利人挖掘土地、建造建筑物、铺设管线以及安装设备等，不得危及相邻不动产的安全。</w:t>
      </w:r>
    </w:p>
    <w:p w14:paraId="6F0ACF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第二百九十六条　不动产权利人因用水、排水、通行、铺设管线等利用相邻不动产的，应当尽量避免对相邻的不动产权利人造成损害。</w:t>
      </w:r>
    </w:p>
    <w:p w14:paraId="0CC460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第八章　共有</w:t>
      </w:r>
    </w:p>
    <w:p w14:paraId="64B957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第二百九十七条　不动产或者动产可以由两个以上组织、个人共有。共有包括按份共有和共同共有。</w:t>
      </w:r>
    </w:p>
    <w:p w14:paraId="3567EF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第二百九十八条　按份共有人对共有的不动产或者动产按照其份额享有所有权。</w:t>
      </w:r>
    </w:p>
    <w:p w14:paraId="6F53A6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第二百九十九条　共同共有人对共有的不动产或者动产共同享有所有权。</w:t>
      </w:r>
    </w:p>
    <w:p w14:paraId="772754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第三百条　共有人按照约定管理共有的不动产或者动产；没有约定或者约定不明确的，各共有人都有管理的权利和义务。</w:t>
      </w:r>
    </w:p>
    <w:p w14:paraId="3ADA7C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第三百零一条　处分共有的不动产或者动产以及对共有的不动产或者动产作重大修缮、变更性质或者用途的，应当经占份额三分之二以上的按份共有人或者全体共同共有人同意，但是共有人之间另有约定的除外。</w:t>
      </w:r>
    </w:p>
    <w:p w14:paraId="6AF167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第三百零二条　共有人对共有物的管理费用以及其他负担，有约定的，按照其约定；没有约定或者约定不明确的，按份共有人按照其份额负担，共同共有人共同负担。</w:t>
      </w:r>
    </w:p>
    <w:p w14:paraId="4A114D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第三百零三条　共有人约定不得分割共有的不动产或者动产，以维持共有关系的，应当按照约定，但是共有人有重大理由需要分割的，可以请求分割；没有约定或者约定不明确的，按份共有人可以随时请求分割，共同共有人在共有的基础丧失或者有重大理由需要分割时可以请求分割。因分割造成其他共有人损害的，应当给予赔偿。</w:t>
      </w:r>
    </w:p>
    <w:p w14:paraId="14DE7F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第三百零四条　共有人可以协商确定分割方式。达不成协议，共有的不动产或者动产可以分割且不会因分割减损价值的，应当对实物予以分割；难以分割或者因分割会减损价值的，应当对折价或者拍卖、变卖取得的价款予以分割。</w:t>
      </w:r>
    </w:p>
    <w:p w14:paraId="36D9C9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共有人分割所得的不动产或者动产有瑕疵的，其他共有人应当分担损失。</w:t>
      </w:r>
    </w:p>
    <w:p w14:paraId="5C018D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第三百零五条　按份共有人可以转让其享有的共有的不动产或者动产份额。其他共有人在同等条件下享有优先购买的权利。</w:t>
      </w:r>
    </w:p>
    <w:p w14:paraId="42A6C1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第三百零六条　按份共有人转让其享有的共有的不动产或者动产份额的，应</w:t>
      </w:r>
      <w:r>
        <w:rPr>
          <w:rFonts w:ascii="宋体" w:eastAsia="宋体" w:hAnsi="宋体" w:cs="宋体" w:hint="eastAsia"/>
          <w:sz w:val="24"/>
        </w:rPr>
        <w:lastRenderedPageBreak/>
        <w:t>当将转让条件及时通知其他共有人。其他共有人应当在合理期限内行使优先购买权。</w:t>
      </w:r>
    </w:p>
    <w:p w14:paraId="126AAB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两个以上其他共有人主张行使优先购买权的，协商确定各自的购买比例；协商不成的，按照转让时各自的共有份额比例行使优先购买权。</w:t>
      </w:r>
    </w:p>
    <w:p w14:paraId="2141C7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第三百零七条　因共有的不动产或者动产产生的债权债务，在对外关系上，共有人享有连带债权、承担连带债务，但是法律另有规定或者第三人知道共有人不具有连带债权债务关系的除外；在共有人内部关系上，除共有人另有约定外，按份共有人按照份额享有债权、承担债务，共同共有人共同享有债权、承担债务。偿还债务超过自己应当承担份额的按份共有人，有权向其他共有人追偿。</w:t>
      </w:r>
    </w:p>
    <w:p w14:paraId="737E4C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第三百零八条　共有人对共有的不动产或者动产没有约定为按份共有或者共同共有，或者约定不明确的，除共有人具有家庭关系等外，视为按份共有。</w:t>
      </w:r>
    </w:p>
    <w:p w14:paraId="4F4825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第三百零九条　按份共有人对共有的不动产或者动产享有的份额，没有约定或者约定不明确的，按照出资额确定；不能确定出资额的，视为等额享有。</w:t>
      </w:r>
    </w:p>
    <w:p w14:paraId="1DDA63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第三百一十条　两个以上组织、个人共同享有用益物权、担保物权的，参照适用本章的有关规定。</w:t>
      </w:r>
    </w:p>
    <w:p w14:paraId="5E3160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第九章　所有权取得的特别规定</w:t>
      </w:r>
    </w:p>
    <w:p w14:paraId="27526D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第三百一十一条　无处分权人将不动产或者动产转让给受让人的，所有权人有权追回；除法律另有规定外，符合下列情形的，受让人取得该不动产或者动产的所有权：</w:t>
      </w:r>
    </w:p>
    <w:p w14:paraId="204A09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（一）受让人受让该不动产或者动产时是善意；</w:t>
      </w:r>
    </w:p>
    <w:p w14:paraId="535242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（二）以合理的价格转让；</w:t>
      </w:r>
    </w:p>
    <w:p w14:paraId="15C86F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（三）转让的不动产或者动产依照法律规定应当登记的已经登记，不需要登记的已经交付给受让人。</w:t>
      </w:r>
    </w:p>
    <w:p w14:paraId="457AD3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受让人依据前款规定取得不动产或者动产的所有权的，原所有权人有权向无处分权人请求损害赔偿。</w:t>
      </w:r>
    </w:p>
    <w:p w14:paraId="14073D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当事人善意取得其他物权的，参照适用前两款规定。</w:t>
      </w:r>
    </w:p>
    <w:p w14:paraId="74D41B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第三百一十二条　所有权人或者其他权利人有权追回遗失物。该遗失物通过转让被他人占有的，权利人有权向无处分权人请求损害赔偿，或者自知道或者应当知道受让人之日起二年内向受让人请求返还原物；但是，受让人通过拍卖或者向具有经营资格的经营者购得该遗失物的，权利人请求返还原物时应当支付受让人所付的费用。权利人向受让人支付所付费用后，有权向无处分权人追偿。</w:t>
      </w:r>
    </w:p>
    <w:p w14:paraId="0825AD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第三百一十三条　善意受让人取得动产后，该动产上的原有权利消灭。但是，善意受让人在</w:t>
      </w:r>
      <w:proofErr w:type="gramStart"/>
      <w:r>
        <w:rPr>
          <w:rFonts w:ascii="宋体" w:eastAsia="宋体" w:hAnsi="宋体" w:cs="宋体" w:hint="eastAsia"/>
          <w:sz w:val="24"/>
        </w:rPr>
        <w:t>受让时知道</w:t>
      </w:r>
      <w:proofErr w:type="gramEnd"/>
      <w:r>
        <w:rPr>
          <w:rFonts w:ascii="宋体" w:eastAsia="宋体" w:hAnsi="宋体" w:cs="宋体" w:hint="eastAsia"/>
          <w:sz w:val="24"/>
        </w:rPr>
        <w:t>或者应当知道该权利的除外。</w:t>
      </w:r>
    </w:p>
    <w:p w14:paraId="2870A1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第三百一十四条　拾得遗失物，应当返还权利人。拾得人应当及时通知权利人领取，或者送交公安等有关部门。</w:t>
      </w:r>
    </w:p>
    <w:p w14:paraId="03FB76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第三百一十五条　有关部门收到遗失物，知道权利人的，应当及时通知其领取；不知道的，应当及时发布招领公告。</w:t>
      </w:r>
    </w:p>
    <w:p w14:paraId="60EDEA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第三百一十六条　拾得人在遗失物送交有关部门前，有关部门在遗失物被领取前，应当妥善保管遗失物。因故意或者重大过失致使遗失物毁损、灭失的，应当承担民事责任。</w:t>
      </w:r>
    </w:p>
    <w:p w14:paraId="223EC0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第三百一十七条　权利人领取遗失物时，应当向拾得人或者有关部门支付保管遗失物等支出的必要费用。</w:t>
      </w:r>
    </w:p>
    <w:p w14:paraId="5C6359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权利人悬赏寻找遗失物的，领取遗失物时应当按照承诺履行义务。</w:t>
      </w:r>
    </w:p>
    <w:p w14:paraId="6A6D91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拾得人侵占遗失物的，无权请求保管遗失物等支出的费用，也无权请求权利人按照承诺履行义务。</w:t>
      </w:r>
    </w:p>
    <w:p w14:paraId="08706A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第三百一十八条　遗失物自发布招领公告之日起一年内无人认领的，归国家所有。</w:t>
      </w:r>
    </w:p>
    <w:p w14:paraId="5BAE8B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第三百一十九条　拾得漂流物、发现埋藏物或者隐藏物的，参照适用拾得遗失物的有关规定。法律另有规定的，依照其规定。</w:t>
      </w:r>
    </w:p>
    <w:p w14:paraId="521EC3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第三百二十条　主物转让的，从物随主物转让，但是当事人另有约定的除外。</w:t>
      </w:r>
    </w:p>
    <w:p w14:paraId="013435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第三百二十一条　天然</w:t>
      </w:r>
      <w:proofErr w:type="gramStart"/>
      <w:r>
        <w:rPr>
          <w:rFonts w:ascii="宋体" w:eastAsia="宋体" w:hAnsi="宋体" w:cs="宋体" w:hint="eastAsia"/>
          <w:sz w:val="24"/>
        </w:rPr>
        <w:t>孳</w:t>
      </w:r>
      <w:proofErr w:type="gramEnd"/>
      <w:r>
        <w:rPr>
          <w:rFonts w:ascii="宋体" w:eastAsia="宋体" w:hAnsi="宋体" w:cs="宋体" w:hint="eastAsia"/>
          <w:sz w:val="24"/>
        </w:rPr>
        <w:t>息，由所有权人取得；既有所有权人又有用益物权人的，由用益物权人取得。当事人另有约定的，按照其约定。</w:t>
      </w:r>
    </w:p>
    <w:p w14:paraId="4AE8E6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法定</w:t>
      </w:r>
      <w:proofErr w:type="gramStart"/>
      <w:r>
        <w:rPr>
          <w:rFonts w:ascii="宋体" w:eastAsia="宋体" w:hAnsi="宋体" w:cs="宋体" w:hint="eastAsia"/>
          <w:sz w:val="24"/>
        </w:rPr>
        <w:t>孳</w:t>
      </w:r>
      <w:proofErr w:type="gramEnd"/>
      <w:r>
        <w:rPr>
          <w:rFonts w:ascii="宋体" w:eastAsia="宋体" w:hAnsi="宋体" w:cs="宋体" w:hint="eastAsia"/>
          <w:sz w:val="24"/>
        </w:rPr>
        <w:t>息，当事人有约定的，按照约定取得；没有约定或者约定不明确的，按照交易习惯取得。</w:t>
      </w:r>
    </w:p>
    <w:p w14:paraId="63E081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第三百二十二条　因加工、附合、混合而产生的物的归属，有约定的，按照约定；没有约定或者约定不明确的，依照法律规定；法律没有规定的，按照充分发挥物的效用以及保护无过错当事人的原则确定。因一方当事人的过错或者确定物的归属造成另一方当事人损害的，应当给予赔偿或者补偿。</w:t>
      </w:r>
    </w:p>
    <w:p w14:paraId="36C52F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第三分编　用益物权</w:t>
      </w:r>
    </w:p>
    <w:p w14:paraId="45BE89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第十章　一般规定</w:t>
      </w:r>
    </w:p>
    <w:p w14:paraId="39BAF7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第三百二十三条　用益物权人对他人所有的不动产或者动产，依法享有占有、使用和收益的权利。</w:t>
      </w:r>
    </w:p>
    <w:p w14:paraId="54C2BA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第三百二十四条　国家所有或者国家所有由集体使用以及法律规定属于集体所有的自然资源，组织、个人依法可以占有、使用和收益。</w:t>
      </w:r>
    </w:p>
    <w:p w14:paraId="4D8590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第三百二十五条　国家实行自然资源有偿使用制度，但是法律另有规定的除外。</w:t>
      </w:r>
    </w:p>
    <w:p w14:paraId="181407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第三百二十六条　用益物权人行使权利，应当遵守法律有关保护和合理开发利用资源、保护生态环境的规定。所有权人不得干涉用益物权人行使权利。</w:t>
      </w:r>
    </w:p>
    <w:p w14:paraId="536A7B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第三百二十七条　因不动产或者动产被征收、征用致使用益物权消灭或者影响用益物权行使的，用益物权人有权依据本法第二百四十三条、第二百四十五条的规定获得相应补偿。</w:t>
      </w:r>
    </w:p>
    <w:p w14:paraId="370766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第三百二十八条　依法取得的海域使用权受法律保护。</w:t>
      </w:r>
    </w:p>
    <w:p w14:paraId="320629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第三百二十九条　依法取得的探矿权、采矿权、取水权和使用水域、滩涂从事养殖、捕捞的权利受法律保护。</w:t>
      </w:r>
    </w:p>
    <w:p w14:paraId="317A06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第十一章　土地承包经营权</w:t>
      </w:r>
    </w:p>
    <w:p w14:paraId="315833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第三百三十条　农村集体经济组织实行家庭承包经营为基础、统分结合的双层经营体制。</w:t>
      </w:r>
    </w:p>
    <w:p w14:paraId="1FCA9D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农民集体所有和国家所有由农民集体使用的耕地、林地、草地以及其他用于农业的土地，依法实行土地承包经营制度。</w:t>
      </w:r>
    </w:p>
    <w:p w14:paraId="3B0ACB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第三百三十一条　土地承包经营权人依法对其承包经营的耕地、林地、草地等享有占有、使用和收益的权利，有权从事种植业、林业、畜牧业等农业生产。</w:t>
      </w:r>
    </w:p>
    <w:p w14:paraId="2838EC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第三百三十二条　耕地的承包期为三十年。草地的承包期为三十年至五十年。林地的承包期为三十年至七十年。</w:t>
      </w:r>
    </w:p>
    <w:p w14:paraId="2AD9E9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前款规定的承包期限届满，由土地承包经营权人依照农村土地承包的法律规定继续承包。</w:t>
      </w:r>
    </w:p>
    <w:p w14:paraId="04E187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第三百三十三条　土地承包经营权自土地承包经营权合同生效时设立。</w:t>
      </w:r>
    </w:p>
    <w:p w14:paraId="5B1D41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登记机构应当向土地承包经营权人发放土地承包经营权证、林权证等证书，并登记造册，确认土地承包经营权。</w:t>
      </w:r>
    </w:p>
    <w:p w14:paraId="0C6C31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第三百三十四条　土地承包经营权人依照法律规定，有权将土地承包经营权互换、转让。未经依法批准，不得将承包地用于非农建设。</w:t>
      </w:r>
    </w:p>
    <w:p w14:paraId="2DA3B9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第三百三十五条　土地承包经营权互换、转让的，当事人可以向登记机构申请登记；未经登记，不得对抗善意第三人。</w:t>
      </w:r>
    </w:p>
    <w:p w14:paraId="7D1C29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第三百三十六条　承包期内发包人不得调整承包地。</w:t>
      </w:r>
    </w:p>
    <w:p w14:paraId="3C6FB0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因自然灾害严重毁损承包地等特殊情形，需要适当调整承包的耕地和草地的，应当依照农村土地承包的法律规定办理。</w:t>
      </w:r>
    </w:p>
    <w:p w14:paraId="23CBF7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第三百三十七条　承包期内发包人不得收回承包地。法律另有规定的，依照其规定。</w:t>
      </w:r>
    </w:p>
    <w:p w14:paraId="62E109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第三百三十八条　承包地被征收的，土地承包经营权人有权依据本法第二百四十三条的规定获得相应补偿。</w:t>
      </w:r>
    </w:p>
    <w:p w14:paraId="6E414C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第三百三十九条　土地承包经营权人可以自主决定依法采取出租、入股或者</w:t>
      </w:r>
      <w:r>
        <w:rPr>
          <w:rFonts w:ascii="宋体" w:eastAsia="宋体" w:hAnsi="宋体" w:cs="宋体" w:hint="eastAsia"/>
          <w:sz w:val="24"/>
        </w:rPr>
        <w:lastRenderedPageBreak/>
        <w:t>其他方式向他人流转土地经营权。</w:t>
      </w:r>
    </w:p>
    <w:p w14:paraId="5A1C99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第三百四十条　土地经营权人有权在合同约定的期限内占有农村土地，自主开展农业生产经营并取得收益。</w:t>
      </w:r>
    </w:p>
    <w:p w14:paraId="1639C9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第三百四十一条　流转期限为五年以上的土地经营权，自流转合同生效时设立。当事人可以向登记机构申请土地经营权登记；未经登记，不得对抗善意第三人。</w:t>
      </w:r>
    </w:p>
    <w:p w14:paraId="41F018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第三百四十二条　通过招标、拍卖、公开协商等方式承包农村土地，经依法登记取得权属证书的，可以依法采取出租、入股、抵押或者其他方式流转土地经营权。</w:t>
      </w:r>
    </w:p>
    <w:p w14:paraId="32DE88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第三百四十三条　国家所有的农用地实行承包经营的，参照适用本编的有关规定。</w:t>
      </w:r>
    </w:p>
    <w:p w14:paraId="1E367D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第十二章　建设用地使用权</w:t>
      </w:r>
    </w:p>
    <w:p w14:paraId="2B7A70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第三百四十四条　建设用地使用权人依法对国家所有的土地享有占有、使用和收益的权利，有权利用该土地建造建筑物、构筑物及其附属设施。</w:t>
      </w:r>
    </w:p>
    <w:p w14:paraId="13422F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第三百四十五条　建设用地使用权可以在土地的地表、地上或者地下分别设立。</w:t>
      </w:r>
    </w:p>
    <w:p w14:paraId="6D2670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第三百四十六条　设立建设用地使用权，应当符合节约资源、保护生态环境的要求，遵守法律、行政法规关于土地用途的规定，不得损害已经设立的用益物权。</w:t>
      </w:r>
    </w:p>
    <w:p w14:paraId="76B91D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第三百四十七条　设立建设用地使用权，可以采取出让或者划拨等方式。</w:t>
      </w:r>
    </w:p>
    <w:p w14:paraId="36A6F1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工业、商业、旅游、娱乐和商品住宅等经营性用地以及同一土地有两个以上意向用地者的，应当采取招标、拍卖等公开竞价的方式出让。</w:t>
      </w:r>
    </w:p>
    <w:p w14:paraId="3D8277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严格限制以划拨方式设立建设用地使用权。</w:t>
      </w:r>
    </w:p>
    <w:p w14:paraId="5139B8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第三百四十八条　通过招标、拍卖、协议等出让方式设立建设用地使用权的，当事人应当采用书面形式订立建设用地使用权出让合同。</w:t>
      </w:r>
    </w:p>
    <w:p w14:paraId="2E54C6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建设用地使用权出让合同一般包括下列条款：</w:t>
      </w:r>
    </w:p>
    <w:p w14:paraId="054AF3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（一）当事人的名称和住所；</w:t>
      </w:r>
    </w:p>
    <w:p w14:paraId="27663F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（二）土地界址、面积等；</w:t>
      </w:r>
    </w:p>
    <w:p w14:paraId="18A784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（三）建筑物、构筑物及其附属设施占用的空间；</w:t>
      </w:r>
    </w:p>
    <w:p w14:paraId="6D8D83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（四）土地用途、规划条件；</w:t>
      </w:r>
    </w:p>
    <w:p w14:paraId="68F419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（五）建设用地使用权期限；</w:t>
      </w:r>
    </w:p>
    <w:p w14:paraId="777FC0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（六）出让金等费用及其支付方式；</w:t>
      </w:r>
    </w:p>
    <w:p w14:paraId="7B0B31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（七）解决争议的方法。</w:t>
      </w:r>
    </w:p>
    <w:p w14:paraId="7788F9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第三百四十九条　设立建设用地使用权的，应当向登记机构申请建设用地使用权登记。建设用地使用权自登记时设立。登记机构应当向建设用地使用权人发放权属证书。</w:t>
      </w:r>
    </w:p>
    <w:p w14:paraId="5CD46C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第三百五十条　建设用地使用权人应当合理利用土地，不得改变土地用途；需要改变土地用途的，应当依法经有关行政主管部门批准。</w:t>
      </w:r>
    </w:p>
    <w:p w14:paraId="5C5C48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第三百五十一条　建设用地使用权人应当依照法律规定以及合同约定支付出让金等费用。</w:t>
      </w:r>
    </w:p>
    <w:p w14:paraId="5B537F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第三百五十二条　建设用地使用权人建造的建筑物、构筑物及其附属设施的所有权属于建设用地使用权人，但是有相反证据证明的除外。</w:t>
      </w:r>
    </w:p>
    <w:p w14:paraId="2D5010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第三百五十三条　建设用地使用权人有权将建设用地使用权转让、互换、出资、赠与或者抵押，但是法律另有规定的除外。</w:t>
      </w:r>
    </w:p>
    <w:p w14:paraId="73892F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第三百五十四条　建设用地使用权转让、互换、出资、赠与或者抵押的，当事人应当采用书面形式订立相应的合同。使用期限由当事人约定，但是不得超过建设用地使用权的剩余期限。</w:t>
      </w:r>
    </w:p>
    <w:p w14:paraId="70E90D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第三百五十五条　建设用地使用权转让、互换、出资或者赠与的，应当向登记机构申请变更登记。</w:t>
      </w:r>
    </w:p>
    <w:p w14:paraId="37AED7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第三百五十六条　建设用地使用权转让、互换、出资或者赠与的，附着于该土地上的建筑物、构筑物及其附属设施一并处分。</w:t>
      </w:r>
    </w:p>
    <w:p w14:paraId="4992DA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第三百五十七条　建筑物、构筑物及其附属设施转让、互换、出资或者赠与的，该建筑物、构筑物及其附属设施占用范围内的建设用地使用权一并处分。</w:t>
      </w:r>
    </w:p>
    <w:p w14:paraId="21D86E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第三百五十八条　建设用地使用权期限届满前，因公共利益需要提前收回该土地的，应当依据本法第二百四十三条的规定对该土地上的房屋以及其他不动产给予补偿，并退还相应的出让金。</w:t>
      </w:r>
    </w:p>
    <w:p w14:paraId="071705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第三百五十九条　住宅建设用地使用权期限届满的，自动续期。续期费用的缴纳或者减免，依照法律、行政法规的规定办理。</w:t>
      </w:r>
    </w:p>
    <w:p w14:paraId="193CA7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非住宅建设用地使用权期限届满后的续期，依照法律规定办理。该土地上的房屋以及其他不动产的归属，有约定的，按照约定；没有约定或者约定不明确的，依照法律、行政法规的规定办理。</w:t>
      </w:r>
    </w:p>
    <w:p w14:paraId="46E9F2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第三百六十条　建设用地使用权消灭的，出让人应当及时办理注销登记。登记机构应当收回权属证书。</w:t>
      </w:r>
    </w:p>
    <w:p w14:paraId="181B7D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第三百六十一条　集体所有的土地作为建设用地的，应当依照土地管理的法律规定办理。</w:t>
      </w:r>
    </w:p>
    <w:p w14:paraId="719BE4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第十三章　宅基地使用权</w:t>
      </w:r>
    </w:p>
    <w:p w14:paraId="049445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第三百六十二条　宅基地使用权人依法对集体所有的土地享有占有和使用的权利，有权依法利用该土地建造住宅及其附属设施。</w:t>
      </w:r>
    </w:p>
    <w:p w14:paraId="473E4C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第三百六十三条　宅基地使用权的取得、行使和转让，适用土地管理的法律和国家有关规定。</w:t>
      </w:r>
    </w:p>
    <w:p w14:paraId="3C1369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第三百六十四条　宅基地因自然灾害等原因灭失的，宅基地使用权消灭。对失去宅基地的村民，应当依法重新分配宅基地。</w:t>
      </w:r>
    </w:p>
    <w:p w14:paraId="4FD531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第三百六十五条　已经登记的宅基地使用权转让或者消灭的，应当及时办理变更登记或者注销登记。</w:t>
      </w:r>
    </w:p>
    <w:p w14:paraId="40D7DB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第十四章　居住权</w:t>
      </w:r>
    </w:p>
    <w:p w14:paraId="34164B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第三百六十六条　居住权人有权按照合同约定，对他人的住宅享有占有、使用的用益物权，以满足生活居住的需要。</w:t>
      </w:r>
    </w:p>
    <w:p w14:paraId="564A77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第三百六十七条　设立居住权，当事人应当采用书面形式订立居住权合同。</w:t>
      </w:r>
    </w:p>
    <w:p w14:paraId="01D2CA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居住权合同一般包括下列条款：</w:t>
      </w:r>
    </w:p>
    <w:p w14:paraId="0EBE29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（一）当事人的姓名或者名称和住所；</w:t>
      </w:r>
    </w:p>
    <w:p w14:paraId="304EC9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（二）住宅的位置；</w:t>
      </w:r>
    </w:p>
    <w:p w14:paraId="598962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（三）居住的条件和要求；</w:t>
      </w:r>
    </w:p>
    <w:p w14:paraId="068AF7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（四）居住权期限；</w:t>
      </w:r>
    </w:p>
    <w:p w14:paraId="1C5844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（五）解决争议的方法。</w:t>
      </w:r>
    </w:p>
    <w:p w14:paraId="0135C2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第三百六十八条　居住权无偿设立，但是当事人另有约定的除外。设立居住权的，应当向登记机构申请居住权登记。</w:t>
      </w:r>
      <w:proofErr w:type="gramStart"/>
      <w:r>
        <w:rPr>
          <w:rFonts w:ascii="宋体" w:eastAsia="宋体" w:hAnsi="宋体" w:cs="宋体" w:hint="eastAsia"/>
          <w:sz w:val="24"/>
        </w:rPr>
        <w:t>居住权自登记</w:t>
      </w:r>
      <w:proofErr w:type="gramEnd"/>
      <w:r>
        <w:rPr>
          <w:rFonts w:ascii="宋体" w:eastAsia="宋体" w:hAnsi="宋体" w:cs="宋体" w:hint="eastAsia"/>
          <w:sz w:val="24"/>
        </w:rPr>
        <w:t>时设立。</w:t>
      </w:r>
    </w:p>
    <w:p w14:paraId="067F87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第三百六十九条　居住权不得转让、继承。设立居住权的住宅不得出租，但是当事人另有约定的除外。</w:t>
      </w:r>
    </w:p>
    <w:p w14:paraId="657816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第三百七十条　居住权期限届满或者居住权人死亡的，居住权消灭。居住权消灭的，应当及时办理注销登记。</w:t>
      </w:r>
    </w:p>
    <w:p w14:paraId="4AFF83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第三百七十一条　以遗嘱方式设立居住权的，参照适用本章的有关规定。</w:t>
      </w:r>
    </w:p>
    <w:p w14:paraId="476A74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第十五章　地役权</w:t>
      </w:r>
    </w:p>
    <w:p w14:paraId="59FBED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第三百七十二条　地役权人有权按照合同约定，利用他人的不动产，以提高自己的不动产的效益。</w:t>
      </w:r>
    </w:p>
    <w:p w14:paraId="30D192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前款所称他人的不动产为供役地，自己的不动产为需役地。</w:t>
      </w:r>
    </w:p>
    <w:p w14:paraId="72F3A8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第三百七十三条　设立地役权，当事人应当采用书面形式订立地役权合同。</w:t>
      </w:r>
    </w:p>
    <w:p w14:paraId="089100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地役权合同一般包括下列条款：</w:t>
      </w:r>
    </w:p>
    <w:p w14:paraId="3DDED3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（一）当事人的姓名或者名称和住所；</w:t>
      </w:r>
    </w:p>
    <w:p w14:paraId="28600D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（二）供役地和需役地的位置；</w:t>
      </w:r>
    </w:p>
    <w:p w14:paraId="07EB0D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（三）利用目的和方法；</w:t>
      </w:r>
    </w:p>
    <w:p w14:paraId="5F6D03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（四）地役权期限；</w:t>
      </w:r>
    </w:p>
    <w:p w14:paraId="743A86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（五）费用及其支付方式；</w:t>
      </w:r>
    </w:p>
    <w:p w14:paraId="044EC1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（六）解决争议的方法。</w:t>
      </w:r>
    </w:p>
    <w:p w14:paraId="5C7136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第三百七十四条　地役权自地役权合同生效时设立。当事人要求登记的，可以向登记机构申请地役权登记；未经登记，不得对抗善意第三人。</w:t>
      </w:r>
    </w:p>
    <w:p w14:paraId="7E4A4A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第三百七十五条　供役</w:t>
      </w:r>
      <w:proofErr w:type="gramStart"/>
      <w:r>
        <w:rPr>
          <w:rFonts w:ascii="宋体" w:eastAsia="宋体" w:hAnsi="宋体" w:cs="宋体" w:hint="eastAsia"/>
          <w:sz w:val="24"/>
        </w:rPr>
        <w:t>地权利</w:t>
      </w:r>
      <w:proofErr w:type="gramEnd"/>
      <w:r>
        <w:rPr>
          <w:rFonts w:ascii="宋体" w:eastAsia="宋体" w:hAnsi="宋体" w:cs="宋体" w:hint="eastAsia"/>
          <w:sz w:val="24"/>
        </w:rPr>
        <w:t>人应当按照合同约定，允许地役权人利用其不动产，不得妨害地役权人行使权利。</w:t>
      </w:r>
    </w:p>
    <w:p w14:paraId="031C0C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第三百七十六条　地役权人应当按照合同约定的利用目的和方法利用供役地，尽量减少对供役</w:t>
      </w:r>
      <w:proofErr w:type="gramStart"/>
      <w:r>
        <w:rPr>
          <w:rFonts w:ascii="宋体" w:eastAsia="宋体" w:hAnsi="宋体" w:cs="宋体" w:hint="eastAsia"/>
          <w:sz w:val="24"/>
        </w:rPr>
        <w:t>地权利人物权</w:t>
      </w:r>
      <w:proofErr w:type="gramEnd"/>
      <w:r>
        <w:rPr>
          <w:rFonts w:ascii="宋体" w:eastAsia="宋体" w:hAnsi="宋体" w:cs="宋体" w:hint="eastAsia"/>
          <w:sz w:val="24"/>
        </w:rPr>
        <w:t>的限制。</w:t>
      </w:r>
    </w:p>
    <w:p w14:paraId="661934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第三百七十七条　地役权期限由当事人约定；但是，不得超过土地承包经营权、建设用地使用权等用益物权的剩余期限。</w:t>
      </w:r>
    </w:p>
    <w:p w14:paraId="700B07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第三百七十八条　土地所有权人享有地役权或者负担地役权的，设立土地承包经营权、宅基地使用权等用益物权时，该用益物权人继续享有或者负担已经设立的地役权。</w:t>
      </w:r>
    </w:p>
    <w:p w14:paraId="722B63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第三百七十九条　土地上已经设立土地承包经营权、建设用地使用权、宅基地使用权等用益物权的，未经用益物权人同意，土地所有权人不得设立地役权。</w:t>
      </w:r>
    </w:p>
    <w:p w14:paraId="058235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第三百八十条　地役权不得单独转让。土地承包经营权、建设用地使用权等转让的，地役权一并转让，但是合同另有约定的除外。</w:t>
      </w:r>
    </w:p>
    <w:p w14:paraId="6F586B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第三百八十一条　地役权不得单独抵押。土地经营权、建设用地使用权等抵押的，在实现抵押权时，地役权一并转让。</w:t>
      </w:r>
    </w:p>
    <w:p w14:paraId="2E21B5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第三百八十二条　需役地以及需役地上的土地承包经营权、建设用地使用权等部分转让时，转让部分涉及地役权的，受让人同时享有地役权。</w:t>
      </w:r>
    </w:p>
    <w:p w14:paraId="5E3003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第三百八十三条　供役地以及供役地上的土地承包经营权、建设用地使用权等部分转让时，转让部分涉及地役权的，地役权对受让人具有法律约束力。</w:t>
      </w:r>
    </w:p>
    <w:p w14:paraId="72F66C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第三百八十四条　地役权人有下列情形之一的，供役</w:t>
      </w:r>
      <w:proofErr w:type="gramStart"/>
      <w:r>
        <w:rPr>
          <w:rFonts w:ascii="宋体" w:eastAsia="宋体" w:hAnsi="宋体" w:cs="宋体" w:hint="eastAsia"/>
          <w:sz w:val="24"/>
        </w:rPr>
        <w:t>地权利</w:t>
      </w:r>
      <w:proofErr w:type="gramEnd"/>
      <w:r>
        <w:rPr>
          <w:rFonts w:ascii="宋体" w:eastAsia="宋体" w:hAnsi="宋体" w:cs="宋体" w:hint="eastAsia"/>
          <w:sz w:val="24"/>
        </w:rPr>
        <w:t>人有权解除地役权合同，地役权消灭：</w:t>
      </w:r>
    </w:p>
    <w:p w14:paraId="72B029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（一）违反法律规定或者合同约定，滥用地役权；</w:t>
      </w:r>
    </w:p>
    <w:p w14:paraId="6B24D0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（二）有偿利用供役地，约定的付款期限届满后在合理期限内经两次催告未支付费用。</w:t>
      </w:r>
    </w:p>
    <w:p w14:paraId="7E6C83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第三百八十五条　已经登记的地役权变更、转让或者消灭的，应当及时办理变更登记或者注销登记。</w:t>
      </w:r>
    </w:p>
    <w:p w14:paraId="23F307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第四分编　担保物权</w:t>
      </w:r>
    </w:p>
    <w:p w14:paraId="3D7AA6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第十六章　一般规定</w:t>
      </w:r>
    </w:p>
    <w:p w14:paraId="25584B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第三百八十六条　担保物权人在债务人不履行到期债务或者发生当事人约定的实现担保物权的情形，依法享有就担保财产优先受偿的权利，但是法律另有规定的除外。</w:t>
      </w:r>
    </w:p>
    <w:p w14:paraId="4766B0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第三百八十七条　债权人在借贷、买卖等民事活动中，为保障实现其债权，需要担保的，可以依照本法和其他法律的规定设立担保物权。</w:t>
      </w:r>
    </w:p>
    <w:p w14:paraId="497D99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第三人为债务人向债权人提供担保的，可以要求债务人提供反担保。反担保适用本法和其他法律的规定。</w:t>
      </w:r>
    </w:p>
    <w:p w14:paraId="7288D3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第三百八十八条　设立担保物权，应当依照本法和其他法律的规定订立担保合同。担保合同包括抵押合同、质押合同和其他具有担保功能的合同。担保合同是主债权债务合同的从合同。主债权债务合同无效的，担保合同无效，但是法律另有规定的除外。</w:t>
      </w:r>
    </w:p>
    <w:p w14:paraId="063334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担保合同被确认无效后，债务人、担保人、债权人有过错的，应当根据其过错各自承担相应的民事责任。</w:t>
      </w:r>
    </w:p>
    <w:p w14:paraId="757F31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第三百八十九条　担保物权的担保范围包括主债权及其利息、违约金、损害</w:t>
      </w:r>
      <w:r>
        <w:rPr>
          <w:rFonts w:ascii="宋体" w:eastAsia="宋体" w:hAnsi="宋体" w:cs="宋体" w:hint="eastAsia"/>
          <w:sz w:val="24"/>
        </w:rPr>
        <w:lastRenderedPageBreak/>
        <w:t>赔偿金、保管担保财产和实现担保物权的费用。当事人另有约定的，按照其约定。</w:t>
      </w:r>
    </w:p>
    <w:p w14:paraId="2B9E2F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第三百九十条　担保期间，担保财产毁损、灭失或者被征收等，担保物权人可以就获得的保险金、赔偿金或者补偿金等优先受偿。被担保债权的履行期限未届满的，也可以提存该保险金、赔偿金或者补偿金等。</w:t>
      </w:r>
    </w:p>
    <w:p w14:paraId="6E9692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第三百九十一条　第三人提供担保，未经其书面同意，债权人允许债务人转移全部或者部分债务的，担保人不再承担相应的担保责任。</w:t>
      </w:r>
    </w:p>
    <w:p w14:paraId="21923A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第三百九十二条　被担保的债权</w:t>
      </w:r>
      <w:proofErr w:type="gramStart"/>
      <w:r>
        <w:rPr>
          <w:rFonts w:ascii="宋体" w:eastAsia="宋体" w:hAnsi="宋体" w:cs="宋体" w:hint="eastAsia"/>
          <w:sz w:val="24"/>
        </w:rPr>
        <w:t>既有物</w:t>
      </w:r>
      <w:proofErr w:type="gramEnd"/>
      <w:r>
        <w:rPr>
          <w:rFonts w:ascii="宋体" w:eastAsia="宋体" w:hAnsi="宋体" w:cs="宋体" w:hint="eastAsia"/>
          <w:sz w:val="24"/>
        </w:rPr>
        <w:t>的担保又有人的担保的，债务人不履行到期债务或者发生当事人约定的实现担保物权的情形，债权人应当按照约定实现债权；没有约定或者约定不明确，债务人自己提供物的担保的，债权人应当先就该物的担保实现债权；第三人提供物的担保的，债权人可以就物的担保实现债权，也可以请求保证人承担保证责任。提供担保的第三人承担担保责任后，有权向债务人追偿。</w:t>
      </w:r>
    </w:p>
    <w:p w14:paraId="01D9F4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第三百九十三条　有下列情形之一的，担保物权消灭：</w:t>
      </w:r>
    </w:p>
    <w:p w14:paraId="2195C7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（一）主债权消灭；</w:t>
      </w:r>
    </w:p>
    <w:p w14:paraId="0A1BAA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（二）担保物权实现；</w:t>
      </w:r>
    </w:p>
    <w:p w14:paraId="6262F4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（三）债权人放弃担保物权；</w:t>
      </w:r>
    </w:p>
    <w:p w14:paraId="0941D0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（四）法律规定担保物权消灭的其他情形。</w:t>
      </w:r>
    </w:p>
    <w:p w14:paraId="3CD6C2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第十七章　抵押权</w:t>
      </w:r>
    </w:p>
    <w:p w14:paraId="15EB1C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一般抵押权</w:t>
      </w:r>
    </w:p>
    <w:p w14:paraId="77A346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第三百九十四条　为担保债务的履行，债务人或者第三人不转移财产的占有，将该财产抵押给债权人的，债务人不履行到期债务或者发生当事人约定的实现抵押权的情形，债权人有权就该财产优先受偿。</w:t>
      </w:r>
    </w:p>
    <w:p w14:paraId="4DE5C9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前款规定的债务人或者第三人为抵押人，债权人为抵押权人，提供担保的财产为抵押财产。</w:t>
      </w:r>
    </w:p>
    <w:p w14:paraId="036173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第三百九十五条　债务人或者第三人有权处分的下列财产可以抵押：</w:t>
      </w:r>
    </w:p>
    <w:p w14:paraId="4C8648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（一）建筑物和其他土地附着物；</w:t>
      </w:r>
    </w:p>
    <w:p w14:paraId="569C28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（二）建设用地使用权；</w:t>
      </w:r>
    </w:p>
    <w:p w14:paraId="3FBFB1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（三）海域使用权；</w:t>
      </w:r>
    </w:p>
    <w:p w14:paraId="3817CD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（四）生产设备、原材料、半成品、产品；</w:t>
      </w:r>
    </w:p>
    <w:p w14:paraId="043EC2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（五）正在建造的建筑物、船舶、航空器；</w:t>
      </w:r>
    </w:p>
    <w:p w14:paraId="76B4EB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（六）交通运输工具；</w:t>
      </w:r>
    </w:p>
    <w:p w14:paraId="15BE07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（七）法律、行政法规未禁止抵押的其他财产。</w:t>
      </w:r>
    </w:p>
    <w:p w14:paraId="36221E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抵押人可以将前款所列财产一并抵押。</w:t>
      </w:r>
    </w:p>
    <w:p w14:paraId="560728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第三百九十六条　企业、个体工商户、农业生产经营者可以将现有的以及将有的生产设备、原材料、半成品、产品抵押，债务人不履行到期债务或者发生当事人约定的实现抵押权的情形，债权人有权就抵押财产确定时的动产优先受偿。</w:t>
      </w:r>
    </w:p>
    <w:p w14:paraId="6BBBE2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第三百九十七条　以建筑物抵押的，该建筑物占用范围内的建设用地使用权一并抵押。以建设用地使用权抵押的，该土地上的建筑物一并抵押。</w:t>
      </w:r>
    </w:p>
    <w:p w14:paraId="21DDCC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抵押人</w:t>
      </w:r>
      <w:proofErr w:type="gramStart"/>
      <w:r>
        <w:rPr>
          <w:rFonts w:ascii="宋体" w:eastAsia="宋体" w:hAnsi="宋体" w:cs="宋体" w:hint="eastAsia"/>
          <w:sz w:val="24"/>
        </w:rPr>
        <w:t>未依据</w:t>
      </w:r>
      <w:proofErr w:type="gramEnd"/>
      <w:r>
        <w:rPr>
          <w:rFonts w:ascii="宋体" w:eastAsia="宋体" w:hAnsi="宋体" w:cs="宋体" w:hint="eastAsia"/>
          <w:sz w:val="24"/>
        </w:rPr>
        <w:t>前款规定一并抵押的，未抵押的财产视为一并抵押。</w:t>
      </w:r>
    </w:p>
    <w:p w14:paraId="55058C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第三百九十八条　乡镇、村企业的建设用地使用权不得单独抵押。以乡镇、村企业的厂房等建筑物抵押的，其占用范围内的建设用地使用权一并抵押。</w:t>
      </w:r>
    </w:p>
    <w:p w14:paraId="50F6F8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第三百九十九条　下列财产不得抵押：</w:t>
      </w:r>
    </w:p>
    <w:p w14:paraId="2DA630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（一）土地所有权；</w:t>
      </w:r>
    </w:p>
    <w:p w14:paraId="5B9293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（二）宅基地、自留地、自留山等集体所有土地的使用权，但是法律规定可以抵押的除外；</w:t>
      </w:r>
    </w:p>
    <w:p w14:paraId="213814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（三）学校、幼儿园、医疗机构等为公益目的成立的非营利法人的教育设施、医疗卫生设施和其他公益设施；</w:t>
      </w:r>
    </w:p>
    <w:p w14:paraId="7F6C36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（四）所有权、使用权不明或者有争议的财产；</w:t>
      </w:r>
    </w:p>
    <w:p w14:paraId="7576B9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（五）依法被查封、扣押、监管的财产；</w:t>
      </w:r>
    </w:p>
    <w:p w14:paraId="66AD1B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（六）法律、行政法规规定不得抵押的其他财产。</w:t>
      </w:r>
    </w:p>
    <w:p w14:paraId="19F841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第四百条　设立抵押权，当事人应当采用书面形式订立抵押合同。</w:t>
      </w:r>
    </w:p>
    <w:p w14:paraId="6403EE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抵押合同一般包括下列条款：</w:t>
      </w:r>
    </w:p>
    <w:p w14:paraId="05E204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（一）被担保债权的种类和数额；</w:t>
      </w:r>
    </w:p>
    <w:p w14:paraId="4AC0BA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（二）债务人履行债务的期限；</w:t>
      </w:r>
    </w:p>
    <w:p w14:paraId="5EC1E7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（三）抵押财产的名称、数量等情况；</w:t>
      </w:r>
    </w:p>
    <w:p w14:paraId="4FCC95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（四）担保的范围。</w:t>
      </w:r>
    </w:p>
    <w:p w14:paraId="767E4F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第四百零一条　抵押权人在债务履行期限届满前，与抵押人约定债务人不履行到期债务时抵押财产归债权人所有的，只能依法就抵押财产优先受偿。</w:t>
      </w:r>
    </w:p>
    <w:p w14:paraId="66AA10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第四百零二条　以本法第三百九十五条第一款第一项至第三项规定的财产或者第五项规定的正在建造的建筑物抵押的，应当办理抵押登记。</w:t>
      </w:r>
      <w:proofErr w:type="gramStart"/>
      <w:r>
        <w:rPr>
          <w:rFonts w:ascii="宋体" w:eastAsia="宋体" w:hAnsi="宋体" w:cs="宋体" w:hint="eastAsia"/>
          <w:sz w:val="24"/>
        </w:rPr>
        <w:t>抵押权自登记</w:t>
      </w:r>
      <w:proofErr w:type="gramEnd"/>
      <w:r>
        <w:rPr>
          <w:rFonts w:ascii="宋体" w:eastAsia="宋体" w:hAnsi="宋体" w:cs="宋体" w:hint="eastAsia"/>
          <w:sz w:val="24"/>
        </w:rPr>
        <w:t>时设立。</w:t>
      </w:r>
    </w:p>
    <w:p w14:paraId="254D22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第四百零三条　以动产抵押的，抵押</w:t>
      </w:r>
      <w:proofErr w:type="gramStart"/>
      <w:r>
        <w:rPr>
          <w:rFonts w:ascii="宋体" w:eastAsia="宋体" w:hAnsi="宋体" w:cs="宋体" w:hint="eastAsia"/>
          <w:sz w:val="24"/>
        </w:rPr>
        <w:t>权自抵押</w:t>
      </w:r>
      <w:proofErr w:type="gramEnd"/>
      <w:r>
        <w:rPr>
          <w:rFonts w:ascii="宋体" w:eastAsia="宋体" w:hAnsi="宋体" w:cs="宋体" w:hint="eastAsia"/>
          <w:sz w:val="24"/>
        </w:rPr>
        <w:t>合同生效时设立；未经登记，不得对抗善意第三人。</w:t>
      </w:r>
    </w:p>
    <w:p w14:paraId="1B2F32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第四百零四条　以动产抵押的，不得对抗正常经营活动中已经支付合理价款并取得抵押财产的买受人。</w:t>
      </w:r>
    </w:p>
    <w:p w14:paraId="7CA1DC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第四百零五条　抵押</w:t>
      </w:r>
      <w:proofErr w:type="gramStart"/>
      <w:r>
        <w:rPr>
          <w:rFonts w:ascii="宋体" w:eastAsia="宋体" w:hAnsi="宋体" w:cs="宋体" w:hint="eastAsia"/>
          <w:sz w:val="24"/>
        </w:rPr>
        <w:t>权设立</w:t>
      </w:r>
      <w:proofErr w:type="gramEnd"/>
      <w:r>
        <w:rPr>
          <w:rFonts w:ascii="宋体" w:eastAsia="宋体" w:hAnsi="宋体" w:cs="宋体" w:hint="eastAsia"/>
          <w:sz w:val="24"/>
        </w:rPr>
        <w:t>前，抵押财产已经出租并转移占有的，原租赁关系不受该抵押权的影响。</w:t>
      </w:r>
    </w:p>
    <w:p w14:paraId="688B3D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第四百零六条　抵押期间，抵押人可以转让抵押财产。当事人另有约定的，按照其约定。抵押财产转让的，抵押权不受影响。</w:t>
      </w:r>
    </w:p>
    <w:p w14:paraId="40CAA3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抵押人转让抵押财产的，应当及时通知抵押权人。抵押权人能够证明抵押财产转让可能损害抵押权的，可以请求抵押人将转让所得的价款向抵押权人提前清偿债务或者提存。转让的价款超过债权数额的部分归抵押人所有，不足部分由债务人清偿。</w:t>
      </w:r>
    </w:p>
    <w:p w14:paraId="38E44E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第四百零七条　抵押权不得与债权分离而单独转让或者作为其他债权的担</w:t>
      </w:r>
      <w:r>
        <w:rPr>
          <w:rFonts w:ascii="宋体" w:eastAsia="宋体" w:hAnsi="宋体" w:cs="宋体" w:hint="eastAsia"/>
          <w:sz w:val="24"/>
        </w:rPr>
        <w:lastRenderedPageBreak/>
        <w:t>保。债权转让的，担保该债权的抵押权一并转让，但是法律另有规定或者当事人另有约定的除外。</w:t>
      </w:r>
    </w:p>
    <w:p w14:paraId="29ADC0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第四百零八条　抵押人的行为足以使抵押财产价值减少的，抵押权人有权请求抵押人停止其行为；抵押财产价值减少的，抵押权人有权请求恢复抵押财产的价值，或者提供与减少的价值相应的担保。抵押人不恢复抵押财产的价值，也不提供担保的，抵押权人有权请求债务人提前清偿债务。</w:t>
      </w:r>
    </w:p>
    <w:p w14:paraId="09AF0F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第四百零九条　抵押权人可以放弃抵押权或者抵押权的顺位。抵押权人与抵押人可以协议变更抵押权顺位以及被担保的债权数额等内容。但是，抵押权的变更未经其他抵押权人书面同意的，不得对其他抵押权人产生不利影响。</w:t>
      </w:r>
    </w:p>
    <w:p w14:paraId="1C0085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债务人以自己的财产设定抵押，抵押权人放弃该抵押权、抵押权顺位或者变更抵押权的，其他担保人在抵押权人丧失优先受偿权益的范围内免除担保责任，但是其他担保人承诺仍然提供担保的除外。</w:t>
      </w:r>
    </w:p>
    <w:p w14:paraId="5B0E4E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第四百一十条　债务人不履行到期债务或者发生当事人约定的实现抵押权的情形，抵押权人可以与抵押人协议以抵押财产折价或者以拍卖、变卖该抵押财产所得的价款优先受偿。协议损害其他债权人利益的，其他债权人可以请求人民法院撤销该协议。</w:t>
      </w:r>
    </w:p>
    <w:p w14:paraId="4EF0E2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抵押权人与抵押人未就抵押权实现方式达成协议的，抵押权人可以请求人民法院拍卖、变卖抵押财产。</w:t>
      </w:r>
    </w:p>
    <w:p w14:paraId="0A2E9A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抵押财产折价或者变卖的，应当参照市场价格。</w:t>
      </w:r>
    </w:p>
    <w:p w14:paraId="38EDC5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第四百一十一条　依据本法第三百九十六条规定设定抵押的，抵押财产</w:t>
      </w:r>
      <w:proofErr w:type="gramStart"/>
      <w:r>
        <w:rPr>
          <w:rFonts w:ascii="宋体" w:eastAsia="宋体" w:hAnsi="宋体" w:cs="宋体" w:hint="eastAsia"/>
          <w:sz w:val="24"/>
        </w:rPr>
        <w:t>自下列</w:t>
      </w:r>
      <w:proofErr w:type="gramEnd"/>
      <w:r>
        <w:rPr>
          <w:rFonts w:ascii="宋体" w:eastAsia="宋体" w:hAnsi="宋体" w:cs="宋体" w:hint="eastAsia"/>
          <w:sz w:val="24"/>
        </w:rPr>
        <w:t>情形之一发生时确定：</w:t>
      </w:r>
    </w:p>
    <w:p w14:paraId="14C6A0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（一）债务履行期限届满，债权未实现；</w:t>
      </w:r>
    </w:p>
    <w:p w14:paraId="230FB4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（二）抵押人被宣告破产或者解散；</w:t>
      </w:r>
    </w:p>
    <w:p w14:paraId="2C959B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（三）当事人约定的实现抵押权的情形；</w:t>
      </w:r>
    </w:p>
    <w:p w14:paraId="028D1C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（四）严重影响债权实现的其他情形。</w:t>
      </w:r>
    </w:p>
    <w:p w14:paraId="7A86CA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第四百一十二条　债务人不履行到期债务或者发生当事人约定的实现抵押权的情形，致使抵押财产被人民法院依法扣押的，自扣押之日起，抵押权人有权收取该抵押财产的天然</w:t>
      </w:r>
      <w:proofErr w:type="gramStart"/>
      <w:r>
        <w:rPr>
          <w:rFonts w:ascii="宋体" w:eastAsia="宋体" w:hAnsi="宋体" w:cs="宋体" w:hint="eastAsia"/>
          <w:sz w:val="24"/>
        </w:rPr>
        <w:t>孳息或者法定孳</w:t>
      </w:r>
      <w:proofErr w:type="gramEnd"/>
      <w:r>
        <w:rPr>
          <w:rFonts w:ascii="宋体" w:eastAsia="宋体" w:hAnsi="宋体" w:cs="宋体" w:hint="eastAsia"/>
          <w:sz w:val="24"/>
        </w:rPr>
        <w:t>息，但是抵押权人未通知应当清偿法定</w:t>
      </w:r>
      <w:proofErr w:type="gramStart"/>
      <w:r>
        <w:rPr>
          <w:rFonts w:ascii="宋体" w:eastAsia="宋体" w:hAnsi="宋体" w:cs="宋体" w:hint="eastAsia"/>
          <w:sz w:val="24"/>
        </w:rPr>
        <w:t>孳息义务</w:t>
      </w:r>
      <w:proofErr w:type="gramEnd"/>
      <w:r>
        <w:rPr>
          <w:rFonts w:ascii="宋体" w:eastAsia="宋体" w:hAnsi="宋体" w:cs="宋体" w:hint="eastAsia"/>
          <w:sz w:val="24"/>
        </w:rPr>
        <w:t>人的除外。</w:t>
      </w:r>
    </w:p>
    <w:p w14:paraId="2018FD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前款规定的</w:t>
      </w:r>
      <w:proofErr w:type="gramStart"/>
      <w:r>
        <w:rPr>
          <w:rFonts w:ascii="宋体" w:eastAsia="宋体" w:hAnsi="宋体" w:cs="宋体" w:hint="eastAsia"/>
          <w:sz w:val="24"/>
        </w:rPr>
        <w:t>孳息应当</w:t>
      </w:r>
      <w:proofErr w:type="gramEnd"/>
      <w:r>
        <w:rPr>
          <w:rFonts w:ascii="宋体" w:eastAsia="宋体" w:hAnsi="宋体" w:cs="宋体" w:hint="eastAsia"/>
          <w:sz w:val="24"/>
        </w:rPr>
        <w:t>先充抵收取</w:t>
      </w:r>
      <w:proofErr w:type="gramStart"/>
      <w:r>
        <w:rPr>
          <w:rFonts w:ascii="宋体" w:eastAsia="宋体" w:hAnsi="宋体" w:cs="宋体" w:hint="eastAsia"/>
          <w:sz w:val="24"/>
        </w:rPr>
        <w:t>孳</w:t>
      </w:r>
      <w:proofErr w:type="gramEnd"/>
      <w:r>
        <w:rPr>
          <w:rFonts w:ascii="宋体" w:eastAsia="宋体" w:hAnsi="宋体" w:cs="宋体" w:hint="eastAsia"/>
          <w:sz w:val="24"/>
        </w:rPr>
        <w:t>息的费用。</w:t>
      </w:r>
    </w:p>
    <w:p w14:paraId="79B395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第四百一十三条　抵押财产折价或者拍卖、变卖后，其价款超过债权数额的部分归抵押人所有，不足部分由债务人清偿。</w:t>
      </w:r>
    </w:p>
    <w:p w14:paraId="798130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第四百一十四条　同一财产向两个以上债权人抵押的，拍卖、变卖抵押财产所得的价款依照下列规定清偿：</w:t>
      </w:r>
    </w:p>
    <w:p w14:paraId="6C2DF8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（一）抵押权已经登记的，按照登记的时间先后确定清偿顺序；</w:t>
      </w:r>
    </w:p>
    <w:p w14:paraId="3AB4CF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（二）抵押权已经登记的先于未登记的受偿；</w:t>
      </w:r>
    </w:p>
    <w:p w14:paraId="457DF6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w:t>
      </w:r>
      <w:proofErr w:type="gramStart"/>
      <w:r>
        <w:rPr>
          <w:rFonts w:ascii="宋体" w:eastAsia="宋体" w:hAnsi="宋体" w:cs="宋体" w:hint="eastAsia"/>
          <w:sz w:val="24"/>
        </w:rPr>
        <w:t>抵押权未登记</w:t>
      </w:r>
      <w:proofErr w:type="gramEnd"/>
      <w:r>
        <w:rPr>
          <w:rFonts w:ascii="宋体" w:eastAsia="宋体" w:hAnsi="宋体" w:cs="宋体" w:hint="eastAsia"/>
          <w:sz w:val="24"/>
        </w:rPr>
        <w:t>的，按照债权比例清偿。</w:t>
      </w:r>
    </w:p>
    <w:p w14:paraId="0C533E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其他可以登记的担保物权，清偿顺序参照适用前款规定。</w:t>
      </w:r>
    </w:p>
    <w:p w14:paraId="708C19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第四百一十五条　同一财产</w:t>
      </w:r>
      <w:proofErr w:type="gramStart"/>
      <w:r>
        <w:rPr>
          <w:rFonts w:ascii="宋体" w:eastAsia="宋体" w:hAnsi="宋体" w:cs="宋体" w:hint="eastAsia"/>
          <w:sz w:val="24"/>
        </w:rPr>
        <w:t>既设立</w:t>
      </w:r>
      <w:proofErr w:type="gramEnd"/>
      <w:r>
        <w:rPr>
          <w:rFonts w:ascii="宋体" w:eastAsia="宋体" w:hAnsi="宋体" w:cs="宋体" w:hint="eastAsia"/>
          <w:sz w:val="24"/>
        </w:rPr>
        <w:t>抵押权又设立质权的，拍卖、变卖该财产所得的价款按照登记、交付的时间先后确定清偿顺序。</w:t>
      </w:r>
    </w:p>
    <w:p w14:paraId="49BC1C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第四百一十六条　动产抵押担保的主债权是抵押物的价款，标的物交付后十日内办理抵押登记的，该抵押权人优先于抵押物买受人的其他担保物权人受偿，但是留置权人除外。</w:t>
      </w:r>
    </w:p>
    <w:p w14:paraId="50918C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第四百一十七条　建设用地使用权抵押后，该土地上新增的建筑物不属于抵押财产。该建设用地使用权实现抵押权时，应当将该土地上新增的建筑物与建设用地使用权一并处分。但是，新增建筑物所得的价款，抵押权人无权优先受偿。</w:t>
      </w:r>
    </w:p>
    <w:p w14:paraId="7AC597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第四百一十八条　以集体所有土地的使用权依法抵押的，实现抵押权后，未经法定程序，不得改变土地所有权的性质和土地用途。</w:t>
      </w:r>
    </w:p>
    <w:p w14:paraId="094B47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第四百一十九条　抵押权人应当在主债权诉讼时效期间行使抵押权；未行使的，人民法院不予保护。</w:t>
      </w:r>
    </w:p>
    <w:p w14:paraId="281279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 xml:space="preserve">第二节　</w:t>
      </w:r>
      <w:proofErr w:type="gramStart"/>
      <w:r>
        <w:rPr>
          <w:rFonts w:ascii="宋体" w:eastAsia="宋体" w:hAnsi="宋体" w:cs="宋体" w:hint="eastAsia"/>
          <w:sz w:val="24"/>
        </w:rPr>
        <w:t>最</w:t>
      </w:r>
      <w:proofErr w:type="gramEnd"/>
      <w:r>
        <w:rPr>
          <w:rFonts w:ascii="宋体" w:eastAsia="宋体" w:hAnsi="宋体" w:cs="宋体" w:hint="eastAsia"/>
          <w:sz w:val="24"/>
        </w:rPr>
        <w:t>高额抵押权</w:t>
      </w:r>
    </w:p>
    <w:p w14:paraId="67D5BF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第四百二十条　为担保债务的履行，债务人或者第三人对一定期间内将要连续发生的债权提供担保财产的，债务人不履行到期债务或者发生当事人约定的实现抵押权的情形，抵押权人有权在最高债权额限度内就该担保财产优先受偿。</w:t>
      </w:r>
    </w:p>
    <w:p w14:paraId="0E15CC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最高额抵押</w:t>
      </w:r>
      <w:proofErr w:type="gramStart"/>
      <w:r>
        <w:rPr>
          <w:rFonts w:ascii="宋体" w:eastAsia="宋体" w:hAnsi="宋体" w:cs="宋体" w:hint="eastAsia"/>
          <w:sz w:val="24"/>
        </w:rPr>
        <w:t>权设立</w:t>
      </w:r>
      <w:proofErr w:type="gramEnd"/>
      <w:r>
        <w:rPr>
          <w:rFonts w:ascii="宋体" w:eastAsia="宋体" w:hAnsi="宋体" w:cs="宋体" w:hint="eastAsia"/>
          <w:sz w:val="24"/>
        </w:rPr>
        <w:t>前已经存在的债权，经当事人同意，可以转入</w:t>
      </w:r>
      <w:proofErr w:type="gramStart"/>
      <w:r>
        <w:rPr>
          <w:rFonts w:ascii="宋体" w:eastAsia="宋体" w:hAnsi="宋体" w:cs="宋体" w:hint="eastAsia"/>
          <w:sz w:val="24"/>
        </w:rPr>
        <w:t>最</w:t>
      </w:r>
      <w:proofErr w:type="gramEnd"/>
      <w:r>
        <w:rPr>
          <w:rFonts w:ascii="宋体" w:eastAsia="宋体" w:hAnsi="宋体" w:cs="宋体" w:hint="eastAsia"/>
          <w:sz w:val="24"/>
        </w:rPr>
        <w:t>高额抵押担保的债权范围。</w:t>
      </w:r>
    </w:p>
    <w:p w14:paraId="75640E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第四百二十一条　</w:t>
      </w:r>
      <w:proofErr w:type="gramStart"/>
      <w:r>
        <w:rPr>
          <w:rFonts w:ascii="宋体" w:eastAsia="宋体" w:hAnsi="宋体" w:cs="宋体" w:hint="eastAsia"/>
          <w:sz w:val="24"/>
        </w:rPr>
        <w:t>最</w:t>
      </w:r>
      <w:proofErr w:type="gramEnd"/>
      <w:r>
        <w:rPr>
          <w:rFonts w:ascii="宋体" w:eastAsia="宋体" w:hAnsi="宋体" w:cs="宋体" w:hint="eastAsia"/>
          <w:sz w:val="24"/>
        </w:rPr>
        <w:t>高额抵押担保的债权确定前，部分债权转让的，</w:t>
      </w:r>
      <w:proofErr w:type="gramStart"/>
      <w:r>
        <w:rPr>
          <w:rFonts w:ascii="宋体" w:eastAsia="宋体" w:hAnsi="宋体" w:cs="宋体" w:hint="eastAsia"/>
          <w:sz w:val="24"/>
        </w:rPr>
        <w:t>最</w:t>
      </w:r>
      <w:proofErr w:type="gramEnd"/>
      <w:r>
        <w:rPr>
          <w:rFonts w:ascii="宋体" w:eastAsia="宋体" w:hAnsi="宋体" w:cs="宋体" w:hint="eastAsia"/>
          <w:sz w:val="24"/>
        </w:rPr>
        <w:t>高额抵押权不得转让，但是当事人另有约定的除外。</w:t>
      </w:r>
    </w:p>
    <w:p w14:paraId="1A825D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第四百二十二条　</w:t>
      </w:r>
      <w:proofErr w:type="gramStart"/>
      <w:r>
        <w:rPr>
          <w:rFonts w:ascii="宋体" w:eastAsia="宋体" w:hAnsi="宋体" w:cs="宋体" w:hint="eastAsia"/>
          <w:sz w:val="24"/>
        </w:rPr>
        <w:t>最</w:t>
      </w:r>
      <w:proofErr w:type="gramEnd"/>
      <w:r>
        <w:rPr>
          <w:rFonts w:ascii="宋体" w:eastAsia="宋体" w:hAnsi="宋体" w:cs="宋体" w:hint="eastAsia"/>
          <w:sz w:val="24"/>
        </w:rPr>
        <w:t>高额抵押担保的债权确定前，抵押权人与抵押人可以通过协议变更债权确定的期间、债权范围以及最高债权额。但是，变更的内容不得对其他抵押权人产生不利影响。</w:t>
      </w:r>
    </w:p>
    <w:p w14:paraId="165A10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第四百二十三条　有下列情形之一的，抵押权人的债权确定：</w:t>
      </w:r>
    </w:p>
    <w:p w14:paraId="1824FE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（一）约定的债权确定期间届满；</w:t>
      </w:r>
    </w:p>
    <w:p w14:paraId="5E41BC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（二）没有约定债权确定期间或者约定不明确，抵押权人或者抵押人自</w:t>
      </w:r>
      <w:proofErr w:type="gramStart"/>
      <w:r>
        <w:rPr>
          <w:rFonts w:ascii="宋体" w:eastAsia="宋体" w:hAnsi="宋体" w:cs="宋体" w:hint="eastAsia"/>
          <w:sz w:val="24"/>
        </w:rPr>
        <w:t>最</w:t>
      </w:r>
      <w:proofErr w:type="gramEnd"/>
      <w:r>
        <w:rPr>
          <w:rFonts w:ascii="宋体" w:eastAsia="宋体" w:hAnsi="宋体" w:cs="宋体" w:hint="eastAsia"/>
          <w:sz w:val="24"/>
        </w:rPr>
        <w:t>高额抵押</w:t>
      </w:r>
      <w:proofErr w:type="gramStart"/>
      <w:r>
        <w:rPr>
          <w:rFonts w:ascii="宋体" w:eastAsia="宋体" w:hAnsi="宋体" w:cs="宋体" w:hint="eastAsia"/>
          <w:sz w:val="24"/>
        </w:rPr>
        <w:t>权设立</w:t>
      </w:r>
      <w:proofErr w:type="gramEnd"/>
      <w:r>
        <w:rPr>
          <w:rFonts w:ascii="宋体" w:eastAsia="宋体" w:hAnsi="宋体" w:cs="宋体" w:hint="eastAsia"/>
          <w:sz w:val="24"/>
        </w:rPr>
        <w:t>之日起满二年后请求确定债权；</w:t>
      </w:r>
    </w:p>
    <w:p w14:paraId="1AF3A0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（三）新的债权不可能发生；</w:t>
      </w:r>
    </w:p>
    <w:p w14:paraId="0F5739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（四）抵押权人知道或者应当知道抵押财产被查封、扣押；</w:t>
      </w:r>
    </w:p>
    <w:p w14:paraId="204E47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（五）债务人、抵押人被宣告破产或者解散；</w:t>
      </w:r>
    </w:p>
    <w:p w14:paraId="762626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（六）法律规定债权确定的其他情形。</w:t>
      </w:r>
    </w:p>
    <w:p w14:paraId="309CBC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第四百二十四条　</w:t>
      </w:r>
      <w:proofErr w:type="gramStart"/>
      <w:r>
        <w:rPr>
          <w:rFonts w:ascii="宋体" w:eastAsia="宋体" w:hAnsi="宋体" w:cs="宋体" w:hint="eastAsia"/>
          <w:sz w:val="24"/>
        </w:rPr>
        <w:t>最</w:t>
      </w:r>
      <w:proofErr w:type="gramEnd"/>
      <w:r>
        <w:rPr>
          <w:rFonts w:ascii="宋体" w:eastAsia="宋体" w:hAnsi="宋体" w:cs="宋体" w:hint="eastAsia"/>
          <w:sz w:val="24"/>
        </w:rPr>
        <w:t>高额</w:t>
      </w:r>
      <w:proofErr w:type="gramStart"/>
      <w:r>
        <w:rPr>
          <w:rFonts w:ascii="宋体" w:eastAsia="宋体" w:hAnsi="宋体" w:cs="宋体" w:hint="eastAsia"/>
          <w:sz w:val="24"/>
        </w:rPr>
        <w:t>抵押权除适用</w:t>
      </w:r>
      <w:proofErr w:type="gramEnd"/>
      <w:r>
        <w:rPr>
          <w:rFonts w:ascii="宋体" w:eastAsia="宋体" w:hAnsi="宋体" w:cs="宋体" w:hint="eastAsia"/>
          <w:sz w:val="24"/>
        </w:rPr>
        <w:t>本节规定外，适用本章第一节的有关规定。</w:t>
      </w:r>
    </w:p>
    <w:p w14:paraId="07FD13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第十八章　质权</w:t>
      </w:r>
    </w:p>
    <w:p w14:paraId="12DD2E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动产质权</w:t>
      </w:r>
    </w:p>
    <w:p w14:paraId="4A3F83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第四百二十五条　为担保债务的履行，债务人或者第三人将其动产</w:t>
      </w:r>
      <w:proofErr w:type="gramStart"/>
      <w:r>
        <w:rPr>
          <w:rFonts w:ascii="宋体" w:eastAsia="宋体" w:hAnsi="宋体" w:cs="宋体" w:hint="eastAsia"/>
          <w:sz w:val="24"/>
        </w:rPr>
        <w:t>出质给债</w:t>
      </w:r>
      <w:r>
        <w:rPr>
          <w:rFonts w:ascii="宋体" w:eastAsia="宋体" w:hAnsi="宋体" w:cs="宋体" w:hint="eastAsia"/>
          <w:sz w:val="24"/>
        </w:rPr>
        <w:lastRenderedPageBreak/>
        <w:t>权人</w:t>
      </w:r>
      <w:proofErr w:type="gramEnd"/>
      <w:r>
        <w:rPr>
          <w:rFonts w:ascii="宋体" w:eastAsia="宋体" w:hAnsi="宋体" w:cs="宋体" w:hint="eastAsia"/>
          <w:sz w:val="24"/>
        </w:rPr>
        <w:t>占有的，债务人不履行到期债务或者发生当事人约定的实现质权的情形，债权人有权就该动产优先受偿。</w:t>
      </w:r>
    </w:p>
    <w:p w14:paraId="019831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前款规定的债务人或者第三人为出质人，债权人为质权人，交付的动产为质押财产。</w:t>
      </w:r>
    </w:p>
    <w:p w14:paraId="46AA72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第四百二十六条　法律、行政法规禁止转让的动产</w:t>
      </w:r>
      <w:proofErr w:type="gramStart"/>
      <w:r>
        <w:rPr>
          <w:rFonts w:ascii="宋体" w:eastAsia="宋体" w:hAnsi="宋体" w:cs="宋体" w:hint="eastAsia"/>
          <w:sz w:val="24"/>
        </w:rPr>
        <w:t>不</w:t>
      </w:r>
      <w:proofErr w:type="gramEnd"/>
      <w:r>
        <w:rPr>
          <w:rFonts w:ascii="宋体" w:eastAsia="宋体" w:hAnsi="宋体" w:cs="宋体" w:hint="eastAsia"/>
          <w:sz w:val="24"/>
        </w:rPr>
        <w:t>得出质。</w:t>
      </w:r>
    </w:p>
    <w:p w14:paraId="13F208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第四百二十七条　设立质权，当事人应当采用书面形式订立质押合同。</w:t>
      </w:r>
    </w:p>
    <w:p w14:paraId="4738C8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质押合同一般包括下列条款：</w:t>
      </w:r>
    </w:p>
    <w:p w14:paraId="687F56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（一）被担保债权的种类和数额；</w:t>
      </w:r>
    </w:p>
    <w:p w14:paraId="7831C1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（二）债务人履行债务的期限；</w:t>
      </w:r>
    </w:p>
    <w:p w14:paraId="27EC57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（三）质押财产的名称、数量等情况；</w:t>
      </w:r>
    </w:p>
    <w:p w14:paraId="30E32A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（四）担保的范围；</w:t>
      </w:r>
    </w:p>
    <w:p w14:paraId="15E7D6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（五）质押财产交付的时间、方式。</w:t>
      </w:r>
    </w:p>
    <w:p w14:paraId="7A154A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第四百二十八条　质权人在债务履行期限届满前，与出质人约定债务人不履行到期债务时质押财产归债权人所有的，只能依法就质押财产优先受偿。</w:t>
      </w:r>
    </w:p>
    <w:p w14:paraId="1DD4F4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第四百二十九条　</w:t>
      </w:r>
      <w:proofErr w:type="gramStart"/>
      <w:r>
        <w:rPr>
          <w:rFonts w:ascii="宋体" w:eastAsia="宋体" w:hAnsi="宋体" w:cs="宋体" w:hint="eastAsia"/>
          <w:sz w:val="24"/>
        </w:rPr>
        <w:t>质权自出</w:t>
      </w:r>
      <w:proofErr w:type="gramEnd"/>
      <w:r>
        <w:rPr>
          <w:rFonts w:ascii="宋体" w:eastAsia="宋体" w:hAnsi="宋体" w:cs="宋体" w:hint="eastAsia"/>
          <w:sz w:val="24"/>
        </w:rPr>
        <w:t>质人交付质押财产时设立。</w:t>
      </w:r>
    </w:p>
    <w:p w14:paraId="0DA6D9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第四百三十条　质权人有权收取质押财产的</w:t>
      </w:r>
      <w:proofErr w:type="gramStart"/>
      <w:r>
        <w:rPr>
          <w:rFonts w:ascii="宋体" w:eastAsia="宋体" w:hAnsi="宋体" w:cs="宋体" w:hint="eastAsia"/>
          <w:sz w:val="24"/>
        </w:rPr>
        <w:t>孳</w:t>
      </w:r>
      <w:proofErr w:type="gramEnd"/>
      <w:r>
        <w:rPr>
          <w:rFonts w:ascii="宋体" w:eastAsia="宋体" w:hAnsi="宋体" w:cs="宋体" w:hint="eastAsia"/>
          <w:sz w:val="24"/>
        </w:rPr>
        <w:t>息，但是合同另有约定的除外。</w:t>
      </w:r>
    </w:p>
    <w:p w14:paraId="550332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前款规定的</w:t>
      </w:r>
      <w:proofErr w:type="gramStart"/>
      <w:r>
        <w:rPr>
          <w:rFonts w:ascii="宋体" w:eastAsia="宋体" w:hAnsi="宋体" w:cs="宋体" w:hint="eastAsia"/>
          <w:sz w:val="24"/>
        </w:rPr>
        <w:t>孳息应当</w:t>
      </w:r>
      <w:proofErr w:type="gramEnd"/>
      <w:r>
        <w:rPr>
          <w:rFonts w:ascii="宋体" w:eastAsia="宋体" w:hAnsi="宋体" w:cs="宋体" w:hint="eastAsia"/>
          <w:sz w:val="24"/>
        </w:rPr>
        <w:t>先充抵收取</w:t>
      </w:r>
      <w:proofErr w:type="gramStart"/>
      <w:r>
        <w:rPr>
          <w:rFonts w:ascii="宋体" w:eastAsia="宋体" w:hAnsi="宋体" w:cs="宋体" w:hint="eastAsia"/>
          <w:sz w:val="24"/>
        </w:rPr>
        <w:t>孳</w:t>
      </w:r>
      <w:proofErr w:type="gramEnd"/>
      <w:r>
        <w:rPr>
          <w:rFonts w:ascii="宋体" w:eastAsia="宋体" w:hAnsi="宋体" w:cs="宋体" w:hint="eastAsia"/>
          <w:sz w:val="24"/>
        </w:rPr>
        <w:t>息的费用。</w:t>
      </w:r>
    </w:p>
    <w:p w14:paraId="76B793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第四百三十一条　质权人在质权存续期间，未经出质人同意，擅自使用、处分质押财产，造成出质人损害的，应当承担赔偿责任。</w:t>
      </w:r>
    </w:p>
    <w:p w14:paraId="7BA2A9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第四百三十二条　质权人负有妥善保管质押财产的义务；因保管不善致使质押财产毁损、灭失的，应当承担赔偿责任。</w:t>
      </w:r>
    </w:p>
    <w:p w14:paraId="2A5B29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质权人的行为可能使质押财产毁损、灭失的，出质人可以请求质权人将质押财产提存，或者请求提前清偿债务并返还质押财产。</w:t>
      </w:r>
    </w:p>
    <w:p w14:paraId="064B3F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第四百三十三条　因不可归责于质权人的事由可能使质押财产毁损或者价</w:t>
      </w:r>
      <w:r>
        <w:rPr>
          <w:rFonts w:ascii="宋体" w:eastAsia="宋体" w:hAnsi="宋体" w:cs="宋体" w:hint="eastAsia"/>
          <w:sz w:val="24"/>
        </w:rPr>
        <w:lastRenderedPageBreak/>
        <w:t>值明显减少，足以危害质权人权利的，质权人有权请求出质人提供相应的担保；出质人不提供的，质权人可以拍卖、变卖质押财产，并与出质人协议将拍卖、变卖所得的价款提前清偿债务或者提存。</w:t>
      </w:r>
    </w:p>
    <w:p w14:paraId="0FDDEE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第四百三十四条　质权人在质权存续期间，未经出质人同意转质，造成质押财产毁损、灭失的，应当承担赔偿责任。</w:t>
      </w:r>
    </w:p>
    <w:p w14:paraId="5014AA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第四百三十五条　质权人可以放弃质权。债务人以自己的财产出质，质权人</w:t>
      </w:r>
      <w:proofErr w:type="gramStart"/>
      <w:r>
        <w:rPr>
          <w:rFonts w:ascii="宋体" w:eastAsia="宋体" w:hAnsi="宋体" w:cs="宋体" w:hint="eastAsia"/>
          <w:sz w:val="24"/>
        </w:rPr>
        <w:t>放弃该质权</w:t>
      </w:r>
      <w:proofErr w:type="gramEnd"/>
      <w:r>
        <w:rPr>
          <w:rFonts w:ascii="宋体" w:eastAsia="宋体" w:hAnsi="宋体" w:cs="宋体" w:hint="eastAsia"/>
          <w:sz w:val="24"/>
        </w:rPr>
        <w:t>的，其他担保人在质权人丧失优先受偿权益的范围内免除担保责任，但是其他担保人承诺仍然提供担保的除外。</w:t>
      </w:r>
    </w:p>
    <w:p w14:paraId="43E95A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第四百三十六条　债务人履行债务或者出质人提前清偿所担保的债权的，质权人应当返还质押财产。</w:t>
      </w:r>
    </w:p>
    <w:p w14:paraId="6A48A7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债务人不履行到期债务或者发生当事人约定的实现质权的情形，质权人可以与出质人协议以质押财产折价，也可以就拍卖、变卖质押财产所得的价款优先受偿。</w:t>
      </w:r>
    </w:p>
    <w:p w14:paraId="0057F8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质押财产折价或者变卖的，应当参照市场价格。</w:t>
      </w:r>
    </w:p>
    <w:p w14:paraId="49E102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第四百三十七条　出质人可以请求质权人在债务履行期限届满后及时行使质权；质权人不行使的，出质人可以请求人民法院拍卖、变卖质押财产。</w:t>
      </w:r>
    </w:p>
    <w:p w14:paraId="5825D6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出质人请求质权人及时行使质权，因质权人</w:t>
      </w:r>
      <w:proofErr w:type="gramStart"/>
      <w:r>
        <w:rPr>
          <w:rFonts w:ascii="宋体" w:eastAsia="宋体" w:hAnsi="宋体" w:cs="宋体" w:hint="eastAsia"/>
          <w:sz w:val="24"/>
        </w:rPr>
        <w:t>怠</w:t>
      </w:r>
      <w:proofErr w:type="gramEnd"/>
      <w:r>
        <w:rPr>
          <w:rFonts w:ascii="宋体" w:eastAsia="宋体" w:hAnsi="宋体" w:cs="宋体" w:hint="eastAsia"/>
          <w:sz w:val="24"/>
        </w:rPr>
        <w:t>于行使权利造成出质人损害的，由质权人承担赔偿责任。</w:t>
      </w:r>
    </w:p>
    <w:p w14:paraId="3E9E08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第四百三十八条　质押财产折价或者拍卖、变卖后，其价款超过债权数额的部分归出质人所有，不足部分由债务人清偿。</w:t>
      </w:r>
    </w:p>
    <w:p w14:paraId="4FB8F8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第四百三十九条　出质人与质权人可以协议设立</w:t>
      </w:r>
      <w:proofErr w:type="gramStart"/>
      <w:r>
        <w:rPr>
          <w:rFonts w:ascii="宋体" w:eastAsia="宋体" w:hAnsi="宋体" w:cs="宋体" w:hint="eastAsia"/>
          <w:sz w:val="24"/>
        </w:rPr>
        <w:t>最</w:t>
      </w:r>
      <w:proofErr w:type="gramEnd"/>
      <w:r>
        <w:rPr>
          <w:rFonts w:ascii="宋体" w:eastAsia="宋体" w:hAnsi="宋体" w:cs="宋体" w:hint="eastAsia"/>
          <w:sz w:val="24"/>
        </w:rPr>
        <w:t>高额质权。</w:t>
      </w:r>
    </w:p>
    <w:p w14:paraId="061C9D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最高额</w:t>
      </w:r>
      <w:proofErr w:type="gramStart"/>
      <w:r>
        <w:rPr>
          <w:rFonts w:ascii="宋体" w:eastAsia="宋体" w:hAnsi="宋体" w:cs="宋体" w:hint="eastAsia"/>
          <w:sz w:val="24"/>
        </w:rPr>
        <w:t>质权除适用</w:t>
      </w:r>
      <w:proofErr w:type="gramEnd"/>
      <w:r>
        <w:rPr>
          <w:rFonts w:ascii="宋体" w:eastAsia="宋体" w:hAnsi="宋体" w:cs="宋体" w:hint="eastAsia"/>
          <w:sz w:val="24"/>
        </w:rPr>
        <w:t>本节有关规定外，参照适用本编第十七章第二节的有关规定。</w:t>
      </w:r>
    </w:p>
    <w:p w14:paraId="12D0BE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权利质权</w:t>
      </w:r>
    </w:p>
    <w:p w14:paraId="6D286A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第四百四十条　债务人或者第三人有权处分的下列权利可以出质：</w:t>
      </w:r>
    </w:p>
    <w:p w14:paraId="429D8B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（一）汇票、本票、支票；</w:t>
      </w:r>
    </w:p>
    <w:p w14:paraId="30F250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（二）债券、存款单；</w:t>
      </w:r>
    </w:p>
    <w:p w14:paraId="5B0E41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（三）仓单、提单；</w:t>
      </w:r>
    </w:p>
    <w:p w14:paraId="4CE0D8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（四）可以转让的基金份额、股权；</w:t>
      </w:r>
    </w:p>
    <w:p w14:paraId="68CEFF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（五）可以转让的注册商标专用权、专利权、著作权等知识产权中的财产权；</w:t>
      </w:r>
    </w:p>
    <w:p w14:paraId="683C7C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（六）现有的以及将有的应收账款；</w:t>
      </w:r>
    </w:p>
    <w:p w14:paraId="738B2C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（七）法律、行政法规规定可以出质的其他财产权利。</w:t>
      </w:r>
    </w:p>
    <w:p w14:paraId="3D49D2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第四百四十一条　以汇票、本票、支票、债券、存款单、仓单、提单出质的，</w:t>
      </w:r>
      <w:proofErr w:type="gramStart"/>
      <w:r>
        <w:rPr>
          <w:rFonts w:ascii="宋体" w:eastAsia="宋体" w:hAnsi="宋体" w:cs="宋体" w:hint="eastAsia"/>
          <w:sz w:val="24"/>
        </w:rPr>
        <w:t>质权自权利</w:t>
      </w:r>
      <w:proofErr w:type="gramEnd"/>
      <w:r>
        <w:rPr>
          <w:rFonts w:ascii="宋体" w:eastAsia="宋体" w:hAnsi="宋体" w:cs="宋体" w:hint="eastAsia"/>
          <w:sz w:val="24"/>
        </w:rPr>
        <w:t>凭证交付质权人时设立；没有权利凭证的，</w:t>
      </w:r>
      <w:proofErr w:type="gramStart"/>
      <w:r>
        <w:rPr>
          <w:rFonts w:ascii="宋体" w:eastAsia="宋体" w:hAnsi="宋体" w:cs="宋体" w:hint="eastAsia"/>
          <w:sz w:val="24"/>
        </w:rPr>
        <w:t>质权自办理</w:t>
      </w:r>
      <w:proofErr w:type="gramEnd"/>
      <w:r>
        <w:rPr>
          <w:rFonts w:ascii="宋体" w:eastAsia="宋体" w:hAnsi="宋体" w:cs="宋体" w:hint="eastAsia"/>
          <w:sz w:val="24"/>
        </w:rPr>
        <w:t>出质登记时设立。法律另有规定的，依照其规定。</w:t>
      </w:r>
    </w:p>
    <w:p w14:paraId="54111A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第四百四十二条　汇票、本票、支票、债券、存款单、仓单、提单的兑现日期或者提货日期先于主债权到期的，质权人可以兑现或者提货，并与出质人协议将兑现的价款或者提取的货物提前清偿债务或者提存。</w:t>
      </w:r>
    </w:p>
    <w:p w14:paraId="2F397B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第四百四十三条　以基金份额、股权出质的，</w:t>
      </w:r>
      <w:proofErr w:type="gramStart"/>
      <w:r>
        <w:rPr>
          <w:rFonts w:ascii="宋体" w:eastAsia="宋体" w:hAnsi="宋体" w:cs="宋体" w:hint="eastAsia"/>
          <w:sz w:val="24"/>
        </w:rPr>
        <w:t>质权自办理</w:t>
      </w:r>
      <w:proofErr w:type="gramEnd"/>
      <w:r>
        <w:rPr>
          <w:rFonts w:ascii="宋体" w:eastAsia="宋体" w:hAnsi="宋体" w:cs="宋体" w:hint="eastAsia"/>
          <w:sz w:val="24"/>
        </w:rPr>
        <w:t>出质登记时设立。</w:t>
      </w:r>
    </w:p>
    <w:p w14:paraId="4B4776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基金份额、股权出质后，不得转让，但是出质人与质权人协商同意的除外。出质人转让基金份额、股权所得的价款，应当向质权人提前清偿债务或者提存。</w:t>
      </w:r>
    </w:p>
    <w:p w14:paraId="0F8B5F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第四百四十四条　以注册商标专用权、专利权、著作权等知识产权中的财产权出质的，</w:t>
      </w:r>
      <w:proofErr w:type="gramStart"/>
      <w:r>
        <w:rPr>
          <w:rFonts w:ascii="宋体" w:eastAsia="宋体" w:hAnsi="宋体" w:cs="宋体" w:hint="eastAsia"/>
          <w:sz w:val="24"/>
        </w:rPr>
        <w:t>质权自办理</w:t>
      </w:r>
      <w:proofErr w:type="gramEnd"/>
      <w:r>
        <w:rPr>
          <w:rFonts w:ascii="宋体" w:eastAsia="宋体" w:hAnsi="宋体" w:cs="宋体" w:hint="eastAsia"/>
          <w:sz w:val="24"/>
        </w:rPr>
        <w:t>出质登记时设立。</w:t>
      </w:r>
    </w:p>
    <w:p w14:paraId="70D89C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知识产权中的财产权出质后，出质人不得转让或者许可他人使用，但是出质人与质权人协商同意的除外。出质人转让或者许可他人使用出质的知识产权中的财产权所得的价款，应当向质权人提前清偿债务或者提存。</w:t>
      </w:r>
    </w:p>
    <w:p w14:paraId="40E9AA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第四百四十五条　以应收账款出质的，</w:t>
      </w:r>
      <w:proofErr w:type="gramStart"/>
      <w:r>
        <w:rPr>
          <w:rFonts w:ascii="宋体" w:eastAsia="宋体" w:hAnsi="宋体" w:cs="宋体" w:hint="eastAsia"/>
          <w:sz w:val="24"/>
        </w:rPr>
        <w:t>质权自办理</w:t>
      </w:r>
      <w:proofErr w:type="gramEnd"/>
      <w:r>
        <w:rPr>
          <w:rFonts w:ascii="宋体" w:eastAsia="宋体" w:hAnsi="宋体" w:cs="宋体" w:hint="eastAsia"/>
          <w:sz w:val="24"/>
        </w:rPr>
        <w:t>出质登记时设立。</w:t>
      </w:r>
    </w:p>
    <w:p w14:paraId="5F4E13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应收账款出质后，不得转让，但是出质人与质权人协商同意的除外。出质人转让应收账款所得的价款，应当向质权人提前清偿债务或者提存。</w:t>
      </w:r>
    </w:p>
    <w:p w14:paraId="514ADB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第四百四十六条　权利</w:t>
      </w:r>
      <w:proofErr w:type="gramStart"/>
      <w:r>
        <w:rPr>
          <w:rFonts w:ascii="宋体" w:eastAsia="宋体" w:hAnsi="宋体" w:cs="宋体" w:hint="eastAsia"/>
          <w:sz w:val="24"/>
        </w:rPr>
        <w:t>质权除适用</w:t>
      </w:r>
      <w:proofErr w:type="gramEnd"/>
      <w:r>
        <w:rPr>
          <w:rFonts w:ascii="宋体" w:eastAsia="宋体" w:hAnsi="宋体" w:cs="宋体" w:hint="eastAsia"/>
          <w:sz w:val="24"/>
        </w:rPr>
        <w:t>本节规定外，适用本章第一节的有关规定。</w:t>
      </w:r>
    </w:p>
    <w:p w14:paraId="3FCE58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第十九章　留置权</w:t>
      </w:r>
    </w:p>
    <w:p w14:paraId="6A1984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第四百四十七条　债务人不履行到期债务，债权人可以留置已经合法占有的债务人的动产，并有权就该动产优先受偿。</w:t>
      </w:r>
    </w:p>
    <w:p w14:paraId="6FFFC7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前款规定的债权人为留置权人，占有的动产为留置财产。</w:t>
      </w:r>
    </w:p>
    <w:p w14:paraId="428815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第四百四十八条　债权人留置的动产，应当与债权属于同一法律关系，但是企业之间留置的除外。</w:t>
      </w:r>
    </w:p>
    <w:p w14:paraId="79ADFD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第四百四十九条　法律规定或者当事人约定不得留置的动产，不得留置。</w:t>
      </w:r>
    </w:p>
    <w:p w14:paraId="22D9AF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第四百五十条　留置财产为可分物的，留置财产的价值应当相当于债务的金额。</w:t>
      </w:r>
    </w:p>
    <w:p w14:paraId="142C02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第四百五十一条　留置权人负有妥善保管留置财产的义务；因保管不善致使留置财产毁损、灭失的，应当承担赔偿责任。</w:t>
      </w:r>
    </w:p>
    <w:p w14:paraId="777725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第四百五十二条　留置权人有权收取留置财产的</w:t>
      </w:r>
      <w:proofErr w:type="gramStart"/>
      <w:r>
        <w:rPr>
          <w:rFonts w:ascii="宋体" w:eastAsia="宋体" w:hAnsi="宋体" w:cs="宋体" w:hint="eastAsia"/>
          <w:sz w:val="24"/>
        </w:rPr>
        <w:t>孳</w:t>
      </w:r>
      <w:proofErr w:type="gramEnd"/>
      <w:r>
        <w:rPr>
          <w:rFonts w:ascii="宋体" w:eastAsia="宋体" w:hAnsi="宋体" w:cs="宋体" w:hint="eastAsia"/>
          <w:sz w:val="24"/>
        </w:rPr>
        <w:t>息。</w:t>
      </w:r>
    </w:p>
    <w:p w14:paraId="30D8A0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前款规定的</w:t>
      </w:r>
      <w:proofErr w:type="gramStart"/>
      <w:r>
        <w:rPr>
          <w:rFonts w:ascii="宋体" w:eastAsia="宋体" w:hAnsi="宋体" w:cs="宋体" w:hint="eastAsia"/>
          <w:sz w:val="24"/>
        </w:rPr>
        <w:t>孳息应当</w:t>
      </w:r>
      <w:proofErr w:type="gramEnd"/>
      <w:r>
        <w:rPr>
          <w:rFonts w:ascii="宋体" w:eastAsia="宋体" w:hAnsi="宋体" w:cs="宋体" w:hint="eastAsia"/>
          <w:sz w:val="24"/>
        </w:rPr>
        <w:t>先充抵收取</w:t>
      </w:r>
      <w:proofErr w:type="gramStart"/>
      <w:r>
        <w:rPr>
          <w:rFonts w:ascii="宋体" w:eastAsia="宋体" w:hAnsi="宋体" w:cs="宋体" w:hint="eastAsia"/>
          <w:sz w:val="24"/>
        </w:rPr>
        <w:t>孳</w:t>
      </w:r>
      <w:proofErr w:type="gramEnd"/>
      <w:r>
        <w:rPr>
          <w:rFonts w:ascii="宋体" w:eastAsia="宋体" w:hAnsi="宋体" w:cs="宋体" w:hint="eastAsia"/>
          <w:sz w:val="24"/>
        </w:rPr>
        <w:t>息的费用。</w:t>
      </w:r>
    </w:p>
    <w:p w14:paraId="019CF6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第四百五十三条　留置权人与债务人应当约定留置财产后的债务履行期限；没有约定或者约定不明确的，留置权人应当给债务人六十日以上履行债务的期限，但是鲜活易腐等不易保管的动产除外。债务人逾期未履行的，留置权人可以与债务人协议以留置财产折价，也可以就拍卖、变卖留置财产所得的价款优先受偿。</w:t>
      </w:r>
    </w:p>
    <w:p w14:paraId="7D9F7D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留置财产折价或者变卖的，应当参照市场价格。</w:t>
      </w:r>
    </w:p>
    <w:p w14:paraId="6A9864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第四百五十四条　债务人可以请求留置权人在债务履行期限届满后行使留置权；留置权人不行使的，债务人可以请求人民法院拍卖、变卖留置财产。</w:t>
      </w:r>
    </w:p>
    <w:p w14:paraId="7345E5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第四百五十五条　留置财产折价或者拍卖、变卖后，其价款超过债权数额的部分归债务人所有，不足部分由债务人清偿。</w:t>
      </w:r>
    </w:p>
    <w:p w14:paraId="5B8EFD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第四百五十六条　同一动产上已经设立抵押权或者质权，该动产又被留置的，留置权人优先受偿。</w:t>
      </w:r>
    </w:p>
    <w:p w14:paraId="17AAE6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第四百五十七条　留置权人对留置财产丧失占有或者留置权人接受债务人另行提供担保的，留置权消灭。</w:t>
      </w:r>
    </w:p>
    <w:p w14:paraId="126AFD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第五分编　占有</w:t>
      </w:r>
    </w:p>
    <w:p w14:paraId="2D976F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第二十章　占有</w:t>
      </w:r>
    </w:p>
    <w:p w14:paraId="2590D2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第四百五十八条　基于合同关系等产生的占有，有关不动产或者动产的使用、收益、违约责任等，按照合同约定；合同没有约定或者约定不明确的，依照有关法律规定。</w:t>
      </w:r>
    </w:p>
    <w:p w14:paraId="3FEF6C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第四百五十九条　占有人因使用占有的不动产或者动产，致使该不动产或者动产受到损害的，恶意占有人应当承担赔偿责任。</w:t>
      </w:r>
    </w:p>
    <w:p w14:paraId="5F1E63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第四百六十条　不动产或者动产被占有人占有的，权利人可以请求返还原物及其</w:t>
      </w:r>
      <w:proofErr w:type="gramStart"/>
      <w:r>
        <w:rPr>
          <w:rFonts w:ascii="宋体" w:eastAsia="宋体" w:hAnsi="宋体" w:cs="宋体" w:hint="eastAsia"/>
          <w:sz w:val="24"/>
        </w:rPr>
        <w:t>孳</w:t>
      </w:r>
      <w:proofErr w:type="gramEnd"/>
      <w:r>
        <w:rPr>
          <w:rFonts w:ascii="宋体" w:eastAsia="宋体" w:hAnsi="宋体" w:cs="宋体" w:hint="eastAsia"/>
          <w:sz w:val="24"/>
        </w:rPr>
        <w:t>息；但是，应当支付善意占有人因维护该不动产或者动产支出的必要费用。</w:t>
      </w:r>
    </w:p>
    <w:p w14:paraId="2BD4E1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第四百六十一条　占有的不动产或者动产毁损、灭失，该不动产或者动产的权利人请求赔偿的，占有人应当将因毁损、灭失取得的保险金、赔偿金或者补偿金等返还</w:t>
      </w:r>
      <w:proofErr w:type="gramStart"/>
      <w:r>
        <w:rPr>
          <w:rFonts w:ascii="宋体" w:eastAsia="宋体" w:hAnsi="宋体" w:cs="宋体" w:hint="eastAsia"/>
          <w:sz w:val="24"/>
        </w:rPr>
        <w:t>给权利</w:t>
      </w:r>
      <w:proofErr w:type="gramEnd"/>
      <w:r>
        <w:rPr>
          <w:rFonts w:ascii="宋体" w:eastAsia="宋体" w:hAnsi="宋体" w:cs="宋体" w:hint="eastAsia"/>
          <w:sz w:val="24"/>
        </w:rPr>
        <w:t>人；权利人的损害未得到足够弥补的，恶意占有人还应当赔偿损失。</w:t>
      </w:r>
    </w:p>
    <w:p w14:paraId="20D187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第四百六十二条　占有的不动产或者动产被侵占的，占有人有权请求返还原物；对妨害占有的行为，占有人有权请求排除妨害或者消除危险；因侵占或者妨害造成损害的，占有人有权依法请求损害赔偿。</w:t>
      </w:r>
    </w:p>
    <w:p w14:paraId="213D7A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占有人返还原物的请求权，自侵占发生之日起一年内未行使的，该请求权消灭。</w:t>
      </w:r>
    </w:p>
    <w:p w14:paraId="4E7F8D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第三编　合同</w:t>
      </w:r>
    </w:p>
    <w:p w14:paraId="0E6166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第一分编　通则</w:t>
      </w:r>
    </w:p>
    <w:p w14:paraId="49A5A5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一般规定</w:t>
      </w:r>
    </w:p>
    <w:p w14:paraId="72D37B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第四百六十三条　本编调整因合同产生的民事关系。</w:t>
      </w:r>
    </w:p>
    <w:p w14:paraId="363BA0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第四百六十四条　合同是民事主体之间设立、变更、终止民事法律关系的协</w:t>
      </w:r>
      <w:r>
        <w:rPr>
          <w:rFonts w:ascii="宋体" w:eastAsia="宋体" w:hAnsi="宋体" w:cs="宋体" w:hint="eastAsia"/>
          <w:sz w:val="24"/>
        </w:rPr>
        <w:lastRenderedPageBreak/>
        <w:t>议。</w:t>
      </w:r>
    </w:p>
    <w:p w14:paraId="2889C2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婚姻、收养、监护等有关身份关系的协议，适用有关该身份关系的法律规定；没有规定的，可以根据其性质参照适用本编规定。</w:t>
      </w:r>
    </w:p>
    <w:p w14:paraId="47FED8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第四百六十五条　依法成立的合同，受法律保护。</w:t>
      </w:r>
    </w:p>
    <w:p w14:paraId="16D28A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依法成立的合同，仅对当事人具有法律约束力，但是法律另有规定的除外。</w:t>
      </w:r>
    </w:p>
    <w:p w14:paraId="26295F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第四百六十六条　当事人对合同条款的理解有争议的，应当依据本法第一百四十二条第一款的规定，确定争议条款的含义。</w:t>
      </w:r>
    </w:p>
    <w:p w14:paraId="1C2E4A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合同文本采用两种以上文字订立并约定具有同等效力的，对各文本使用的词句推定具有相同含义。各文本使用的词句不一致的，应当根据合同的相关条款、性质、目的以及诚信原则等予以解释。</w:t>
      </w:r>
    </w:p>
    <w:p w14:paraId="36FA94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第四百六十七条　本法或者其他法律没有明文规定的合同，适用本编通则的规定，并可以参照适用本编或者其他法律最相类似合同的规定。</w:t>
      </w:r>
    </w:p>
    <w:p w14:paraId="462BE6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在中华人民共和国境内履行的中外合资经营企业合同、中外合作经营企业合同、中外合作勘探开发自然资源合同，适用中华人民共和国法律。</w:t>
      </w:r>
    </w:p>
    <w:p w14:paraId="1D46D3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第四百六十八条　非因合同产生的债权债务关系，适用有关该债权债务关系的法律规定；没有规定的，适用本编通则的有关规定，但是根据其性质不能适用的除外。</w:t>
      </w:r>
    </w:p>
    <w:p w14:paraId="411EB2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合同的订立</w:t>
      </w:r>
    </w:p>
    <w:p w14:paraId="51B912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第四百六十九条　当事人订立合同，可以采用书面形式、口头形式或者其他形式。</w:t>
      </w:r>
    </w:p>
    <w:p w14:paraId="4407A4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书面形式是合同书、信件、电报、电传、传真等可以有形地表现所载内容的形式。</w:t>
      </w:r>
    </w:p>
    <w:p w14:paraId="743206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以电子数据交换、电子邮件等方式能够有形地表现所载内容，并可以随时调取查用的数据电文，视为书面形式。</w:t>
      </w:r>
    </w:p>
    <w:p w14:paraId="3E3020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第四百七十条　合同的内容由当事人约定，一般包括下列条款：</w:t>
      </w:r>
    </w:p>
    <w:p w14:paraId="574E9F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（一）当事人的姓名或者名称和住所；</w:t>
      </w:r>
    </w:p>
    <w:p w14:paraId="7E4EE2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（二）标的；</w:t>
      </w:r>
    </w:p>
    <w:p w14:paraId="3350F1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（三）数量；</w:t>
      </w:r>
    </w:p>
    <w:p w14:paraId="4340F7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（四）质量；</w:t>
      </w:r>
    </w:p>
    <w:p w14:paraId="2E6E82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（五）价款或者报酬；</w:t>
      </w:r>
    </w:p>
    <w:p w14:paraId="609085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（六）履行期限、地点和方式；</w:t>
      </w:r>
    </w:p>
    <w:p w14:paraId="236A9A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（七）违约责任；</w:t>
      </w:r>
    </w:p>
    <w:p w14:paraId="4BBC29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（八）解决争议的方法。</w:t>
      </w:r>
    </w:p>
    <w:p w14:paraId="0C8841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当事人可以参照各类合同的示范文本订立合同。</w:t>
      </w:r>
    </w:p>
    <w:p w14:paraId="6237CC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第四百七十一条　当事人订立合同，可以采取要约、承诺方式或者其他方式。</w:t>
      </w:r>
    </w:p>
    <w:p w14:paraId="11A6B2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第四百七十二条　要约是希望与他人订立合同的意思表示，该意思表示应当符合下列条件：</w:t>
      </w:r>
    </w:p>
    <w:p w14:paraId="432BAE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（一）内容具体确定；</w:t>
      </w:r>
    </w:p>
    <w:p w14:paraId="7DC3F5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（二）表明经受要约人承诺，要约人即受该意思表示约束。</w:t>
      </w:r>
    </w:p>
    <w:p w14:paraId="619B69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第四百七十三条　要约邀请是希望他人向自己发出要约的表示。拍卖公告、招标公告、招股说明书、债券募集办法、基金招募说明书、商业广告和宣传、寄送的价目表等为要约邀请。</w:t>
      </w:r>
    </w:p>
    <w:p w14:paraId="2236C5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商业广告和宣传的内容符合要约条件的，构成要约。</w:t>
      </w:r>
    </w:p>
    <w:p w14:paraId="2A3431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第四百七十四条　要约生效的时间适用本法第一百三十七条的规定。</w:t>
      </w:r>
    </w:p>
    <w:p w14:paraId="2F6CA6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第四百七十五条　要约可以撤回。要约的撤回适用本法第一百四十一条的规定。</w:t>
      </w:r>
    </w:p>
    <w:p w14:paraId="763EF5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第四百七十六条　要约可以撤销，但是有下列情形之一的除外：</w:t>
      </w:r>
    </w:p>
    <w:p w14:paraId="685BF2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（一）要约人以确定承诺期限或者其他形式明示要约不可撤销；</w:t>
      </w:r>
    </w:p>
    <w:p w14:paraId="2A8280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（二）受要约人有理由认为要约是不可撤销的，并已经为履行合同做了合理准备工作。</w:t>
      </w:r>
    </w:p>
    <w:p w14:paraId="6B98EB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第四百七十七条　撤销要约的意思表示以对话方式</w:t>
      </w:r>
      <w:proofErr w:type="gramStart"/>
      <w:r>
        <w:rPr>
          <w:rFonts w:ascii="宋体" w:eastAsia="宋体" w:hAnsi="宋体" w:cs="宋体" w:hint="eastAsia"/>
          <w:sz w:val="24"/>
        </w:rPr>
        <w:t>作出</w:t>
      </w:r>
      <w:proofErr w:type="gramEnd"/>
      <w:r>
        <w:rPr>
          <w:rFonts w:ascii="宋体" w:eastAsia="宋体" w:hAnsi="宋体" w:cs="宋体" w:hint="eastAsia"/>
          <w:sz w:val="24"/>
        </w:rPr>
        <w:t>的，该意思表示的内容应当在受要约人</w:t>
      </w:r>
      <w:proofErr w:type="gramStart"/>
      <w:r>
        <w:rPr>
          <w:rFonts w:ascii="宋体" w:eastAsia="宋体" w:hAnsi="宋体" w:cs="宋体" w:hint="eastAsia"/>
          <w:sz w:val="24"/>
        </w:rPr>
        <w:t>作出</w:t>
      </w:r>
      <w:proofErr w:type="gramEnd"/>
      <w:r>
        <w:rPr>
          <w:rFonts w:ascii="宋体" w:eastAsia="宋体" w:hAnsi="宋体" w:cs="宋体" w:hint="eastAsia"/>
          <w:sz w:val="24"/>
        </w:rPr>
        <w:t>承诺之前为受要约人所知道；撤销要约的意思表示以非对话方式</w:t>
      </w:r>
      <w:proofErr w:type="gramStart"/>
      <w:r>
        <w:rPr>
          <w:rFonts w:ascii="宋体" w:eastAsia="宋体" w:hAnsi="宋体" w:cs="宋体" w:hint="eastAsia"/>
          <w:sz w:val="24"/>
        </w:rPr>
        <w:t>作出</w:t>
      </w:r>
      <w:proofErr w:type="gramEnd"/>
      <w:r>
        <w:rPr>
          <w:rFonts w:ascii="宋体" w:eastAsia="宋体" w:hAnsi="宋体" w:cs="宋体" w:hint="eastAsia"/>
          <w:sz w:val="24"/>
        </w:rPr>
        <w:t>的，应当在受要约人</w:t>
      </w:r>
      <w:proofErr w:type="gramStart"/>
      <w:r>
        <w:rPr>
          <w:rFonts w:ascii="宋体" w:eastAsia="宋体" w:hAnsi="宋体" w:cs="宋体" w:hint="eastAsia"/>
          <w:sz w:val="24"/>
        </w:rPr>
        <w:t>作出</w:t>
      </w:r>
      <w:proofErr w:type="gramEnd"/>
      <w:r>
        <w:rPr>
          <w:rFonts w:ascii="宋体" w:eastAsia="宋体" w:hAnsi="宋体" w:cs="宋体" w:hint="eastAsia"/>
          <w:sz w:val="24"/>
        </w:rPr>
        <w:t>承诺之前到达受要约人。</w:t>
      </w:r>
    </w:p>
    <w:p w14:paraId="64899A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第四百七十八条　有下列情形之一的，要约失效：</w:t>
      </w:r>
    </w:p>
    <w:p w14:paraId="0E0108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（一）要约被拒绝；</w:t>
      </w:r>
    </w:p>
    <w:p w14:paraId="58BC05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（二）要约被依法撤销；</w:t>
      </w:r>
    </w:p>
    <w:p w14:paraId="402A10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（三）承诺期限届满，受要约人未</w:t>
      </w:r>
      <w:proofErr w:type="gramStart"/>
      <w:r>
        <w:rPr>
          <w:rFonts w:ascii="宋体" w:eastAsia="宋体" w:hAnsi="宋体" w:cs="宋体" w:hint="eastAsia"/>
          <w:sz w:val="24"/>
        </w:rPr>
        <w:t>作出</w:t>
      </w:r>
      <w:proofErr w:type="gramEnd"/>
      <w:r>
        <w:rPr>
          <w:rFonts w:ascii="宋体" w:eastAsia="宋体" w:hAnsi="宋体" w:cs="宋体" w:hint="eastAsia"/>
          <w:sz w:val="24"/>
        </w:rPr>
        <w:t>承诺；</w:t>
      </w:r>
    </w:p>
    <w:p w14:paraId="28CAC4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（四）受要约人对要约的内容</w:t>
      </w:r>
      <w:proofErr w:type="gramStart"/>
      <w:r>
        <w:rPr>
          <w:rFonts w:ascii="宋体" w:eastAsia="宋体" w:hAnsi="宋体" w:cs="宋体" w:hint="eastAsia"/>
          <w:sz w:val="24"/>
        </w:rPr>
        <w:t>作出</w:t>
      </w:r>
      <w:proofErr w:type="gramEnd"/>
      <w:r>
        <w:rPr>
          <w:rFonts w:ascii="宋体" w:eastAsia="宋体" w:hAnsi="宋体" w:cs="宋体" w:hint="eastAsia"/>
          <w:sz w:val="24"/>
        </w:rPr>
        <w:t>实质性变更。</w:t>
      </w:r>
    </w:p>
    <w:p w14:paraId="05E6E7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第四百七十九条　承诺是受要约人同意要约的意思表示。</w:t>
      </w:r>
    </w:p>
    <w:p w14:paraId="06539E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第四百八十条　承诺应当以通知的方式</w:t>
      </w:r>
      <w:proofErr w:type="gramStart"/>
      <w:r>
        <w:rPr>
          <w:rFonts w:ascii="宋体" w:eastAsia="宋体" w:hAnsi="宋体" w:cs="宋体" w:hint="eastAsia"/>
          <w:sz w:val="24"/>
        </w:rPr>
        <w:t>作出</w:t>
      </w:r>
      <w:proofErr w:type="gramEnd"/>
      <w:r>
        <w:rPr>
          <w:rFonts w:ascii="宋体" w:eastAsia="宋体" w:hAnsi="宋体" w:cs="宋体" w:hint="eastAsia"/>
          <w:sz w:val="24"/>
        </w:rPr>
        <w:t>；但是，根据交易习惯或者要约表明可以通过行为</w:t>
      </w:r>
      <w:proofErr w:type="gramStart"/>
      <w:r>
        <w:rPr>
          <w:rFonts w:ascii="宋体" w:eastAsia="宋体" w:hAnsi="宋体" w:cs="宋体" w:hint="eastAsia"/>
          <w:sz w:val="24"/>
        </w:rPr>
        <w:t>作出</w:t>
      </w:r>
      <w:proofErr w:type="gramEnd"/>
      <w:r>
        <w:rPr>
          <w:rFonts w:ascii="宋体" w:eastAsia="宋体" w:hAnsi="宋体" w:cs="宋体" w:hint="eastAsia"/>
          <w:sz w:val="24"/>
        </w:rPr>
        <w:t>承诺的除外。</w:t>
      </w:r>
    </w:p>
    <w:p w14:paraId="50EA46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第四百八十一条　承诺应当在要约确定的期限内到达要约人。</w:t>
      </w:r>
    </w:p>
    <w:p w14:paraId="4698D8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要约没有确定承诺期限的，承诺应当依照下列规定到达：</w:t>
      </w:r>
    </w:p>
    <w:p w14:paraId="70C544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（一）要约以对话方式</w:t>
      </w:r>
      <w:proofErr w:type="gramStart"/>
      <w:r>
        <w:rPr>
          <w:rFonts w:ascii="宋体" w:eastAsia="宋体" w:hAnsi="宋体" w:cs="宋体" w:hint="eastAsia"/>
          <w:sz w:val="24"/>
        </w:rPr>
        <w:t>作出</w:t>
      </w:r>
      <w:proofErr w:type="gramEnd"/>
      <w:r>
        <w:rPr>
          <w:rFonts w:ascii="宋体" w:eastAsia="宋体" w:hAnsi="宋体" w:cs="宋体" w:hint="eastAsia"/>
          <w:sz w:val="24"/>
        </w:rPr>
        <w:t>的，应当即时</w:t>
      </w:r>
      <w:proofErr w:type="gramStart"/>
      <w:r>
        <w:rPr>
          <w:rFonts w:ascii="宋体" w:eastAsia="宋体" w:hAnsi="宋体" w:cs="宋体" w:hint="eastAsia"/>
          <w:sz w:val="24"/>
        </w:rPr>
        <w:t>作出</w:t>
      </w:r>
      <w:proofErr w:type="gramEnd"/>
      <w:r>
        <w:rPr>
          <w:rFonts w:ascii="宋体" w:eastAsia="宋体" w:hAnsi="宋体" w:cs="宋体" w:hint="eastAsia"/>
          <w:sz w:val="24"/>
        </w:rPr>
        <w:t>承诺；</w:t>
      </w:r>
    </w:p>
    <w:p w14:paraId="5AD51F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（二）要约以非对话方式</w:t>
      </w:r>
      <w:proofErr w:type="gramStart"/>
      <w:r>
        <w:rPr>
          <w:rFonts w:ascii="宋体" w:eastAsia="宋体" w:hAnsi="宋体" w:cs="宋体" w:hint="eastAsia"/>
          <w:sz w:val="24"/>
        </w:rPr>
        <w:t>作出</w:t>
      </w:r>
      <w:proofErr w:type="gramEnd"/>
      <w:r>
        <w:rPr>
          <w:rFonts w:ascii="宋体" w:eastAsia="宋体" w:hAnsi="宋体" w:cs="宋体" w:hint="eastAsia"/>
          <w:sz w:val="24"/>
        </w:rPr>
        <w:t>的，承诺应当在合理期限内到达。</w:t>
      </w:r>
    </w:p>
    <w:p w14:paraId="3D1ECC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第四百八十二条　要约以信件或者电报</w:t>
      </w:r>
      <w:proofErr w:type="gramStart"/>
      <w:r>
        <w:rPr>
          <w:rFonts w:ascii="宋体" w:eastAsia="宋体" w:hAnsi="宋体" w:cs="宋体" w:hint="eastAsia"/>
          <w:sz w:val="24"/>
        </w:rPr>
        <w:t>作出</w:t>
      </w:r>
      <w:proofErr w:type="gramEnd"/>
      <w:r>
        <w:rPr>
          <w:rFonts w:ascii="宋体" w:eastAsia="宋体" w:hAnsi="宋体" w:cs="宋体" w:hint="eastAsia"/>
          <w:sz w:val="24"/>
        </w:rPr>
        <w:t>的，承诺期限自信件载明的日期或者电报交发之日开始计算。信件未载明日期的，自投寄该信件的邮戳日期开始计算。要约以电话、传真、电子邮件等快速通讯方式</w:t>
      </w:r>
      <w:proofErr w:type="gramStart"/>
      <w:r>
        <w:rPr>
          <w:rFonts w:ascii="宋体" w:eastAsia="宋体" w:hAnsi="宋体" w:cs="宋体" w:hint="eastAsia"/>
          <w:sz w:val="24"/>
        </w:rPr>
        <w:t>作出</w:t>
      </w:r>
      <w:proofErr w:type="gramEnd"/>
      <w:r>
        <w:rPr>
          <w:rFonts w:ascii="宋体" w:eastAsia="宋体" w:hAnsi="宋体" w:cs="宋体" w:hint="eastAsia"/>
          <w:sz w:val="24"/>
        </w:rPr>
        <w:t>的，承诺期限自要约到达受要约人时开始计算。</w:t>
      </w:r>
    </w:p>
    <w:p w14:paraId="619B0A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第四百八十三条　承诺生效时合同成立，但是法律另有规定或者当事人另有约定的除外。</w:t>
      </w:r>
    </w:p>
    <w:p w14:paraId="13DD8F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第四百八十四条　以通知方式</w:t>
      </w:r>
      <w:proofErr w:type="gramStart"/>
      <w:r>
        <w:rPr>
          <w:rFonts w:ascii="宋体" w:eastAsia="宋体" w:hAnsi="宋体" w:cs="宋体" w:hint="eastAsia"/>
          <w:sz w:val="24"/>
        </w:rPr>
        <w:t>作出</w:t>
      </w:r>
      <w:proofErr w:type="gramEnd"/>
      <w:r>
        <w:rPr>
          <w:rFonts w:ascii="宋体" w:eastAsia="宋体" w:hAnsi="宋体" w:cs="宋体" w:hint="eastAsia"/>
          <w:sz w:val="24"/>
        </w:rPr>
        <w:t>的承诺，生效的时间适用本法第一百三十</w:t>
      </w:r>
      <w:r>
        <w:rPr>
          <w:rFonts w:ascii="宋体" w:eastAsia="宋体" w:hAnsi="宋体" w:cs="宋体" w:hint="eastAsia"/>
          <w:sz w:val="24"/>
        </w:rPr>
        <w:lastRenderedPageBreak/>
        <w:t>七条的规定。</w:t>
      </w:r>
    </w:p>
    <w:p w14:paraId="35C6E3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承诺不需要通知的，根据交易习惯或者要约的要求</w:t>
      </w:r>
      <w:proofErr w:type="gramStart"/>
      <w:r>
        <w:rPr>
          <w:rFonts w:ascii="宋体" w:eastAsia="宋体" w:hAnsi="宋体" w:cs="宋体" w:hint="eastAsia"/>
          <w:sz w:val="24"/>
        </w:rPr>
        <w:t>作出</w:t>
      </w:r>
      <w:proofErr w:type="gramEnd"/>
      <w:r>
        <w:rPr>
          <w:rFonts w:ascii="宋体" w:eastAsia="宋体" w:hAnsi="宋体" w:cs="宋体" w:hint="eastAsia"/>
          <w:sz w:val="24"/>
        </w:rPr>
        <w:t>承诺的行为时生效。</w:t>
      </w:r>
    </w:p>
    <w:p w14:paraId="2A2030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第四百八十五条　承诺可以撤回。承诺的撤回适用本法第一百四十一条的规定。</w:t>
      </w:r>
    </w:p>
    <w:p w14:paraId="2FF0DC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第四百八十六条　受要约人超过承诺期限发出承诺，或者在承诺期限内发出承诺，按照通常情形不能及时到达要约人的，为新要约；但是，要约人及时通知受要约人该承诺有效的除外。</w:t>
      </w:r>
    </w:p>
    <w:p w14:paraId="4644A0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第四百八十七条　受要约人在承诺期限内发出承诺，按照通常情形能够及时到达要约人，但是因其他原因致使承诺到达要约人时超过承诺期限的，除要约人及时通知受要约人因承诺超过期限不接受该承诺外，该承诺有效。</w:t>
      </w:r>
    </w:p>
    <w:p w14:paraId="51CA7D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第四百八十八条　承诺的内容应当与要约的内容一致。受要约人对要约的内容</w:t>
      </w:r>
      <w:proofErr w:type="gramStart"/>
      <w:r>
        <w:rPr>
          <w:rFonts w:ascii="宋体" w:eastAsia="宋体" w:hAnsi="宋体" w:cs="宋体" w:hint="eastAsia"/>
          <w:sz w:val="24"/>
        </w:rPr>
        <w:t>作出</w:t>
      </w:r>
      <w:proofErr w:type="gramEnd"/>
      <w:r>
        <w:rPr>
          <w:rFonts w:ascii="宋体" w:eastAsia="宋体" w:hAnsi="宋体" w:cs="宋体" w:hint="eastAsia"/>
          <w:sz w:val="24"/>
        </w:rPr>
        <w:t>实质性变更的，为新要约。有关合同标的、数量、质量、价款或者报酬、履行期限、履行地点和方式、违约责任和解决争议方法等的变更，是对要约内容的实质性变更。</w:t>
      </w:r>
    </w:p>
    <w:p w14:paraId="604597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第四百八十九条　承诺对要约的内容</w:t>
      </w:r>
      <w:proofErr w:type="gramStart"/>
      <w:r>
        <w:rPr>
          <w:rFonts w:ascii="宋体" w:eastAsia="宋体" w:hAnsi="宋体" w:cs="宋体" w:hint="eastAsia"/>
          <w:sz w:val="24"/>
        </w:rPr>
        <w:t>作出</w:t>
      </w:r>
      <w:proofErr w:type="gramEnd"/>
      <w:r>
        <w:rPr>
          <w:rFonts w:ascii="宋体" w:eastAsia="宋体" w:hAnsi="宋体" w:cs="宋体" w:hint="eastAsia"/>
          <w:sz w:val="24"/>
        </w:rPr>
        <w:t>非实质性变更的，除要约人及时表示反对或者要约表明承诺不得对要约的内容</w:t>
      </w:r>
      <w:proofErr w:type="gramStart"/>
      <w:r>
        <w:rPr>
          <w:rFonts w:ascii="宋体" w:eastAsia="宋体" w:hAnsi="宋体" w:cs="宋体" w:hint="eastAsia"/>
          <w:sz w:val="24"/>
        </w:rPr>
        <w:t>作出</w:t>
      </w:r>
      <w:proofErr w:type="gramEnd"/>
      <w:r>
        <w:rPr>
          <w:rFonts w:ascii="宋体" w:eastAsia="宋体" w:hAnsi="宋体" w:cs="宋体" w:hint="eastAsia"/>
          <w:sz w:val="24"/>
        </w:rPr>
        <w:t>任何变更外，该承诺有效，合同的内容以承诺的内容为准。</w:t>
      </w:r>
    </w:p>
    <w:p w14:paraId="68CBD7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第四百九十条　当事人采用合同书形式订立合同的，自当事人均签名、盖章或者按指印时合同成立。在签名、盖章或者按指印之前，当事人一方已经履行主要义务，对方接受时，该合同成立。</w:t>
      </w:r>
    </w:p>
    <w:p w14:paraId="6F2461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法律、行政法规规定或者当事人约定合同应当采用书面形式订立，当事人未采用书面形式但是一方已经履行主要义务，对方接受时，该合同成立。</w:t>
      </w:r>
    </w:p>
    <w:p w14:paraId="61B377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第四百九十一条　当事人采用信件、数据电文等形式订立合同要求签订确认书的，签订确认书时合同成立。</w:t>
      </w:r>
    </w:p>
    <w:p w14:paraId="3CF538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当事人一方通过互联网等信息网络发布的商品或者服务信息符合要约条件的，对方选择该商品或者服务并提交订单成功时合同成立，但是当事人另有约定</w:t>
      </w:r>
      <w:r>
        <w:rPr>
          <w:rFonts w:ascii="宋体" w:eastAsia="宋体" w:hAnsi="宋体" w:cs="宋体" w:hint="eastAsia"/>
          <w:sz w:val="24"/>
        </w:rPr>
        <w:lastRenderedPageBreak/>
        <w:t>的除外。</w:t>
      </w:r>
    </w:p>
    <w:p w14:paraId="2687D9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第四百九十二条　承诺生效的地点为合同成立的地点。</w:t>
      </w:r>
    </w:p>
    <w:p w14:paraId="44BD95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采用数据电文形式订立合同的，收件人的主营业地为合同成立的地点；没有主营业地的，其住所地为合同成立的地点。当事人另有约定的，按照其约定。</w:t>
      </w:r>
    </w:p>
    <w:p w14:paraId="3829B5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第四百九十三条　当事人采用合同书形式订立合同的，最后签名、盖章或者按指印的地点为合同成立的地点，但是当事人另有约定的除外。</w:t>
      </w:r>
    </w:p>
    <w:p w14:paraId="332DF7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第四百九十四条　国家根据抢险救灾、疫情防控或者其他需要下达国家订货任务、指令性任务的，有关民事主体之间应当依照有关法律、行政法规规定的权利和义务订立合同。</w:t>
      </w:r>
    </w:p>
    <w:p w14:paraId="058407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依照法律、行政法规的规定负有发出要约义务的当事人，应当及时发出合理的要约。</w:t>
      </w:r>
    </w:p>
    <w:p w14:paraId="3523C7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依照法律、行政法规的规定负有</w:t>
      </w:r>
      <w:proofErr w:type="gramStart"/>
      <w:r>
        <w:rPr>
          <w:rFonts w:ascii="宋体" w:eastAsia="宋体" w:hAnsi="宋体" w:cs="宋体" w:hint="eastAsia"/>
          <w:sz w:val="24"/>
        </w:rPr>
        <w:t>作出</w:t>
      </w:r>
      <w:proofErr w:type="gramEnd"/>
      <w:r>
        <w:rPr>
          <w:rFonts w:ascii="宋体" w:eastAsia="宋体" w:hAnsi="宋体" w:cs="宋体" w:hint="eastAsia"/>
          <w:sz w:val="24"/>
        </w:rPr>
        <w:t>承诺义务的当事人，不得拒绝对方合理的订立合同要求。</w:t>
      </w:r>
    </w:p>
    <w:p w14:paraId="38A97A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第四百九十五条　当事人约定在将来一定期限内订立合同的认购书、订购书、预订书等，构成预约合同。</w:t>
      </w:r>
    </w:p>
    <w:p w14:paraId="58D41E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当事人一方不履行预约合同约定的订立合同义务的，对方可以请求其承担预约合同的违约责任。</w:t>
      </w:r>
    </w:p>
    <w:p w14:paraId="5C9E5F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第四百九十六条　格式条款是当事人为了重复使用而预先拟定，并在订立合同时未与对方协商的条款。</w:t>
      </w:r>
    </w:p>
    <w:p w14:paraId="42CD4E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采用格式条款订立合同的，提供格式条款的一方应当遵循公平原则确定当事人之间的权利和义务，并采取合理的方式提示对方注意免除或者减轻其责任等与对方有重大利害关系的条款，按照对方的要求，对该条款予以说明。提供格式条款的一方未履行提示或者说明义务，致使对方没有注意或者理解与其有重大利害关系的条款的，对方可以主张该条款不成为合同的内容。</w:t>
      </w:r>
    </w:p>
    <w:p w14:paraId="595306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第四百九十七条　有下列情形之一的，该格式条款无效：</w:t>
      </w:r>
    </w:p>
    <w:p w14:paraId="612B36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（一）具有本法第一编第六章第三节和本法第五百零六条规定的无效情形；</w:t>
      </w:r>
    </w:p>
    <w:p w14:paraId="51D3EC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（二）提供格式条款一方不合理地免除或者减轻其责任、加重对方责任、限制对方主要权利；</w:t>
      </w:r>
    </w:p>
    <w:p w14:paraId="4A317D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（三）提供格式条款一方排除对方主要权利。</w:t>
      </w:r>
    </w:p>
    <w:p w14:paraId="679BD9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第四百九十八条　对格式条款的理解发生争议的，应当按照通常理解予以解释。对格式条款有两种以上解释的，应当</w:t>
      </w:r>
      <w:proofErr w:type="gramStart"/>
      <w:r>
        <w:rPr>
          <w:rFonts w:ascii="宋体" w:eastAsia="宋体" w:hAnsi="宋体" w:cs="宋体" w:hint="eastAsia"/>
          <w:sz w:val="24"/>
        </w:rPr>
        <w:t>作出</w:t>
      </w:r>
      <w:proofErr w:type="gramEnd"/>
      <w:r>
        <w:rPr>
          <w:rFonts w:ascii="宋体" w:eastAsia="宋体" w:hAnsi="宋体" w:cs="宋体" w:hint="eastAsia"/>
          <w:sz w:val="24"/>
        </w:rPr>
        <w:t>不利于提供格式条款一方的解释。格式条款和非格式条款不一致的，应当采用非格式条款。</w:t>
      </w:r>
    </w:p>
    <w:p w14:paraId="610703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第四百九十九条　悬赏人以公开方式声明对完成特定行为的人支付报酬的，完成该行为的人可以请求其支付。</w:t>
      </w:r>
    </w:p>
    <w:p w14:paraId="652796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第五百条　当事人在订立合同过程中有下列情形之一，造成对方损失的，应当承担赔偿责任：</w:t>
      </w:r>
    </w:p>
    <w:p w14:paraId="3ACEE7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（一）假借订立合同，恶意进行磋商；</w:t>
      </w:r>
    </w:p>
    <w:p w14:paraId="2E9398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（二）故意隐瞒与订立合同有关的重要事实或者提供虚假情况；</w:t>
      </w:r>
    </w:p>
    <w:p w14:paraId="6F5D9E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（三）有其他违背诚信原则的行为。</w:t>
      </w:r>
    </w:p>
    <w:p w14:paraId="759195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第五百零一条　当事人在订立合同过程中知悉的商业秘密或者其他应当保密的信息，无论合同是否成立，不得泄露或者不正当地使用；泄露、不正当地使用该商业秘密或者信息，造成对方损失的，应当承担赔偿责任。</w:t>
      </w:r>
    </w:p>
    <w:p w14:paraId="6D13CF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合同的效力</w:t>
      </w:r>
    </w:p>
    <w:p w14:paraId="2C144B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第五百零二条　依法成立的合同，自成立时生效，但是法律另有规定或者当事人另有约定的除外。</w:t>
      </w:r>
    </w:p>
    <w:p w14:paraId="219460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照法律、行政法规的规定，合同应当办理批准等手续的，依照其规定。未办理批准等手续影响合同生效的，不影响合同中履行报批等义务条款以及相关条款的效力。应当办理申请批准等手续的当事人未履行义务的，对方可以请求其承担违反该义务的责任。</w:t>
      </w:r>
    </w:p>
    <w:p w14:paraId="543B6B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依照法律、行政法规的规定，合同的变更、转让、解除等情形应当办理批准</w:t>
      </w:r>
      <w:r>
        <w:rPr>
          <w:rFonts w:ascii="宋体" w:eastAsia="宋体" w:hAnsi="宋体" w:cs="宋体" w:hint="eastAsia"/>
          <w:sz w:val="24"/>
        </w:rPr>
        <w:lastRenderedPageBreak/>
        <w:t>等手续的，适用前款规定。</w:t>
      </w:r>
    </w:p>
    <w:p w14:paraId="069717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第五百零三条　无权代理人以被代理人的名义订立合同，被代理人已经开始履行合同义务或者接受相对人履行的，视为对合同的追认。</w:t>
      </w:r>
    </w:p>
    <w:p w14:paraId="6D616D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第五百零四条　法人的法定代表人或者非法人组织的负责人超越权限订立的合同，除相对人知道或者应当知道其超越权限外，该代表行为有效，订立的合同对法人或者非法人组织发生效力。</w:t>
      </w:r>
    </w:p>
    <w:p w14:paraId="4DB456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第五百零五条　当事人超越经营范围订立的合同的效力，应当依照本法第一编第六章第三节和本编的有关规定确定，不得仅以超越经营范围确认合同无效。</w:t>
      </w:r>
    </w:p>
    <w:p w14:paraId="1A7765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第五百零六条　合同中的下列免责条款无效：</w:t>
      </w:r>
    </w:p>
    <w:p w14:paraId="716DF6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（一）造成对方人身损害的；</w:t>
      </w:r>
    </w:p>
    <w:p w14:paraId="229764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（二）因故意或者重大过失造成对方财产损失的。</w:t>
      </w:r>
    </w:p>
    <w:p w14:paraId="24F172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第五百零七条　合同不生效、无效、被撤销或者终止的，不影响合同中有关解决争议方法的条款的效力。</w:t>
      </w:r>
    </w:p>
    <w:p w14:paraId="5DD33B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第五百零八条　本编对合同的效力没有规定的，适用本法第一编第六章的有关规定。</w:t>
      </w:r>
    </w:p>
    <w:p w14:paraId="0B9AAC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合同的履行</w:t>
      </w:r>
    </w:p>
    <w:p w14:paraId="47DB21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第五百零九条　当事人应当按照约定全面履行自己的义务。</w:t>
      </w:r>
    </w:p>
    <w:p w14:paraId="3CAD6B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当事人应当遵循诚信原则，根据合同的性质、目的和交易习惯履行通知、协助、保密等义务。</w:t>
      </w:r>
    </w:p>
    <w:p w14:paraId="640B85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当事人在履行合同过程中，应当避免浪费资源、污染环境和破坏生态。</w:t>
      </w:r>
    </w:p>
    <w:p w14:paraId="29040D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第五百一十条　合同生效后，当事人就质量、价款或者报酬、履行地点等内容没有约定或者约定不明确的，可以协议补充；不能达成补充协议的，按照合同相关条款或者交易习惯确定。</w:t>
      </w:r>
    </w:p>
    <w:p w14:paraId="1B743C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第五百一十一条　当事人就有关合同内容约定不明确，依据前条规定仍不能确定的，适用下列规定：</w:t>
      </w:r>
    </w:p>
    <w:p w14:paraId="55498E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1F048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（二）价款或者报酬不明确的，按照订立合同时履行地的市场价格履行；依法应当执行政府定价或者政府指导价的，依照规定履行。</w:t>
      </w:r>
    </w:p>
    <w:p w14:paraId="7A264D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（三）履行地点不明确，给付货币的，在接受货币一方所在地履行；交付不动产的，在不动产所在地履行；其他标的，在履行义务一方所在地履行。</w:t>
      </w:r>
    </w:p>
    <w:p w14:paraId="2A76E2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（四）履行期限不明确的，债务人可以随时履行，债权人也可以随时请求履行，但是应当给对方必要的准备时间。</w:t>
      </w:r>
    </w:p>
    <w:p w14:paraId="2DE55E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（五）履行方式不明确的，按照有利于实现合同目的的方式履行。</w:t>
      </w:r>
    </w:p>
    <w:p w14:paraId="535505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（六）履行费用的负担不明确的，由履行义务一方负担；因债权人原因增加的履行费用，由债权人负担。</w:t>
      </w:r>
    </w:p>
    <w:p w14:paraId="7FC349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第五百一十二条　通过互联网等信息网络订立的电子合同的标的为交付商品并采用快递物流方式交付的，收货人的签收时间为交付时间。电子合同的标的为提供服务的，生成的电子凭证或者实物凭证中载明的时间为提供服务时间；前述凭证没有载明时间或者载明时间与实际提供服务时间不一致的，以实际提供服务的时间为准。</w:t>
      </w:r>
    </w:p>
    <w:p w14:paraId="01D5FB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电子合同的标的物为采用在线传输方式交付的，合同标的物进入对方当事人指定的特定系统且能够检索识别的时间为交付时间。</w:t>
      </w:r>
    </w:p>
    <w:p w14:paraId="092887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电子合同当事人对交付商品或者提供服务的方式、时间另有约定的，按照其约定。</w:t>
      </w:r>
    </w:p>
    <w:p w14:paraId="72D809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第五百一十三条　执行政府定价或者政府指导价的，在合同约定的交付期限内政府价格调整时，按照交付时的价格计价。逾期交付标的物的，遇价格上涨时，按照原价格执行；价格下降时，按照新价格执行。逾期提取标的物或者逾期付款的，遇价格上涨时，按照新价格执行；价格下降时，按照原价格执行。</w:t>
      </w:r>
    </w:p>
    <w:p w14:paraId="64FF86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第五百一十四条　以支付金钱为内容的债，除法律另有规定或者当事人另有</w:t>
      </w:r>
      <w:r>
        <w:rPr>
          <w:rFonts w:ascii="宋体" w:eastAsia="宋体" w:hAnsi="宋体" w:cs="宋体" w:hint="eastAsia"/>
          <w:sz w:val="24"/>
        </w:rPr>
        <w:lastRenderedPageBreak/>
        <w:t>约定外，债权人可以请求债务人以实际履行地的法定货币履行。</w:t>
      </w:r>
    </w:p>
    <w:p w14:paraId="39C54C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第五百一十五条　标的有多项而债务人只需履行其中一项的，债务人享有选择权；但是，法律另有规定、当事人另有约定或者另有交易习惯的除外。</w:t>
      </w:r>
    </w:p>
    <w:p w14:paraId="611881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享有选择权的当事人在约定期限内或者履行期限届满未作选择，经催告后在合理期限内仍未选择的，选择权转移至对方。</w:t>
      </w:r>
    </w:p>
    <w:p w14:paraId="042024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第五百一十六条　当事人行使选择权应当及时通知对方，通知到达对方时，标的确定。标的确定后不得变更，但是经对方同意的除外。</w:t>
      </w:r>
    </w:p>
    <w:p w14:paraId="60278F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可选择的标的发生不能履行情形的，享有选择权的当事人不得选择不能履行的标的，但是</w:t>
      </w:r>
      <w:proofErr w:type="gramStart"/>
      <w:r>
        <w:rPr>
          <w:rFonts w:ascii="宋体" w:eastAsia="宋体" w:hAnsi="宋体" w:cs="宋体" w:hint="eastAsia"/>
          <w:sz w:val="24"/>
        </w:rPr>
        <w:t>该不能</w:t>
      </w:r>
      <w:proofErr w:type="gramEnd"/>
      <w:r>
        <w:rPr>
          <w:rFonts w:ascii="宋体" w:eastAsia="宋体" w:hAnsi="宋体" w:cs="宋体" w:hint="eastAsia"/>
          <w:sz w:val="24"/>
        </w:rPr>
        <w:t>履行的情形是由对方造成的除外。</w:t>
      </w:r>
    </w:p>
    <w:p w14:paraId="68AFED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第五百一十七条　债权人为二人以上，标的可分，按照份额各自享有债权的，为按份债权；债务人为二人以上，标的可分，按照份额各自负担债务的，为按份债务。</w:t>
      </w:r>
    </w:p>
    <w:p w14:paraId="402BEB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按份债权人或者按份债务人的份额难以确定的，视为份额相同。</w:t>
      </w:r>
    </w:p>
    <w:p w14:paraId="6FF111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第五百一十八条　债权人为二人以上，部分或者全部债权人均可以请求债务人履行债务的，为连带债权；债务人为二人以上，债权人可以请求部分或者全部债务人履行全部债务的，为连带债务。</w:t>
      </w:r>
    </w:p>
    <w:p w14:paraId="0E467B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连带债权或者连带债务，由法律规定或者当事人约定。</w:t>
      </w:r>
    </w:p>
    <w:p w14:paraId="40EDD3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第五百一十九条　连带债务人之间的份额难以确定的，视为份额相同。</w:t>
      </w:r>
    </w:p>
    <w:p w14:paraId="7EE688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实际承担债务超过自己份额的连带债务人，有权就超出部分在其他连带债务人未履行的份额范围内向其追偿，并相应地享有债权人的权利，但是不得损害债权人的利益。其他连带债务人对债权人的抗辩，可以向该债务人主张。</w:t>
      </w:r>
    </w:p>
    <w:p w14:paraId="6D1BEC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被追偿的连带债务人不能履行其应分担份额的，其他连带债务人应当在相应范围内按比例分担。</w:t>
      </w:r>
    </w:p>
    <w:p w14:paraId="635D3E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第五百二十条　部分连带债务人履行、</w:t>
      </w:r>
      <w:proofErr w:type="gramStart"/>
      <w:r>
        <w:rPr>
          <w:rFonts w:ascii="宋体" w:eastAsia="宋体" w:hAnsi="宋体" w:cs="宋体" w:hint="eastAsia"/>
          <w:sz w:val="24"/>
        </w:rPr>
        <w:t>抵销</w:t>
      </w:r>
      <w:proofErr w:type="gramEnd"/>
      <w:r>
        <w:rPr>
          <w:rFonts w:ascii="宋体" w:eastAsia="宋体" w:hAnsi="宋体" w:cs="宋体" w:hint="eastAsia"/>
          <w:sz w:val="24"/>
        </w:rPr>
        <w:t>债务或者提存标的物的，其他债务人对债权人的债务在相应范围内消灭；该债务人可以依据前条规定向其他债务</w:t>
      </w:r>
      <w:r>
        <w:rPr>
          <w:rFonts w:ascii="宋体" w:eastAsia="宋体" w:hAnsi="宋体" w:cs="宋体" w:hint="eastAsia"/>
          <w:sz w:val="24"/>
        </w:rPr>
        <w:lastRenderedPageBreak/>
        <w:t>人追偿。</w:t>
      </w:r>
    </w:p>
    <w:p w14:paraId="0B225F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部分连带债务人的债务被债权人免除的，在该连带债务人应当承担的份额范围内，其他债务人对债权人的债务消灭。</w:t>
      </w:r>
    </w:p>
    <w:p w14:paraId="40BA59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部分连带债务人的债务与债权人的债权同归于一人的，在扣除该债务人应当承担的份额后，债权人对其他债务人的债权继续存在。</w:t>
      </w:r>
    </w:p>
    <w:p w14:paraId="4807A8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债权人对部分连带债务人的给付受领迟延的，对其他连带债务人发生效力。</w:t>
      </w:r>
    </w:p>
    <w:p w14:paraId="68E7DB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第五百二十一条　连带债权人之间的份额难以确定的，视为份额相同。</w:t>
      </w:r>
    </w:p>
    <w:p w14:paraId="21E408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实际受领债权的连带债权人，应当按比例向其他连带债权人返还。</w:t>
      </w:r>
    </w:p>
    <w:p w14:paraId="44259E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连带债权参照适用本章连带债务的有关规定。</w:t>
      </w:r>
    </w:p>
    <w:p w14:paraId="722CB3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第五百二十二条　当事人约定由债务人向第三人履行债务，债务人未向第三人履行债务或者履行债务不符合约定的，应当向债权人承担违约责任。</w:t>
      </w:r>
    </w:p>
    <w:p w14:paraId="37E2EB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律规定或者当事人约定第三人可以直接请求债务人向其履行债务，第三人未在合理期限内明确拒绝，债务人未向第三人履行债务或者履行债务不符合约定的，第三人可以请求债务人承担违约责任；债务人对债权人的抗辩，可以向第三人主张。</w:t>
      </w:r>
    </w:p>
    <w:p w14:paraId="177E61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第五百二十三条　当事人约定由第三人向债权人履行债务，第三人不履行债务或者履行债务不符合约定的，债务人应当向债权人承担违约责任。</w:t>
      </w:r>
    </w:p>
    <w:p w14:paraId="6680DF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第五百二十四条　债务人不履行债务，第三人对履行该债务具有合法利益的，第三人有权向债权人代为履行；但是，根据债务性质、按照当事人约定或者依照法律规定只能由债务人履行的除外。</w:t>
      </w:r>
    </w:p>
    <w:p w14:paraId="79092A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债权人接受第三人履行后，其对债务人的债权转让给第三人，但是债务人和第三人另有约定的除外。</w:t>
      </w:r>
    </w:p>
    <w:p w14:paraId="6FB9D7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第五百二十五条　当事人互负债务，没有先后履行顺序的，应当同时履行。一方在对方履行之前有权拒绝其履行请求。一方在对方履行债务不符合约定时，有权拒绝其相应的履行请求。</w:t>
      </w:r>
    </w:p>
    <w:p w14:paraId="4797A0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第五百二十六条　当事人互负债务，有先后履行顺序，应当先履行债务一方未履行的，后履行一方有权拒绝其履行请求。先履行一方履行债务不符合约定的，后履行一方有权拒绝其相应的履行请求。</w:t>
      </w:r>
    </w:p>
    <w:p w14:paraId="1EF3F7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第五百二十七条　应当先履行债务的当事人，有确切证据证明对方有下列情形之一的，可以中止履行：</w:t>
      </w:r>
    </w:p>
    <w:p w14:paraId="107770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（一）经营状况严重恶化；</w:t>
      </w:r>
    </w:p>
    <w:p w14:paraId="513170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（二）转移财产、抽逃资金，以逃避债务；</w:t>
      </w:r>
    </w:p>
    <w:p w14:paraId="70B6C5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（三）丧失商业信誉；</w:t>
      </w:r>
    </w:p>
    <w:p w14:paraId="2EBA43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（四）有丧失或者可能丧失履行债务能力的其他情形。</w:t>
      </w:r>
    </w:p>
    <w:p w14:paraId="3AAE0D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当事人没有确切证据中止履行的，应当承担违约责任。</w:t>
      </w:r>
    </w:p>
    <w:p w14:paraId="425614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第五百二十八条　当事人依据前条规定中止履行的，应当及时通知对方。对方提供适当担保的，应当恢复履行。中止履行后，对方在合理期限内未恢复履行能力且未提供适当担保的，视为以自己的行为表明不履行主要债务，中止履行的一方可以解除合同并可以请求对方承担违约责任。</w:t>
      </w:r>
    </w:p>
    <w:p w14:paraId="7B6C97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第五百二十九条　债权人分立、合并或者变更住所没有通知债务人，致使履行债务发生困难的，债务人可以中止履行或者将标的物提存。</w:t>
      </w:r>
    </w:p>
    <w:p w14:paraId="100DD0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第五百三十条　债权人可以拒绝债务人提前履行债务，但是提前履行不损害债权人利益的除外。</w:t>
      </w:r>
    </w:p>
    <w:p w14:paraId="7D167A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债务人提前履行债务给债权人增加的费用，由债务人负担。</w:t>
      </w:r>
    </w:p>
    <w:p w14:paraId="6264B5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第五百三十一条　债权人可以拒绝债务人部分履行债务，但是部分履行不损害债权人利益的除外。</w:t>
      </w:r>
    </w:p>
    <w:p w14:paraId="4C9283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债务人部分履行债务给债权人增加的费用，由债务人负担。</w:t>
      </w:r>
    </w:p>
    <w:p w14:paraId="2BD912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第五百三十二条　合同生效后，当事人不得因姓名、名称的变更或者法定代表人、负责人、承办人的变动而不履行合同义务。</w:t>
      </w:r>
    </w:p>
    <w:p w14:paraId="419708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第五百三十三条　合同成立后，合同的基础条件发生了当事人在订立合同时</w:t>
      </w:r>
      <w:r>
        <w:rPr>
          <w:rFonts w:ascii="宋体" w:eastAsia="宋体" w:hAnsi="宋体" w:cs="宋体" w:hint="eastAsia"/>
          <w:sz w:val="24"/>
        </w:rPr>
        <w:lastRenderedPageBreak/>
        <w:t>无法预见的、不属于商业风险的重大变化，继续履行合同对于当事人一方明显不公平的，受不利影响的当事人可以与对方重新协商；在合理期限内协商不成的，当事人可以请求人民法院或者仲裁机构变更或者解除合同。</w:t>
      </w:r>
    </w:p>
    <w:p w14:paraId="5A2031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人民法院或者仲裁机构应当结合案件的实际情况，根据公平原则变更或者解除合同。</w:t>
      </w:r>
    </w:p>
    <w:p w14:paraId="201724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第五百三十四条　对当事人利用合同实施危害国家利益、社会公共利益行为的，市场监督管理和其他有关行政主管部门依照法律、行政法规的规定负责监督处理。</w:t>
      </w:r>
    </w:p>
    <w:p w14:paraId="32EBEC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合同的保全</w:t>
      </w:r>
    </w:p>
    <w:p w14:paraId="1FEEC2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第五百三十五条　因债务人</w:t>
      </w:r>
      <w:proofErr w:type="gramStart"/>
      <w:r>
        <w:rPr>
          <w:rFonts w:ascii="宋体" w:eastAsia="宋体" w:hAnsi="宋体" w:cs="宋体" w:hint="eastAsia"/>
          <w:sz w:val="24"/>
        </w:rPr>
        <w:t>怠</w:t>
      </w:r>
      <w:proofErr w:type="gramEnd"/>
      <w:r>
        <w:rPr>
          <w:rFonts w:ascii="宋体" w:eastAsia="宋体" w:hAnsi="宋体" w:cs="宋体" w:hint="eastAsia"/>
          <w:sz w:val="24"/>
        </w:rPr>
        <w:t>于行使其债权或者与该债权有关的从权利，影响债权人的到期债权实现的，债权人可以向人民法院请求以自己的名义代位行使债务人对相对人的权利，但是该权利专属于债务人自身的除外。</w:t>
      </w:r>
    </w:p>
    <w:p w14:paraId="25B340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代位权的行使范围以债权人的到期债权为限。债权人行使代位权的必要费用，由债务人负担。</w:t>
      </w:r>
    </w:p>
    <w:p w14:paraId="68C16A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相对人对债务人的抗辩，可以向债权人主张。</w:t>
      </w:r>
    </w:p>
    <w:p w14:paraId="5F1A9A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第五百三十六条　债权人的债权到期前，债务人的债权或者与该债权有关的从权利存在诉讼时效期间即将届满或者未及时申报破产债权等情形，影响债权人的债权实现的，债权人可以代位向债务人的相对人请求其向债务人履行、向破产管理人申报或者</w:t>
      </w:r>
      <w:proofErr w:type="gramStart"/>
      <w:r>
        <w:rPr>
          <w:rFonts w:ascii="宋体" w:eastAsia="宋体" w:hAnsi="宋体" w:cs="宋体" w:hint="eastAsia"/>
          <w:sz w:val="24"/>
        </w:rPr>
        <w:t>作出</w:t>
      </w:r>
      <w:proofErr w:type="gramEnd"/>
      <w:r>
        <w:rPr>
          <w:rFonts w:ascii="宋体" w:eastAsia="宋体" w:hAnsi="宋体" w:cs="宋体" w:hint="eastAsia"/>
          <w:sz w:val="24"/>
        </w:rPr>
        <w:t>其他必要的行为。</w:t>
      </w:r>
    </w:p>
    <w:p w14:paraId="1AB821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第五百三十七条　人民法院认定代位</w:t>
      </w:r>
      <w:proofErr w:type="gramStart"/>
      <w:r>
        <w:rPr>
          <w:rFonts w:ascii="宋体" w:eastAsia="宋体" w:hAnsi="宋体" w:cs="宋体" w:hint="eastAsia"/>
          <w:sz w:val="24"/>
        </w:rPr>
        <w:t>权成立</w:t>
      </w:r>
      <w:proofErr w:type="gramEnd"/>
      <w:r>
        <w:rPr>
          <w:rFonts w:ascii="宋体" w:eastAsia="宋体" w:hAnsi="宋体" w:cs="宋体" w:hint="eastAsia"/>
          <w:sz w:val="24"/>
        </w:rPr>
        <w:t>的，由债务人的相对人向债权人履行义务，债权人接受履行后，债权人与债务人、债务人与相对人之间相应的权利义务终止。债务人对相对人的债权或者与该债权有关的从权利被采取保全、执行措施，或者债务人破产的，依照相关法律的规定处理。</w:t>
      </w:r>
    </w:p>
    <w:p w14:paraId="24F717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第五百三十八条　债务人以放弃其债权、放弃债权担保、无偿转让财产等方式无偿处分财产权益，或者恶意延长其到期债权的履行期限，影响债权人的债权实现的，债权人可以请求人民法院撤销债务人的行为。</w:t>
      </w:r>
    </w:p>
    <w:p w14:paraId="36557C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第五百三十九条　债务人以明显不合理的低价转让财产、以明显不合理的高价受让他人财产或者为他人的债务提供担保，影响债权人的债权实现，债务人的相对人知道或者应当知道该情形的，债权人可以请求人民法院撤销债务人的行为。</w:t>
      </w:r>
    </w:p>
    <w:p w14:paraId="089458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第五百四十条　撤销权的行使范围以债权人的债权为限。债权人行使撤销权的必要费用，由债务人负担。</w:t>
      </w:r>
    </w:p>
    <w:p w14:paraId="3E043E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第五百四十一条　</w:t>
      </w:r>
      <w:proofErr w:type="gramStart"/>
      <w:r>
        <w:rPr>
          <w:rFonts w:ascii="宋体" w:eastAsia="宋体" w:hAnsi="宋体" w:cs="宋体" w:hint="eastAsia"/>
          <w:sz w:val="24"/>
        </w:rPr>
        <w:t>撤销权自债权人</w:t>
      </w:r>
      <w:proofErr w:type="gramEnd"/>
      <w:r>
        <w:rPr>
          <w:rFonts w:ascii="宋体" w:eastAsia="宋体" w:hAnsi="宋体" w:cs="宋体" w:hint="eastAsia"/>
          <w:sz w:val="24"/>
        </w:rPr>
        <w:t>知道或者应当知道撤销事由之日起一年内行使。自债务人的行为发生之日起五年内没有行使撤销权的，该撤销权消灭。</w:t>
      </w:r>
    </w:p>
    <w:p w14:paraId="43CD4E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第五百四十二条　债务人影响债权人的债权实现的行为被撤销的，自</w:t>
      </w:r>
      <w:proofErr w:type="gramStart"/>
      <w:r>
        <w:rPr>
          <w:rFonts w:ascii="宋体" w:eastAsia="宋体" w:hAnsi="宋体" w:cs="宋体" w:hint="eastAsia"/>
          <w:sz w:val="24"/>
        </w:rPr>
        <w:t>始没有</w:t>
      </w:r>
      <w:proofErr w:type="gramEnd"/>
      <w:r>
        <w:rPr>
          <w:rFonts w:ascii="宋体" w:eastAsia="宋体" w:hAnsi="宋体" w:cs="宋体" w:hint="eastAsia"/>
          <w:sz w:val="24"/>
        </w:rPr>
        <w:t>法律约束力。</w:t>
      </w:r>
    </w:p>
    <w:p w14:paraId="364717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合同的变更和转让</w:t>
      </w:r>
    </w:p>
    <w:p w14:paraId="604DEF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第五百四十三条　当事人协商一致，可以变更合同。</w:t>
      </w:r>
    </w:p>
    <w:p w14:paraId="28FB1D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第五百四十四条　当事人对合同变更的内容约定不明确的，推定为未变更。</w:t>
      </w:r>
    </w:p>
    <w:p w14:paraId="449E60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第五百四十五条　债权人可以将债权的全部或者部分转让给第三人，但是有下列情形之一的除外：</w:t>
      </w:r>
    </w:p>
    <w:p w14:paraId="0AFAC4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（一）根据债权性质不得转让；</w:t>
      </w:r>
    </w:p>
    <w:p w14:paraId="514FCF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（二）按照当事人约定不得转让；</w:t>
      </w:r>
    </w:p>
    <w:p w14:paraId="7DE43C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（三）依照法律规定不得转让。</w:t>
      </w:r>
    </w:p>
    <w:p w14:paraId="37EFD2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当事人约定非金钱债权不得转让的，不得对抗善意第三人。当事人约定金钱债权不得转让的，不得对抗第三人。</w:t>
      </w:r>
    </w:p>
    <w:p w14:paraId="065C36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第五百四十六条　债权人转让债权，未通知债务人的，该转让对债务人不发生效力。</w:t>
      </w:r>
    </w:p>
    <w:p w14:paraId="1AB0B8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债权转让的通知不得撤销，但是经受让人同意的除外。</w:t>
      </w:r>
    </w:p>
    <w:p w14:paraId="08A539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第五百四十七条　债权人转让债权的，受让人取得与债权有关的从权利，但是该从权利专属于债权人自身的除外。</w:t>
      </w:r>
    </w:p>
    <w:p w14:paraId="45A3ED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受让人取得从权利不因该从权利未办理转移登记手续或者未转移占有而受到影响。</w:t>
      </w:r>
    </w:p>
    <w:p w14:paraId="3CD3C2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第五百四十八条　债务人接到债权转让通知后，债务人对让与人的抗辩，可以向受让人主张。</w:t>
      </w:r>
    </w:p>
    <w:p w14:paraId="22DF10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第五百四十九条　有下列情形之一的，债务人可以向受让人主张</w:t>
      </w:r>
      <w:proofErr w:type="gramStart"/>
      <w:r>
        <w:rPr>
          <w:rFonts w:ascii="宋体" w:eastAsia="宋体" w:hAnsi="宋体" w:cs="宋体" w:hint="eastAsia"/>
          <w:sz w:val="24"/>
        </w:rPr>
        <w:t>抵销</w:t>
      </w:r>
      <w:proofErr w:type="gramEnd"/>
      <w:r>
        <w:rPr>
          <w:rFonts w:ascii="宋体" w:eastAsia="宋体" w:hAnsi="宋体" w:cs="宋体" w:hint="eastAsia"/>
          <w:sz w:val="24"/>
        </w:rPr>
        <w:t>：</w:t>
      </w:r>
    </w:p>
    <w:p w14:paraId="62909E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（一）债务人接到债权转让通知时，债务人对让与人享有债权，且债务人的债权先于转让的债权到期或者同时到期；</w:t>
      </w:r>
    </w:p>
    <w:p w14:paraId="611528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（二）债务人的债权与转让的债权是基于同一合同产生。</w:t>
      </w:r>
    </w:p>
    <w:p w14:paraId="03C4F8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第五百五十条　因债权转让增加的履行费用，由让与人负担。</w:t>
      </w:r>
    </w:p>
    <w:p w14:paraId="367AD6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第五百五十一条　债务人将债务的全部或者部分转移给第三人的，应当经债权人同意。</w:t>
      </w:r>
    </w:p>
    <w:p w14:paraId="217EC8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债务人或者第三人可以催告债权人在合理期限内予以同意，债权人未作表示的，视为不同意。</w:t>
      </w:r>
    </w:p>
    <w:p w14:paraId="17DF26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第五百五十二条　第三人与债务人约定加入债务并通知债权人，或者第三人向债权人表示愿意加入债务，债权人未在合理期限内明确拒绝的，债权人可以请求第三人在其愿意承担的债务范围内和债务人承担连带债务。</w:t>
      </w:r>
    </w:p>
    <w:p w14:paraId="66E05E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第五百五十三条　债务人转移债务的，新债务人可以主张原债务人对债权人的抗辩；原债务人对债权人享有债权的，新债务人不得向债权人主张</w:t>
      </w:r>
      <w:proofErr w:type="gramStart"/>
      <w:r>
        <w:rPr>
          <w:rFonts w:ascii="宋体" w:eastAsia="宋体" w:hAnsi="宋体" w:cs="宋体" w:hint="eastAsia"/>
          <w:sz w:val="24"/>
        </w:rPr>
        <w:t>抵销</w:t>
      </w:r>
      <w:proofErr w:type="gramEnd"/>
      <w:r>
        <w:rPr>
          <w:rFonts w:ascii="宋体" w:eastAsia="宋体" w:hAnsi="宋体" w:cs="宋体" w:hint="eastAsia"/>
          <w:sz w:val="24"/>
        </w:rPr>
        <w:t>。</w:t>
      </w:r>
    </w:p>
    <w:p w14:paraId="48A231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第五百五十四条　债务人转移债务的，新债务人应当承担与主债务有关的从债务，但是该从债务专属于原债务人自身的除外。</w:t>
      </w:r>
    </w:p>
    <w:p w14:paraId="114AF5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第五百五十五条　当事人一方经对方同意，可以将自己在合同中的权利和义务一并转让给第三人。</w:t>
      </w:r>
    </w:p>
    <w:p w14:paraId="03C759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第五百五十六条　合同的权利和义务一并转让的，适用债权转让、债务转移的有关规定。</w:t>
      </w:r>
    </w:p>
    <w:p w14:paraId="11B24C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合同的权利义务终止</w:t>
      </w:r>
    </w:p>
    <w:p w14:paraId="0032A4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第五百五十七条　有下列情形之一的，债权债务终止：</w:t>
      </w:r>
    </w:p>
    <w:p w14:paraId="31EE6C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（一）债务已经履行；</w:t>
      </w:r>
    </w:p>
    <w:p w14:paraId="22D741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（二）债务相互</w:t>
      </w:r>
      <w:proofErr w:type="gramStart"/>
      <w:r>
        <w:rPr>
          <w:rFonts w:ascii="宋体" w:eastAsia="宋体" w:hAnsi="宋体" w:cs="宋体" w:hint="eastAsia"/>
          <w:sz w:val="24"/>
        </w:rPr>
        <w:t>抵销</w:t>
      </w:r>
      <w:proofErr w:type="gramEnd"/>
      <w:r>
        <w:rPr>
          <w:rFonts w:ascii="宋体" w:eastAsia="宋体" w:hAnsi="宋体" w:cs="宋体" w:hint="eastAsia"/>
          <w:sz w:val="24"/>
        </w:rPr>
        <w:t>；</w:t>
      </w:r>
    </w:p>
    <w:p w14:paraId="36F8F1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（三）债务人依法将标的物提存；</w:t>
      </w:r>
    </w:p>
    <w:p w14:paraId="0748C9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（四）债权人免除债务；</w:t>
      </w:r>
    </w:p>
    <w:p w14:paraId="0E6332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（五）债权债务同归于一人；</w:t>
      </w:r>
    </w:p>
    <w:p w14:paraId="0E967B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（六）法律规定或者当事人约定终止的其他情形。</w:t>
      </w:r>
    </w:p>
    <w:p w14:paraId="3E0CAD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合同解除的，该合同的权利义务关系终止。</w:t>
      </w:r>
    </w:p>
    <w:p w14:paraId="075B67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第五百五十八条　债权债务终止后，当事人应当遵循诚信等原则，根据交易习惯履行通知、协助、保密、旧物回收等义务。</w:t>
      </w:r>
    </w:p>
    <w:p w14:paraId="58AC7A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第五百五十九条　债权债务终止时，债权的从权利同时消灭，但是法律另有规定或者当事人另有约定的除外。</w:t>
      </w:r>
    </w:p>
    <w:p w14:paraId="6BD32C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第五百六十条　债务人对同一债权人负担的数项债务种类相同，债务人的给付不足以清偿全部债务的，除当事人另有约定外，由债务人在清偿时指定其履行的债务。</w:t>
      </w:r>
    </w:p>
    <w:p w14:paraId="1F6793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务人未作指定的，应当优先履行已经到期的债务；数项债务均到期的，优先履行对债权人缺乏担保或者担保最少的债务；均无担保或者担保相等的，优先履行债务人负担较重的债务；负担相同的，按照债务到期的先后顺序履行；到期时间相同的，按照债务比例履行。</w:t>
      </w:r>
    </w:p>
    <w:p w14:paraId="639409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第五百六十一条　债务人在履行主债务外还应当支付利息和实现债权的有关费用，其给付不足以清偿全部债务的，除当事人另有约定外，应当按照下列顺序履行：</w:t>
      </w:r>
    </w:p>
    <w:p w14:paraId="41376A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（一）实现债权的有关费用；</w:t>
      </w:r>
    </w:p>
    <w:p w14:paraId="06019C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（二）利息；</w:t>
      </w:r>
    </w:p>
    <w:p w14:paraId="06ECB5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（三）主债务。</w:t>
      </w:r>
    </w:p>
    <w:p w14:paraId="4208B8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第五百六十二条　当事人协商一致，可以解除合同。</w:t>
      </w:r>
    </w:p>
    <w:p w14:paraId="63A90C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当事人可以约定一方解除合同的事由。解除合同的事由发生时，解除权人可以解除合同。</w:t>
      </w:r>
    </w:p>
    <w:p w14:paraId="6754E4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第五百六十三条　有下列情形之一的，当事人可以解除合同：</w:t>
      </w:r>
    </w:p>
    <w:p w14:paraId="3EDF63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（一）因不可抗力致使不能实现合同目的；</w:t>
      </w:r>
    </w:p>
    <w:p w14:paraId="1B031F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（二）在履行期限届满前，当事人一方明确表示或者以自己的行为表明不履行主要债务；</w:t>
      </w:r>
    </w:p>
    <w:p w14:paraId="61EA03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（三）当事人一方迟延履行主要债务，经催告后在合理期限内仍未履行；</w:t>
      </w:r>
    </w:p>
    <w:p w14:paraId="69990C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（四）当事人一方迟延履行债务或者有其他违约行为致使不能实现合同目的；</w:t>
      </w:r>
    </w:p>
    <w:p w14:paraId="2F7318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（五）法律规定的其他情形。</w:t>
      </w:r>
    </w:p>
    <w:p w14:paraId="6D6D3C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以持续履行的债务为内容的不定期合同，当事人可以随时解除合同，但是应当在合理期限之前通知对方。</w:t>
      </w:r>
    </w:p>
    <w:p w14:paraId="12C90F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第五百六十四条　法律规定或者当事人约定解除权行使期限，期限届满当事人不行使的，该权利消灭。</w:t>
      </w:r>
    </w:p>
    <w:p w14:paraId="466088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法律没有规定或者当事人没有约定解除权行使期限，自解除权人知道或者应当知道解除事由之日起一年内不行使，或者经对方催告后在合理期限内不行使的，该权利消灭。</w:t>
      </w:r>
    </w:p>
    <w:p w14:paraId="00525B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第五百六十五条　当事人一方依法主张解除合同的，应当通知对方。合同自通知到达对方时解除；通知载明债务人在一定期限内不履行债务则合同自动解除，债务人在该期限内未履行债务的，合同自通知载明的期限届满时解除。对方对解除合同有异议的，任何一方当事人均可以请求人民法院或者仲裁机构确认解除行为的效力。</w:t>
      </w:r>
    </w:p>
    <w:p w14:paraId="729332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当事人一方未通知对方，直接以提起诉讼或者申请仲裁的方式依法主张解除合同，人民法院或者仲裁机构确认该主张的，合同自起诉状副本或者仲裁申请书</w:t>
      </w:r>
      <w:r>
        <w:rPr>
          <w:rFonts w:ascii="宋体" w:eastAsia="宋体" w:hAnsi="宋体" w:cs="宋体" w:hint="eastAsia"/>
          <w:sz w:val="24"/>
        </w:rPr>
        <w:lastRenderedPageBreak/>
        <w:t>副本送达对方时解除。</w:t>
      </w:r>
    </w:p>
    <w:p w14:paraId="14106B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第五百六十六条　合同解除后，尚未履行的，终止履行；已经履行的，根据履行情况和合同性质，当事人可以请求恢复原状或者采取其他补救措施，并有权请求赔偿损失。</w:t>
      </w:r>
    </w:p>
    <w:p w14:paraId="550314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合同因违约解除的，解除权人可以请求违约方承担违约责任，但是当事人另有约定的除外。</w:t>
      </w:r>
    </w:p>
    <w:p w14:paraId="7228B6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主合同解除后，担保人对债务人应当承担的民事责任仍应当承担担保责任，但是担保合同另有约定的除外。</w:t>
      </w:r>
    </w:p>
    <w:p w14:paraId="1EEA0A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第五百六十七条　合同的权利义务关系终止，不影响合同中结算和清理条款的效力。</w:t>
      </w:r>
    </w:p>
    <w:p w14:paraId="139601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第五百六十八条　当事人互负债务，该债务的标的物种类、品质相同的，任何一方可以将自己的债务与对方的到期债务</w:t>
      </w:r>
      <w:proofErr w:type="gramStart"/>
      <w:r>
        <w:rPr>
          <w:rFonts w:ascii="宋体" w:eastAsia="宋体" w:hAnsi="宋体" w:cs="宋体" w:hint="eastAsia"/>
          <w:sz w:val="24"/>
        </w:rPr>
        <w:t>抵销</w:t>
      </w:r>
      <w:proofErr w:type="gramEnd"/>
      <w:r>
        <w:rPr>
          <w:rFonts w:ascii="宋体" w:eastAsia="宋体" w:hAnsi="宋体" w:cs="宋体" w:hint="eastAsia"/>
          <w:sz w:val="24"/>
        </w:rPr>
        <w:t>；但是，根据债务性质、按照当事人约定或者依照法律规定不得</w:t>
      </w:r>
      <w:proofErr w:type="gramStart"/>
      <w:r>
        <w:rPr>
          <w:rFonts w:ascii="宋体" w:eastAsia="宋体" w:hAnsi="宋体" w:cs="宋体" w:hint="eastAsia"/>
          <w:sz w:val="24"/>
        </w:rPr>
        <w:t>抵销</w:t>
      </w:r>
      <w:proofErr w:type="gramEnd"/>
      <w:r>
        <w:rPr>
          <w:rFonts w:ascii="宋体" w:eastAsia="宋体" w:hAnsi="宋体" w:cs="宋体" w:hint="eastAsia"/>
          <w:sz w:val="24"/>
        </w:rPr>
        <w:t>的除外。</w:t>
      </w:r>
    </w:p>
    <w:p w14:paraId="7CBE7D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当事人主张</w:t>
      </w:r>
      <w:proofErr w:type="gramStart"/>
      <w:r>
        <w:rPr>
          <w:rFonts w:ascii="宋体" w:eastAsia="宋体" w:hAnsi="宋体" w:cs="宋体" w:hint="eastAsia"/>
          <w:sz w:val="24"/>
        </w:rPr>
        <w:t>抵销</w:t>
      </w:r>
      <w:proofErr w:type="gramEnd"/>
      <w:r>
        <w:rPr>
          <w:rFonts w:ascii="宋体" w:eastAsia="宋体" w:hAnsi="宋体" w:cs="宋体" w:hint="eastAsia"/>
          <w:sz w:val="24"/>
        </w:rPr>
        <w:t>的，应当通知对方。通知自到达对方时生效。</w:t>
      </w:r>
      <w:proofErr w:type="gramStart"/>
      <w:r>
        <w:rPr>
          <w:rFonts w:ascii="宋体" w:eastAsia="宋体" w:hAnsi="宋体" w:cs="宋体" w:hint="eastAsia"/>
          <w:sz w:val="24"/>
        </w:rPr>
        <w:t>抵销</w:t>
      </w:r>
      <w:proofErr w:type="gramEnd"/>
      <w:r>
        <w:rPr>
          <w:rFonts w:ascii="宋体" w:eastAsia="宋体" w:hAnsi="宋体" w:cs="宋体" w:hint="eastAsia"/>
          <w:sz w:val="24"/>
        </w:rPr>
        <w:t>不得附条件或者附期限。</w:t>
      </w:r>
    </w:p>
    <w:p w14:paraId="32DC1D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第五百六十九条　当事人互负债务，标的物种类、品质不相同的，经协商一致，也可以</w:t>
      </w:r>
      <w:proofErr w:type="gramStart"/>
      <w:r>
        <w:rPr>
          <w:rFonts w:ascii="宋体" w:eastAsia="宋体" w:hAnsi="宋体" w:cs="宋体" w:hint="eastAsia"/>
          <w:sz w:val="24"/>
        </w:rPr>
        <w:t>抵销</w:t>
      </w:r>
      <w:proofErr w:type="gramEnd"/>
      <w:r>
        <w:rPr>
          <w:rFonts w:ascii="宋体" w:eastAsia="宋体" w:hAnsi="宋体" w:cs="宋体" w:hint="eastAsia"/>
          <w:sz w:val="24"/>
        </w:rPr>
        <w:t>。</w:t>
      </w:r>
    </w:p>
    <w:p w14:paraId="417599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第五百七十条　有下列情形之一，难以履行债务的，债务人可以将标的物提存：</w:t>
      </w:r>
    </w:p>
    <w:p w14:paraId="579122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（一）债权人无正当理由拒绝受领；</w:t>
      </w:r>
    </w:p>
    <w:p w14:paraId="75E72A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（二）债权人下落不明；</w:t>
      </w:r>
    </w:p>
    <w:p w14:paraId="405C21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（三）债权人死亡未确定继承人、遗产管理人，或者丧失民事行为能力未确定监护人；</w:t>
      </w:r>
    </w:p>
    <w:p w14:paraId="298508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（四）法律规定的其他情形。</w:t>
      </w:r>
    </w:p>
    <w:p w14:paraId="6F9D12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标的物不适于提存或者提存费用过高的，债务人依法可以拍卖或者变卖标的</w:t>
      </w:r>
      <w:r>
        <w:rPr>
          <w:rFonts w:ascii="宋体" w:eastAsia="宋体" w:hAnsi="宋体" w:cs="宋体" w:hint="eastAsia"/>
          <w:sz w:val="24"/>
        </w:rPr>
        <w:lastRenderedPageBreak/>
        <w:t>物，提存所得的价款。</w:t>
      </w:r>
    </w:p>
    <w:p w14:paraId="77CE05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第五百七十一条　债务人将标的物或者将标的物依法拍卖、变卖所得价款交付提存部门时，提存成立。</w:t>
      </w:r>
    </w:p>
    <w:p w14:paraId="35C587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提存成立的，视为债务人在其提存范围内已经交付标的物。</w:t>
      </w:r>
    </w:p>
    <w:p w14:paraId="75F95F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第五百七十二条　标的物提存后，债务人应当及时通知债权人或者债权人的继承人、遗产管理人、监护人、财产代管人。</w:t>
      </w:r>
    </w:p>
    <w:p w14:paraId="7ACB0F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第五百七十三条　标的物提存后，毁损、灭失的风险由债权人承担。提存期间，标的物的</w:t>
      </w:r>
      <w:proofErr w:type="gramStart"/>
      <w:r>
        <w:rPr>
          <w:rFonts w:ascii="宋体" w:eastAsia="宋体" w:hAnsi="宋体" w:cs="宋体" w:hint="eastAsia"/>
          <w:sz w:val="24"/>
        </w:rPr>
        <w:t>孳</w:t>
      </w:r>
      <w:proofErr w:type="gramEnd"/>
      <w:r>
        <w:rPr>
          <w:rFonts w:ascii="宋体" w:eastAsia="宋体" w:hAnsi="宋体" w:cs="宋体" w:hint="eastAsia"/>
          <w:sz w:val="24"/>
        </w:rPr>
        <w:t>息归债权人所有。提存费用由债权人负担。</w:t>
      </w:r>
    </w:p>
    <w:p w14:paraId="5B0B6C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第五百七十四条　债权人可以随时领取提存物。但是，债权人对债务人负有到期债务的，在债权人未履行债务或者提供担保之前，提存部门根据债务人的要求应当拒绝其领取提存物。</w:t>
      </w:r>
    </w:p>
    <w:p w14:paraId="603B70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权人领取提存物的权利，自提存之日起五年内不行使而消灭，提存物扣除提存费用后归国家所有。但是，债权人未履行对债务人的到期债务，或者债权人向提存部门书面表示放弃领取提存物权利的，债务人负担提存费用后有权取回提存物。</w:t>
      </w:r>
    </w:p>
    <w:p w14:paraId="63468F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第五百七十五条　债权人免除债务人部分或者全部债务的，债权债务部分或者全部终止，但是债务人在合理期限内拒绝的除外。</w:t>
      </w:r>
    </w:p>
    <w:p w14:paraId="24EB72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第五百七十六条　债权和债务同归于一人的，债权债务终止，但是损害第三人利益的除外。</w:t>
      </w:r>
    </w:p>
    <w:p w14:paraId="7782D4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第八章　违约责任</w:t>
      </w:r>
    </w:p>
    <w:p w14:paraId="712F8C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第五百七十七条　当事人一方不履行合同义务或者履行合同义务不符合约定的，应当承担继续履行、采取补救措施或者赔偿损失等违约责任。</w:t>
      </w:r>
    </w:p>
    <w:p w14:paraId="482DBC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第五百七十八条　当事人一方明确表示或者以自己的行为表明不履行合同义务的，对方可以在履行期限届满前请求其承担违约责任。</w:t>
      </w:r>
    </w:p>
    <w:p w14:paraId="1DA474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第五百七十九条　当事人一方未支付价款、报酬、租金、利息，或者不履行</w:t>
      </w:r>
      <w:r>
        <w:rPr>
          <w:rFonts w:ascii="宋体" w:eastAsia="宋体" w:hAnsi="宋体" w:cs="宋体" w:hint="eastAsia"/>
          <w:sz w:val="24"/>
        </w:rPr>
        <w:lastRenderedPageBreak/>
        <w:t>其他金钱债务的，对方可以请求其支付。</w:t>
      </w:r>
    </w:p>
    <w:p w14:paraId="4908E2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第五百八十条　当事人一方不履行非金钱债务或者履行非金钱债务不符合约定的，对方可以请求履行，但是有下列情形之一的除外：</w:t>
      </w:r>
    </w:p>
    <w:p w14:paraId="74DB67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（一）法律上或者事实上不能履行；</w:t>
      </w:r>
    </w:p>
    <w:p w14:paraId="20177A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（二）债务的标的不适于强制履行或者履行费用过高；</w:t>
      </w:r>
    </w:p>
    <w:p w14:paraId="3FC80A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（三）债权人在合理期限内未请求履行。</w:t>
      </w:r>
    </w:p>
    <w:p w14:paraId="784EF5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有前款规定的除外情形之一，致使不能实现合同目的的，人民法院或者仲裁机构可以根据当事人的请求终止合同权利义务关系，但是不影响违约责任的承担。</w:t>
      </w:r>
    </w:p>
    <w:p w14:paraId="082C26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第五百八十一条　当事人一方不履行债务或者履行债务不符合约定，根据债务的性质不得强制履行的，对方可以请求其负担由第三人替代履行的费用。</w:t>
      </w:r>
    </w:p>
    <w:p w14:paraId="20D1E7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第五百八十二条　履行不符合约定的，应当按照当事人的约定承担违约责任。对违约责任没有约定或者约定不明确，依据本法第五百一十条的规定仍不能确定的，受损害方根据标的</w:t>
      </w:r>
      <w:proofErr w:type="gramStart"/>
      <w:r>
        <w:rPr>
          <w:rFonts w:ascii="宋体" w:eastAsia="宋体" w:hAnsi="宋体" w:cs="宋体" w:hint="eastAsia"/>
          <w:sz w:val="24"/>
        </w:rPr>
        <w:t>的</w:t>
      </w:r>
      <w:proofErr w:type="gramEnd"/>
      <w:r>
        <w:rPr>
          <w:rFonts w:ascii="宋体" w:eastAsia="宋体" w:hAnsi="宋体" w:cs="宋体" w:hint="eastAsia"/>
          <w:sz w:val="24"/>
        </w:rPr>
        <w:t>性质以及损失的大小，可以合理选择请求对方承担修理、重作、更换、退货、减少价款或者报酬等违约责任。</w:t>
      </w:r>
    </w:p>
    <w:p w14:paraId="2FB253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第五百八十三条　当事人一方不履行合同义务或者履行合同义务不符合约定的，在履行义务或者采取补救措施后，对方还有其他损失的，应当赔偿损失。</w:t>
      </w:r>
    </w:p>
    <w:p w14:paraId="6749C6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第五百八十四条　当事人一方不履行合同义务或者履行合同义务不符合约定，造成对方损失的，损失赔偿额应当相当于因违约所造成的损失，包括合同履行后可以获得的利益；但是，不得超过违约一方订立合同时预见到或者应当预见到的因违约可能造成的损失。</w:t>
      </w:r>
    </w:p>
    <w:p w14:paraId="145585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第五百八十五条　当事人可以约定一方违约时应当根据违约情况向对方支付一定数额的违约金，也可以约定因违约产生的损失赔偿额的计算方法。</w:t>
      </w:r>
    </w:p>
    <w:p w14:paraId="2FE97B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约定的违约金低于造成的损失的，人民法院或者仲裁机构可以根据当事人的请求予以增加；约定的违约金过分高于造成的损失的，人民法院或者仲裁机构可以根据当事人的请求予以适当减少。</w:t>
      </w:r>
    </w:p>
    <w:p w14:paraId="2B2191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当事人就迟延履行约定违约金的，违约方支付违约金后，还应当履行债务。</w:t>
      </w:r>
    </w:p>
    <w:p w14:paraId="41CE89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第五百八十六条　当事人可以约定</w:t>
      </w:r>
      <w:proofErr w:type="gramStart"/>
      <w:r>
        <w:rPr>
          <w:rFonts w:ascii="宋体" w:eastAsia="宋体" w:hAnsi="宋体" w:cs="宋体" w:hint="eastAsia"/>
          <w:sz w:val="24"/>
        </w:rPr>
        <w:t>一</w:t>
      </w:r>
      <w:proofErr w:type="gramEnd"/>
      <w:r>
        <w:rPr>
          <w:rFonts w:ascii="宋体" w:eastAsia="宋体" w:hAnsi="宋体" w:cs="宋体" w:hint="eastAsia"/>
          <w:sz w:val="24"/>
        </w:rPr>
        <w:t>方向对方给付定金作为债权的担保。定金合同自实际交付定金时成立。</w:t>
      </w:r>
    </w:p>
    <w:p w14:paraId="2B7970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定金的数额由当事人约定；但是，不得超过主合同标的额的百分之二十，超过部分不产生定金的效力。实际交付的定金数额多于或者少于约定数额的，视为变更约定的定金数额。</w:t>
      </w:r>
    </w:p>
    <w:p w14:paraId="6CEA7B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第五百八十七条　债务人履行债务的，定金应当抵作价款或者收回。给付定金的一方不履行债务或者履行债务不符合约定，致使不能实现合同目的的，无权请求返还定金；收受定金的一方不履行债务或者履行债务不符合约定，致使不能实现合同目的的，应当双倍返还定金。</w:t>
      </w:r>
    </w:p>
    <w:p w14:paraId="7A8B6C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第五百八十八条　当事人既约定违约金，又约定定金的，一方违约时，对方可以选择适用违约金或者定金条款。</w:t>
      </w:r>
    </w:p>
    <w:p w14:paraId="51CAD8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定金不足以弥补一方违约造成的损失的，对方可以请求赔偿超过定金数额的损失。</w:t>
      </w:r>
    </w:p>
    <w:p w14:paraId="6DEEF6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第五百八十九条　债务人按照约定履行债务，债权人无正当理由拒绝受领的，债务人可以请求债权人赔偿增加的费用。</w:t>
      </w:r>
    </w:p>
    <w:p w14:paraId="036F65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在债权人受领迟延期间，债务人无须支付利息。</w:t>
      </w:r>
    </w:p>
    <w:p w14:paraId="639772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第五百九十条　当事人一方因不可抗力不能履行合同的，根据不可抗力的影响，部分或者全部免除责任，但是法律另有规定的除外。因不可抗力不能履行合同的，应当及时通知对方，以减轻可能给对方造成的损失，并应当在合理期限内提供证明。</w:t>
      </w:r>
    </w:p>
    <w:p w14:paraId="440597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当事人迟延履行后发生不可抗力的，</w:t>
      </w:r>
      <w:proofErr w:type="gramStart"/>
      <w:r>
        <w:rPr>
          <w:rFonts w:ascii="宋体" w:eastAsia="宋体" w:hAnsi="宋体" w:cs="宋体" w:hint="eastAsia"/>
          <w:sz w:val="24"/>
        </w:rPr>
        <w:t>不</w:t>
      </w:r>
      <w:proofErr w:type="gramEnd"/>
      <w:r>
        <w:rPr>
          <w:rFonts w:ascii="宋体" w:eastAsia="宋体" w:hAnsi="宋体" w:cs="宋体" w:hint="eastAsia"/>
          <w:sz w:val="24"/>
        </w:rPr>
        <w:t>免除其违约责任。</w:t>
      </w:r>
    </w:p>
    <w:p w14:paraId="258B21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第五百九十一条　当事人一方违约后，对方应当采取适当措施防止损失的扩大；没有采取适当措施致使损失扩大的，不得就扩大的损失请求赔偿。</w:t>
      </w:r>
    </w:p>
    <w:p w14:paraId="659E3B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当事人因防止损失扩大而支出的合理费用，由违约方负担。</w:t>
      </w:r>
    </w:p>
    <w:p w14:paraId="0258BE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第五百九十二条　当事人都违反合同的，应当各自承担相应的责任。</w:t>
      </w:r>
    </w:p>
    <w:p w14:paraId="21A03C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当事人一方违约造成对方损失，对方对损失的发生有过错的，可以减少相应的损失赔偿额。</w:t>
      </w:r>
    </w:p>
    <w:p w14:paraId="1B2C5E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第五百九十三条　当事人一方因第三人的原因造成违约的，应当依法向对方承担违约责任。当事人一方和第三人之间的纠纷，依照法律规定或者按照约定处理。</w:t>
      </w:r>
    </w:p>
    <w:p w14:paraId="1034D9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第五百九十四条　因国际货物买卖合同和技术进出口合同争议提起诉讼或者申请仲裁的时效期间为四年。</w:t>
      </w:r>
    </w:p>
    <w:p w14:paraId="5678F6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第二分编　典型合同</w:t>
      </w:r>
    </w:p>
    <w:p w14:paraId="79A335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第九章　买卖合同</w:t>
      </w:r>
    </w:p>
    <w:p w14:paraId="0557D2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第五百九十五条　买卖合同是出卖人转移标的物的所有权于买受人，买受人支付价款的合同。</w:t>
      </w:r>
    </w:p>
    <w:p w14:paraId="1542EF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第五百九十六条　买卖合同的内容一般包括标的物的名称、数量、质量、价款、履行期限、履行地点和方式、包装方式、检验标准和方法、结算方式、合同使用的文字及其效力等条款。</w:t>
      </w:r>
    </w:p>
    <w:p w14:paraId="43D833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第五百九十七条　因出卖人未取得处分权致使标的物所有权不能转移的，买受人可以解除合同并请求出卖人承担违约责任。</w:t>
      </w:r>
    </w:p>
    <w:p w14:paraId="582ABE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法律、行政法规禁止或者限制转让的标的物，依照其规定。</w:t>
      </w:r>
    </w:p>
    <w:p w14:paraId="7ACDCE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第五百九十八条　出卖人应当履行向买受人交付标的物或者交付提取标的物的单证，并转移标的物所有权的义务。</w:t>
      </w:r>
    </w:p>
    <w:p w14:paraId="4485AE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第五百九十九条　出卖人应当按照约定或者交易习惯向买受人交付提取标的物单证以外的有关单证和资料。</w:t>
      </w:r>
    </w:p>
    <w:p w14:paraId="5795A9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第六百条　出卖具有知识产权的标的物的，除法律另有规定或者当事人另有约定外，该标的物的知识产权不属于买受人。</w:t>
      </w:r>
    </w:p>
    <w:p w14:paraId="2387D1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第六百零一条　出卖人应当按照约定的时间交付标的物。约定交付期限的，</w:t>
      </w:r>
      <w:r>
        <w:rPr>
          <w:rFonts w:ascii="宋体" w:eastAsia="宋体" w:hAnsi="宋体" w:cs="宋体" w:hint="eastAsia"/>
          <w:sz w:val="24"/>
        </w:rPr>
        <w:lastRenderedPageBreak/>
        <w:t>出卖人可以在该交付期限内的任何时间交付。</w:t>
      </w:r>
    </w:p>
    <w:p w14:paraId="2C7757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第六百零二条　当事人没有约定标的物的交付期限或者约定不明确的，适用本法第五百一十条、第五百一十一条第四项的规定。</w:t>
      </w:r>
    </w:p>
    <w:p w14:paraId="796ECD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第六百零三条　出卖人应当按照约定的地点交付标的物。</w:t>
      </w:r>
    </w:p>
    <w:p w14:paraId="2ACF66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当事人没有约定交付地点或者约定不明确，依据本法第五百一十条的规定仍不能确定的，适用下列规定：</w:t>
      </w:r>
    </w:p>
    <w:p w14:paraId="71AC2C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（一）标的物需要运输的，出卖人应当将标的物交付给第一承运人以运交给买受人；</w:t>
      </w:r>
    </w:p>
    <w:p w14:paraId="752496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（二）标的物不需要运输，出卖人和买受人订立合同时知道标的物在某一地点的，出卖人应当在该地点交付标的物；不知道标的物在某一地点的，应当在出卖人订立合同时的营业地交付标的物。</w:t>
      </w:r>
    </w:p>
    <w:p w14:paraId="179D11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第六百零四条　标的物毁损、灭失的风险，在标的物交付之前由出卖人承担，交付之后由买受人承担，但是法律另有规定或者当事人另有约定的除外。</w:t>
      </w:r>
    </w:p>
    <w:p w14:paraId="7FB9AA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第六百零五条　因买受人的原因致使标的物未按照约定的期限交付的，买受人应当自违反约定时</w:t>
      </w:r>
      <w:proofErr w:type="gramStart"/>
      <w:r>
        <w:rPr>
          <w:rFonts w:ascii="宋体" w:eastAsia="宋体" w:hAnsi="宋体" w:cs="宋体" w:hint="eastAsia"/>
          <w:sz w:val="24"/>
        </w:rPr>
        <w:t>起承担</w:t>
      </w:r>
      <w:proofErr w:type="gramEnd"/>
      <w:r>
        <w:rPr>
          <w:rFonts w:ascii="宋体" w:eastAsia="宋体" w:hAnsi="宋体" w:cs="宋体" w:hint="eastAsia"/>
          <w:sz w:val="24"/>
        </w:rPr>
        <w:t>标的物毁损、灭失的风险。</w:t>
      </w:r>
    </w:p>
    <w:p w14:paraId="10C8EA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第六百零六条　出卖人出卖交由承运人运输的在途标的物，除当事人另有约定外，毁损、灭失的风险自合同成立时起由买受人承担。</w:t>
      </w:r>
    </w:p>
    <w:p w14:paraId="06E880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第六百零七条　出卖人按照约定将标的物运送至买受人指定地点并交付给承运人后，标的物毁损、灭失的风险由买受人承担。</w:t>
      </w:r>
    </w:p>
    <w:p w14:paraId="2090CD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当事人没有约定交付地点或者约定不明确，依据本法第六百零三条第二款第一项的规定标的物需要运输的，出卖人将标的物交付给第一承运人后，标的物毁损、灭失的风险由买受人承担。</w:t>
      </w:r>
    </w:p>
    <w:p w14:paraId="6E32C6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第六百零八条　出卖人按照约定或者依据本法第六百零三条第二款第二项的规定将标的物置于交付地点，买受人违反约定没有收取的，标的物毁损、灭失的风险自违反约定时起由买受人承担。</w:t>
      </w:r>
    </w:p>
    <w:p w14:paraId="2CF8BE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第六百零九条　出卖人按照约定未交付有关标的物的单证和资料的，不影响标的物毁损、灭失风险的转移。</w:t>
      </w:r>
    </w:p>
    <w:p w14:paraId="5DA6CC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第六百一十条　因标的物不符合质量要求，致使不能实现合同目的的，买受人可以拒绝接受标的物或者解除合同。买受人拒绝接受标的物或者解除合同的，标的物毁损、灭失的风险由出卖人承担。</w:t>
      </w:r>
    </w:p>
    <w:p w14:paraId="630225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第六百一十一条　标的物毁损、灭失的风险由买受人承担的，不影响因出卖人履行义务不符合约定，买受人请求其承担违约责任的权利。</w:t>
      </w:r>
    </w:p>
    <w:p w14:paraId="646099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第六百一十二条　出卖人就交付的标的物，负有保证第三人对该标的物不享有任何权利的义务，但是法律另有规定的除外。</w:t>
      </w:r>
    </w:p>
    <w:p w14:paraId="68F879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第六百一十三条　买受人订立合同时知道或者应当知道第三人对买卖的标的物享有权利的，出卖人不承担前条规定的义务。</w:t>
      </w:r>
    </w:p>
    <w:p w14:paraId="1F5C05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第六百一十四条　买受人有确切证据证明第三人对标的物享有权利的，可以中止支付相应的价款，但是出卖人提供适当担保的除外。</w:t>
      </w:r>
    </w:p>
    <w:p w14:paraId="285142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第六百一十五条　出卖人应当按照约定的质量要求交付标的物。出卖人提供有关标的物质量说明的，交付的标的物应当符合该说明的质量要求。</w:t>
      </w:r>
    </w:p>
    <w:p w14:paraId="5066F9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第六百一十六条　当事人对标的物的质量要求没有约定或者约定不明确，依据本法第五百一十条的规定仍不能确定的，适用本法第五百一十一条第一项的规定。</w:t>
      </w:r>
    </w:p>
    <w:p w14:paraId="198FA6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第六百一十七条　出卖人交付的标的物不符合质量要求的，买受人可以依据本法第五百八十二条至第五百八十四条的规定请求承担违约责任。</w:t>
      </w:r>
    </w:p>
    <w:p w14:paraId="36EC06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第六百一十八条　当事人约定减轻或者免除出卖人对标的物瑕疵承担的责任，因出卖人故意或者重大过失不告知买受人标的物瑕疵的，出卖人无权主张减轻或者免除责任。</w:t>
      </w:r>
    </w:p>
    <w:p w14:paraId="17B038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第六百一十九条　出卖人应当按照约定的包装方式交付标的物。对包装方式没有约定或者约定不明确，依据本法第五百一十条的规定仍不能确定的，应当按照通用的方式包装；没有通用方式的，应当采取足以保护标的物且有利于节约资</w:t>
      </w:r>
      <w:r>
        <w:rPr>
          <w:rFonts w:ascii="宋体" w:eastAsia="宋体" w:hAnsi="宋体" w:cs="宋体" w:hint="eastAsia"/>
          <w:sz w:val="24"/>
        </w:rPr>
        <w:lastRenderedPageBreak/>
        <w:t>源、保护生态环境的包装方式。</w:t>
      </w:r>
    </w:p>
    <w:p w14:paraId="5E82A6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第六百二十条　买受人收到标的物时应当在约定的检验期限内检验。没有约定检验期限的，应当及时检验。</w:t>
      </w:r>
    </w:p>
    <w:p w14:paraId="553258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第六百二十一条　当事人约定检验期限的，买受人应当在检验期限内将标的物的数量或者质量不符合约定的情形通知出卖人。买受人</w:t>
      </w:r>
      <w:proofErr w:type="gramStart"/>
      <w:r>
        <w:rPr>
          <w:rFonts w:ascii="宋体" w:eastAsia="宋体" w:hAnsi="宋体" w:cs="宋体" w:hint="eastAsia"/>
          <w:sz w:val="24"/>
        </w:rPr>
        <w:t>怠</w:t>
      </w:r>
      <w:proofErr w:type="gramEnd"/>
      <w:r>
        <w:rPr>
          <w:rFonts w:ascii="宋体" w:eastAsia="宋体" w:hAnsi="宋体" w:cs="宋体" w:hint="eastAsia"/>
          <w:sz w:val="24"/>
        </w:rPr>
        <w:t>于通知的，视为标的物的数量或者质量符合约定。</w:t>
      </w:r>
    </w:p>
    <w:p w14:paraId="077CC4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没有约定检验期限的，买受人应当在发现或者应当发现标的物的数量或者质量不符合约定的合理期限内通知出卖人。买受人在合理期限内未通知或者自收到标的物之日起二年内未通知出卖人的，视为标的物的数量或者质量符合约定；但是，对标的物有质量保证期的，适用质量保证期，不适用该二年的规定。</w:t>
      </w:r>
    </w:p>
    <w:p w14:paraId="588215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出卖人知道或者应当知道提供的标的物不符合约定的，买受人不受前两款规定的通知时间的限制。</w:t>
      </w:r>
    </w:p>
    <w:p w14:paraId="117C13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第六百二十二条　当事人约定的检验期限过短，根据标的物的性质和交易习惯，买受人在检验期限内难以完成全面检验的，该期限仅视为买受人对标的物的外观瑕疵提出异议的期限。</w:t>
      </w:r>
    </w:p>
    <w:p w14:paraId="5FF831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约定的检验期限或者质量保证期短于法律、行政法规规定期限的，应当以法律、行政法规规定的期限为准。</w:t>
      </w:r>
    </w:p>
    <w:p w14:paraId="4F7E0C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第六百二十三条　当事人对检验期限未作约定，买受人签收的送货单、确认单等载明标的物数量、型号、规格的，</w:t>
      </w:r>
      <w:proofErr w:type="gramStart"/>
      <w:r>
        <w:rPr>
          <w:rFonts w:ascii="宋体" w:eastAsia="宋体" w:hAnsi="宋体" w:cs="宋体" w:hint="eastAsia"/>
          <w:sz w:val="24"/>
        </w:rPr>
        <w:t>推定买</w:t>
      </w:r>
      <w:proofErr w:type="gramEnd"/>
      <w:r>
        <w:rPr>
          <w:rFonts w:ascii="宋体" w:eastAsia="宋体" w:hAnsi="宋体" w:cs="宋体" w:hint="eastAsia"/>
          <w:sz w:val="24"/>
        </w:rPr>
        <w:t>受人已经对数量和外观瑕疵进行检验，但是有相关证据足以推翻的除外。</w:t>
      </w:r>
    </w:p>
    <w:p w14:paraId="31C56D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第六百二十四条　出卖人依照买受人的指示向第三人交付标的物，出卖人和买受人约定的检验标准与买受人和第三人约定的检验标准不一致的，以出卖人和买受人约定的检验标准为准。</w:t>
      </w:r>
    </w:p>
    <w:p w14:paraId="7E0A74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第六百二十五条　依照法律、行政法规的规定或者按照当事人的约定，标的物在有效使用年限届满后应予回收的，出卖人负有自行或者委托第三人对标的物予以回收的义务。</w:t>
      </w:r>
    </w:p>
    <w:p w14:paraId="7212FF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第六百二十六条　买受人应当按照约定的数额和支付方式支付价款。对价款的数额和支付方式没有约定或者约定不明确的，适用本法第五百一十条、第五百一十一条第二项和第五项的规定。</w:t>
      </w:r>
    </w:p>
    <w:p w14:paraId="5DCE5D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第六百二十七条　买受人应当按照约定的地点支付价款。对支付地点没有约定或者约定不明确，依据本法第五百一十条的规定仍不能确定的，买受人应当在出卖人的营业地支付；但是，约定支付价款以交付标的物或者交付提取标的物单证为条件的，在交付标的物或者交付提取标的物单证的所在地支付。</w:t>
      </w:r>
    </w:p>
    <w:p w14:paraId="50D392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第六百二十八条　买受人应当按照约定的时间支付价款。对支付时间没有约定或者约定不明确，依据本法第五百一十条的规定仍不能确定的，买受人应当在收到标的物或者提取标的物单证的同时支付。</w:t>
      </w:r>
    </w:p>
    <w:p w14:paraId="5FB7C5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第六百二十九条　出卖人多交标的物的，买受人可以接收或者拒绝接收多交的部分。买受人接收多交部分的，按照约定的价格支付价款；买受人拒绝接收多交部分的，应当及时通知出卖人。</w:t>
      </w:r>
    </w:p>
    <w:p w14:paraId="281D6C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第六百三十条　标的物在交付之前产生的</w:t>
      </w:r>
      <w:proofErr w:type="gramStart"/>
      <w:r>
        <w:rPr>
          <w:rFonts w:ascii="宋体" w:eastAsia="宋体" w:hAnsi="宋体" w:cs="宋体" w:hint="eastAsia"/>
          <w:sz w:val="24"/>
        </w:rPr>
        <w:t>孳</w:t>
      </w:r>
      <w:proofErr w:type="gramEnd"/>
      <w:r>
        <w:rPr>
          <w:rFonts w:ascii="宋体" w:eastAsia="宋体" w:hAnsi="宋体" w:cs="宋体" w:hint="eastAsia"/>
          <w:sz w:val="24"/>
        </w:rPr>
        <w:t>息，归出卖人所有；交付之后产生的</w:t>
      </w:r>
      <w:proofErr w:type="gramStart"/>
      <w:r>
        <w:rPr>
          <w:rFonts w:ascii="宋体" w:eastAsia="宋体" w:hAnsi="宋体" w:cs="宋体" w:hint="eastAsia"/>
          <w:sz w:val="24"/>
        </w:rPr>
        <w:t>孳</w:t>
      </w:r>
      <w:proofErr w:type="gramEnd"/>
      <w:r>
        <w:rPr>
          <w:rFonts w:ascii="宋体" w:eastAsia="宋体" w:hAnsi="宋体" w:cs="宋体" w:hint="eastAsia"/>
          <w:sz w:val="24"/>
        </w:rPr>
        <w:t>息，归买受人所有。但是，当事人另有约定的除外。</w:t>
      </w:r>
    </w:p>
    <w:p w14:paraId="0BD32B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第六百三十一条　因标的物的主物不符合约定而解除合同的，解除合同的效力及于从物。因标的物的从物不符合约定被解除的，解除的效力</w:t>
      </w:r>
      <w:proofErr w:type="gramStart"/>
      <w:r>
        <w:rPr>
          <w:rFonts w:ascii="宋体" w:eastAsia="宋体" w:hAnsi="宋体" w:cs="宋体" w:hint="eastAsia"/>
          <w:sz w:val="24"/>
        </w:rPr>
        <w:t>不</w:t>
      </w:r>
      <w:proofErr w:type="gramEnd"/>
      <w:r>
        <w:rPr>
          <w:rFonts w:ascii="宋体" w:eastAsia="宋体" w:hAnsi="宋体" w:cs="宋体" w:hint="eastAsia"/>
          <w:sz w:val="24"/>
        </w:rPr>
        <w:t>及于主物。</w:t>
      </w:r>
    </w:p>
    <w:p w14:paraId="3F373B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第六百三十二条　标的物为数物，其中一物不符合约定的，买受人可以就该物解除。但是，该物与他物分离使标的物的价值显受损害的，买受人可以就数物解除合同。</w:t>
      </w:r>
    </w:p>
    <w:p w14:paraId="44F1FA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第六百三十三条　出卖人分批交付标的物的，出卖人对其中一批标的物不交付或者交付不符合约定，致使该批标的物不能实现合同目的的，买受人可以就该批标的物解除。</w:t>
      </w:r>
    </w:p>
    <w:p w14:paraId="121B8E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出卖人不交付其中一批标的物或者交付不符合约定，致使之后其他各批标的物的交付不能实现合同目的的，买受人可以就该批以及之后其他各批标的物解除。</w:t>
      </w:r>
    </w:p>
    <w:p w14:paraId="46281F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买受人如果就其中一批标的物解除，该批标的物与其他各批标的</w:t>
      </w:r>
      <w:proofErr w:type="gramStart"/>
      <w:r>
        <w:rPr>
          <w:rFonts w:ascii="宋体" w:eastAsia="宋体" w:hAnsi="宋体" w:cs="宋体" w:hint="eastAsia"/>
          <w:sz w:val="24"/>
        </w:rPr>
        <w:t>物相互</w:t>
      </w:r>
      <w:proofErr w:type="gramEnd"/>
      <w:r>
        <w:rPr>
          <w:rFonts w:ascii="宋体" w:eastAsia="宋体" w:hAnsi="宋体" w:cs="宋体" w:hint="eastAsia"/>
          <w:sz w:val="24"/>
        </w:rPr>
        <w:t>依存</w:t>
      </w:r>
      <w:r>
        <w:rPr>
          <w:rFonts w:ascii="宋体" w:eastAsia="宋体" w:hAnsi="宋体" w:cs="宋体" w:hint="eastAsia"/>
          <w:sz w:val="24"/>
        </w:rPr>
        <w:lastRenderedPageBreak/>
        <w:t>的，可以就已经交付和未交付的各批标的物解除。</w:t>
      </w:r>
    </w:p>
    <w:p w14:paraId="0C53A5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第六百三十四条　分期付款的买受人未支付到期价款的数额达到全部价款的五分之一，经催告后在合理期限内仍未支付到期价款的，出卖人可以请求买受人支付全部价款或者解除合同。</w:t>
      </w:r>
    </w:p>
    <w:p w14:paraId="000FA2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出卖人解除合同的，可以向买受人请求支付该标的物的使用费。</w:t>
      </w:r>
    </w:p>
    <w:p w14:paraId="72E821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第六百三十五条　凭样品买卖的当事人应当封存样品，并可以对样品质量予以说明。出卖人交付的标的物应当与样品及其说明的质量相同。</w:t>
      </w:r>
    </w:p>
    <w:p w14:paraId="4E619D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第六百三十六条　凭样品买卖的买受人不知道样品有隐蔽瑕疵的，即使交付的标的物与样品相同，出卖人交付的标的物的质量仍然应当符合同种物的通常标准。</w:t>
      </w:r>
    </w:p>
    <w:p w14:paraId="11F57D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第六百三十七条　试用买卖的当事人可以约定标的物的试用期限。对试用期限没有约定或者约定不明确，依据本法第五百一十条的规定仍不能确定的，由出卖人确定。</w:t>
      </w:r>
    </w:p>
    <w:p w14:paraId="11E2F5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第六百三十八条　试用买卖的买受人在试用期内可以购买标的物，也可以拒绝购买。试用期限届满，买受人对是否购买标的物未作表示的，视为购买。</w:t>
      </w:r>
    </w:p>
    <w:p w14:paraId="4AFB48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试用买卖的买受人在试用期内已经支付部分价款或者对标的物实施出卖、出租、设立担保物权等行为的，视为同意购买。</w:t>
      </w:r>
    </w:p>
    <w:p w14:paraId="251C30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第六百三十九条　试用买卖的当事人对标的物使用费没有约定或者约定不明确的，出卖人无权请求买受人支付。</w:t>
      </w:r>
    </w:p>
    <w:p w14:paraId="45807D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第六百四十条　标的物在试用期内毁损、灭失的风险由出卖人承担。</w:t>
      </w:r>
    </w:p>
    <w:p w14:paraId="6D53BD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第六百四十一条　当事人可以在买卖合同中约定买受人未履行支付价款或者其他义务的，标的物的所有权属于出卖人。</w:t>
      </w:r>
    </w:p>
    <w:p w14:paraId="408C54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出卖人对标的物保留的所有权，未经登记，不得对抗善意第三人。</w:t>
      </w:r>
    </w:p>
    <w:p w14:paraId="628979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第六百四十二条　当事人约定出卖人保留合同标的物的所有权，在标的物所有权转移前，买受人有下列情形之一，造成出卖人损害的，除当事人另有约定外，</w:t>
      </w:r>
      <w:r>
        <w:rPr>
          <w:rFonts w:ascii="宋体" w:eastAsia="宋体" w:hAnsi="宋体" w:cs="宋体" w:hint="eastAsia"/>
          <w:sz w:val="24"/>
        </w:rPr>
        <w:lastRenderedPageBreak/>
        <w:t>出卖人有权取回标的物：</w:t>
      </w:r>
    </w:p>
    <w:p w14:paraId="4EF821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（一）未按照约定支付价款，经催告后在合理期限内仍未支付；</w:t>
      </w:r>
    </w:p>
    <w:p w14:paraId="201CCA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（二）未按照约定完成特定条件；</w:t>
      </w:r>
    </w:p>
    <w:p w14:paraId="0B8902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（三）将标的物出卖、出质或者</w:t>
      </w:r>
      <w:proofErr w:type="gramStart"/>
      <w:r>
        <w:rPr>
          <w:rFonts w:ascii="宋体" w:eastAsia="宋体" w:hAnsi="宋体" w:cs="宋体" w:hint="eastAsia"/>
          <w:sz w:val="24"/>
        </w:rPr>
        <w:t>作出</w:t>
      </w:r>
      <w:proofErr w:type="gramEnd"/>
      <w:r>
        <w:rPr>
          <w:rFonts w:ascii="宋体" w:eastAsia="宋体" w:hAnsi="宋体" w:cs="宋体" w:hint="eastAsia"/>
          <w:sz w:val="24"/>
        </w:rPr>
        <w:t>其他不当处分。</w:t>
      </w:r>
    </w:p>
    <w:p w14:paraId="222AFF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出卖人可以与买受人协商取回标的物；协商不成的，可以参照适用担保物权的实现程序。</w:t>
      </w:r>
    </w:p>
    <w:p w14:paraId="669E40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第六百四十三条　出卖人依据前条第一款的规定取回标的物后，买受人在双方约定或者出卖人指定的合理回赎期限内，消除出卖人取回标的物的事由的，可以请求回赎标的物。</w:t>
      </w:r>
    </w:p>
    <w:p w14:paraId="601B37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买受人在回赎期限内没有回赎标的物，出卖人可以以合理价格将标的物出卖给第三人，出卖所得价款扣除买受人未支付的价款以及必要费用后仍有剩余的，应当返还买受人；不足部分由买受人清偿。</w:t>
      </w:r>
    </w:p>
    <w:p w14:paraId="0F3293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第六百四十四条　招标投标买卖的当事人的权利和义务以及招标投标程序等，依照有关法律、行政法规的规定。</w:t>
      </w:r>
    </w:p>
    <w:p w14:paraId="225CF7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第六百四十五条　拍卖的当事人的权利和义务以及拍卖程序等，依照有关法律、行政法规的规定。</w:t>
      </w:r>
    </w:p>
    <w:p w14:paraId="639606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第六百四十六条　法律对其他有偿合同有规定的，依照其规定；没有规定的，参照适用买卖合同的有关规定。</w:t>
      </w:r>
    </w:p>
    <w:p w14:paraId="0D8743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第六百四十七条　当事人约定易货交易，转移标的物的所有权的，参照适用买卖合同的有关规定。</w:t>
      </w:r>
    </w:p>
    <w:p w14:paraId="1925B5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第十章　供用电、水、气、热力合同</w:t>
      </w:r>
    </w:p>
    <w:p w14:paraId="56B886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第六百四十八条　供用电合同是供电人向用电人供电，用电人支付电费的合同。</w:t>
      </w:r>
    </w:p>
    <w:p w14:paraId="001BC4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向社会公众供电的供电人，不得拒绝用电人合理的订立合同要求。</w:t>
      </w:r>
    </w:p>
    <w:p w14:paraId="443FDD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第六百四十九条　供用电合同的内容一般包括供电的方式、质量、时间，用</w:t>
      </w:r>
      <w:r>
        <w:rPr>
          <w:rFonts w:ascii="宋体" w:eastAsia="宋体" w:hAnsi="宋体" w:cs="宋体" w:hint="eastAsia"/>
          <w:sz w:val="24"/>
        </w:rPr>
        <w:lastRenderedPageBreak/>
        <w:t>电容量、地址、性质，计量方式，电价、电费的结算方式，供用电设施的维护责任等条款。</w:t>
      </w:r>
    </w:p>
    <w:p w14:paraId="612774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第六百五十条　供用电合同的履行地点，按照当事人约定；当事人没有约定或者约定不明确的，供电设施的产权分界处为履行地点。</w:t>
      </w:r>
    </w:p>
    <w:p w14:paraId="41B35E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第六百五十一条　供电人应当按照国家规定的供电质量标准和约定安全供电。供电人未按照国家规定的供电质量标准和约定安全供电，造成用电人损失的，应当承担赔偿责任。</w:t>
      </w:r>
    </w:p>
    <w:p w14:paraId="193FE5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第六百五十二条　供电人因供电设施计划检修、临时检修、依法限电或者用电人违法用电等原因，需要中断供电时，应当按照国家有关规定事先通知用电人；未事先通知用电人中断供电，造成用电人损失的，应当承担赔偿责任。</w:t>
      </w:r>
    </w:p>
    <w:p w14:paraId="435241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第六百五十三条　因自然灾害等原因断电，供电人应当按照国家有关规定及时抢修；未及时抢修，造成用电人损失的，应当承担赔偿责任。</w:t>
      </w:r>
    </w:p>
    <w:p w14:paraId="45A875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第六百五十四条　用电人应当按照国家有关规定和当事人的约定及时支付电费。用电人逾期不支付电费的，应当按照约定支付违约金。经催告用电人在合理期限内仍不支付电费和违约金的，供电人可以按照国家规定的程序中止供电。</w:t>
      </w:r>
    </w:p>
    <w:p w14:paraId="6ABE84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供电人依据前款规定中止供电的，应当事先通知用电人。</w:t>
      </w:r>
    </w:p>
    <w:p w14:paraId="29E8BE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第六百五十五条　用电人应当按照国家有关规定和当事人的约定安全、节约和计划用电。用电人未按照国家有关规定和当事人的约定用电，造成供电人损失的，应当承担赔偿责任。</w:t>
      </w:r>
    </w:p>
    <w:p w14:paraId="60F052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第六百五十六条　供用水、供用气、供用热力合同，参照适用供用电合同的有关规定。</w:t>
      </w:r>
    </w:p>
    <w:p w14:paraId="7E9D97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第十一章　赠与合同</w:t>
      </w:r>
    </w:p>
    <w:p w14:paraId="7ECF43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第六百五十七条　赠与合同是赠与人将自己的财产无偿给予受赠人，受赠人表示接受赠与的合同。</w:t>
      </w:r>
    </w:p>
    <w:p w14:paraId="7050CB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第六百五十八条　赠与人在赠与财产的权利转移之前可以撤销赠与。</w:t>
      </w:r>
    </w:p>
    <w:p w14:paraId="66A253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经过公证的赠与合同或者依法不得撤销的具有救灾、扶贫、助残等公益、道德义务性质的赠与合同，不适用前款规定。</w:t>
      </w:r>
    </w:p>
    <w:p w14:paraId="7C6999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第六百五十九条　赠与的财产依法需要办理登记或者其他手续的，应当办理有关手续。</w:t>
      </w:r>
    </w:p>
    <w:p w14:paraId="7A2C31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第六百六十条　经过公证的赠与合同或者依法不得撤销的具有救灾、扶贫、助残等公益、道德义务性质的赠与合同，赠与人不交付赠与财产的，受赠人可以请求交付。</w:t>
      </w:r>
    </w:p>
    <w:p w14:paraId="0C67DA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依据前款规定应当交付的赠与财产因赠与人故意或者重大过失致使毁损、灭失的，赠与人应当承担赔偿责任。</w:t>
      </w:r>
    </w:p>
    <w:p w14:paraId="0725EA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第六百六十一条　赠与可以附义务。</w:t>
      </w:r>
    </w:p>
    <w:p w14:paraId="549F94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赠与附义务的，受赠人应当按照约定履行义务。</w:t>
      </w:r>
    </w:p>
    <w:p w14:paraId="091EDB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第六百六十二条　赠与的财产有瑕疵的，赠与人不承担责任。附义务的赠与，赠与的财产有瑕疵的，赠与人在附义务的限度内承担与出卖人相同的责任。</w:t>
      </w:r>
    </w:p>
    <w:p w14:paraId="7FE0F2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赠与人故意不告知瑕疵或者保证无瑕疵，造成受赠人损失的，应当承担赔偿责任。</w:t>
      </w:r>
    </w:p>
    <w:p w14:paraId="73CC6F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第六百六十三条　受赠人有下列情形之一的，赠与人可以撤销赠与：</w:t>
      </w:r>
    </w:p>
    <w:p w14:paraId="04EC1D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（一）严重侵害赠与人或者赠与人近亲属的合法权益；</w:t>
      </w:r>
    </w:p>
    <w:p w14:paraId="7142AA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（二）对赠与人有扶养义务而不履行；</w:t>
      </w:r>
    </w:p>
    <w:p w14:paraId="259332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（三）不履行赠与合同约定的义务。</w:t>
      </w:r>
    </w:p>
    <w:p w14:paraId="1B14E2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赠与人的撤销权，自知道或者应当知道撤销事由之日起一年内行使。</w:t>
      </w:r>
    </w:p>
    <w:p w14:paraId="0B4D70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第六百六十四条　因受赠人的违法行为致使赠与人死亡或者丧失民事行为能力的，赠与人的继承人或者法定代理人可以撤销赠与。</w:t>
      </w:r>
    </w:p>
    <w:p w14:paraId="34F0D1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赠与人的继承人或者法定代理人的撤销权，自知道或者应当知道撤销事由之日起六个月内行使。</w:t>
      </w:r>
    </w:p>
    <w:p w14:paraId="1599E4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第六百六十五条　撤销权人撤销赠与的，可以向受赠人请求返还赠与的财产。</w:t>
      </w:r>
    </w:p>
    <w:p w14:paraId="4BDBA8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第六百六十六条　赠与人的经济状况显著恶化，严重影响其生产经营或者家庭生活的，可以不再履行赠与义务。</w:t>
      </w:r>
    </w:p>
    <w:p w14:paraId="44D708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第十二章　借款合同</w:t>
      </w:r>
    </w:p>
    <w:p w14:paraId="0869FA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第六百六十七条　借款合同是借款人向贷款人借款，到期返还借款并支付利息的合同。</w:t>
      </w:r>
    </w:p>
    <w:p w14:paraId="64B2A1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第六百六十八条　借款合同应当采用书面形式，但是自然人之间借款另有约定的除外。</w:t>
      </w:r>
    </w:p>
    <w:p w14:paraId="33ED57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借款合同的内容一般包括借款种类、币种、用途、数额、利率、期限和还款方式等条款。</w:t>
      </w:r>
    </w:p>
    <w:p w14:paraId="3353CD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第六百六十九条　订立借款合同，借款人应当按照贷款人的要求提供与借款有关的业务活动和财务状况的真实情况。</w:t>
      </w:r>
    </w:p>
    <w:p w14:paraId="30EE92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第六百七十条　借款的利息不得预先在本金中扣除。利息预先在本金中扣除的，应当按照实际借款数额返还借款并计算利息。</w:t>
      </w:r>
    </w:p>
    <w:p w14:paraId="4B8031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第六百七十一条　贷款人未按照约定的日期、数额提供借款，造成借款人损失的，应当赔偿损失。</w:t>
      </w:r>
    </w:p>
    <w:p w14:paraId="100286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借款人未按照约定的日期、数额收取借款的，应当按照约定的日期、数额支付利息。</w:t>
      </w:r>
    </w:p>
    <w:p w14:paraId="4BE7C8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第六百七十二条　贷款人按照约定可以检查、监督借款的使用情况。借款人应当按照约定向贷款人定期提供有关财务会计报表或者其他资料。</w:t>
      </w:r>
    </w:p>
    <w:p w14:paraId="15FA8F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第六百七十三条　借款人未按照约定的借款用途使用借款的，贷款人可以停止发放借款、提前收回借款或者解除合同。</w:t>
      </w:r>
    </w:p>
    <w:p w14:paraId="48594C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第六百七十四条　借款人应当按照约定的期限支付利息。对支付利息的期限没有约定或者约定不明确，依据本法第五百一十条的规定仍不能确定，借款期间不满一年的，应当在返还借款时一并支付；借款期间一年以上的，应当在每届满</w:t>
      </w:r>
      <w:r>
        <w:rPr>
          <w:rFonts w:ascii="宋体" w:eastAsia="宋体" w:hAnsi="宋体" w:cs="宋体" w:hint="eastAsia"/>
          <w:sz w:val="24"/>
        </w:rPr>
        <w:lastRenderedPageBreak/>
        <w:t>一年时支付，剩余期间不满一年的，应当在返还借款时一并支付。</w:t>
      </w:r>
    </w:p>
    <w:p w14:paraId="24E9F2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第六百七十五条　借款人应当按照约定的期限返还借款。对借款期限没有约定或者约定不明确，依据本法第五百一十条的规定仍不能确定的，借款人可以随时返还；贷款人可以催告借款人在合理期限内返还。</w:t>
      </w:r>
    </w:p>
    <w:p w14:paraId="3E0511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第六百七十六条　借款人未按照约定的期限返还借款的，应当按照约定或者国家有关规定支付逾期利息。</w:t>
      </w:r>
    </w:p>
    <w:p w14:paraId="636A97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第六百七十七条　借款人提前返还借款的，除当事人另有约定外，应当按照实际借款的期间计算利息。</w:t>
      </w:r>
    </w:p>
    <w:p w14:paraId="0B4C7D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第六百七十八条　借款人可以在还款期限届满前向贷款人申请展期；贷款人同意的，可以展期。</w:t>
      </w:r>
    </w:p>
    <w:p w14:paraId="107D9F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第六百七十九条　自然人之间的借款合同，</w:t>
      </w:r>
      <w:proofErr w:type="gramStart"/>
      <w:r>
        <w:rPr>
          <w:rFonts w:ascii="宋体" w:eastAsia="宋体" w:hAnsi="宋体" w:cs="宋体" w:hint="eastAsia"/>
          <w:sz w:val="24"/>
        </w:rPr>
        <w:t>自贷款</w:t>
      </w:r>
      <w:proofErr w:type="gramEnd"/>
      <w:r>
        <w:rPr>
          <w:rFonts w:ascii="宋体" w:eastAsia="宋体" w:hAnsi="宋体" w:cs="宋体" w:hint="eastAsia"/>
          <w:sz w:val="24"/>
        </w:rPr>
        <w:t>人提供借款时成立。</w:t>
      </w:r>
    </w:p>
    <w:p w14:paraId="3E523D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第六百八十条　禁止高利放贷，借款的利率不得违反国家有关规定。</w:t>
      </w:r>
    </w:p>
    <w:p w14:paraId="741F70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借款合同对支付利息没有约定的，视为没有利息。</w:t>
      </w:r>
    </w:p>
    <w:p w14:paraId="7539A3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借款合同对支付利息约定不明确，当事人不能达成补充协议的，按照当地或者当事人的交易方式、交易习惯、市场利率等因素确定利息；自然人之间借款的，视为没有利息。</w:t>
      </w:r>
    </w:p>
    <w:p w14:paraId="3F330D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第十三章　保证合同</w:t>
      </w:r>
    </w:p>
    <w:p w14:paraId="24AB77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一般规定</w:t>
      </w:r>
    </w:p>
    <w:p w14:paraId="611066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第六百八十一条　保证合同是为保障债权的实现，保证人和债权人约定，当债务人不履行到期债务或者发生当事人约定的情形时，保证人履行债务或者承担责任的合同。</w:t>
      </w:r>
    </w:p>
    <w:p w14:paraId="4D397C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第六百八十二条　保证合同是主债权债务合同的从合同。主债权债务合同无效的，保证合同无效，但是法律另有规定的除外。</w:t>
      </w:r>
    </w:p>
    <w:p w14:paraId="317CE8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保证合同被确认无效后，债务人、保证人、债权人有过错的，应当根据其过错各自承担相应的民事责任。</w:t>
      </w:r>
    </w:p>
    <w:p w14:paraId="1FE100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第六百八十三条　机关法人不得为保证人，但是经国务院批准为使用外国政府或者国际经济组织贷款进行转贷的除外。</w:t>
      </w:r>
    </w:p>
    <w:p w14:paraId="15D8D9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以公益为目的的非营利法人、非法人组织不得为保证人。</w:t>
      </w:r>
    </w:p>
    <w:p w14:paraId="3B0D1C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第六百八十四条　保证合同的内容一般包括被保证的主债权的种类、数额，债务人履行债务的期限，保证的方式、范围和期间等条款。</w:t>
      </w:r>
    </w:p>
    <w:p w14:paraId="010195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第六百八十五条　保证合同可以是单独订立的书面合同，也可以是主债权债务合同中的保证条款。</w:t>
      </w:r>
    </w:p>
    <w:p w14:paraId="34CC3A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第三人单方以书面形式向债权人</w:t>
      </w:r>
      <w:proofErr w:type="gramStart"/>
      <w:r>
        <w:rPr>
          <w:rFonts w:ascii="宋体" w:eastAsia="宋体" w:hAnsi="宋体" w:cs="宋体" w:hint="eastAsia"/>
          <w:sz w:val="24"/>
        </w:rPr>
        <w:t>作出</w:t>
      </w:r>
      <w:proofErr w:type="gramEnd"/>
      <w:r>
        <w:rPr>
          <w:rFonts w:ascii="宋体" w:eastAsia="宋体" w:hAnsi="宋体" w:cs="宋体" w:hint="eastAsia"/>
          <w:sz w:val="24"/>
        </w:rPr>
        <w:t>保证，债权人接收且未提出异议的，保证合同成立。</w:t>
      </w:r>
    </w:p>
    <w:p w14:paraId="19E744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第六百八十六条　保证的方式包括一般保证和连带责任保证。</w:t>
      </w:r>
    </w:p>
    <w:p w14:paraId="58300B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当事人在保证合同中对保证方式没有约定或者约定不明确的，按照一般保证承担保证责任。</w:t>
      </w:r>
    </w:p>
    <w:p w14:paraId="463C64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第六百八十七条　当事人在保证合同中约定，债务人不能履行债务时，由保证人承担保证责任的，为一般保证。</w:t>
      </w:r>
    </w:p>
    <w:p w14:paraId="15ECDA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一般保证的保证人在主合同纠纷未经审判或者仲裁，并就债务人财产依法强制执行仍不能履行债务前，有权拒绝向债权人承担保证责任，但是有下列情形之一的除外：</w:t>
      </w:r>
    </w:p>
    <w:p w14:paraId="3A7866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（一）债务人下落不明，且无财产可供执行；</w:t>
      </w:r>
    </w:p>
    <w:p w14:paraId="380B84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（二）人民法院已经受理债务人破产案件；</w:t>
      </w:r>
    </w:p>
    <w:p w14:paraId="2CE378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（三）债权人有证据证明债务人的财产不足以履行全部债务或者丧失履行债务能力；</w:t>
      </w:r>
    </w:p>
    <w:p w14:paraId="2D9C37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（四）保证人书面表示放弃本款规定的权利。</w:t>
      </w:r>
    </w:p>
    <w:p w14:paraId="5D1BCC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第六百八十八条　当事人在保证合同中约定保证人和债务人对债务承担连带责任的，为连带责任保证。</w:t>
      </w:r>
    </w:p>
    <w:p w14:paraId="0E8FBE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连带责任保证的债务人不履行到期债务或者发生当事人约定的情形时，债权</w:t>
      </w:r>
      <w:r>
        <w:rPr>
          <w:rFonts w:ascii="宋体" w:eastAsia="宋体" w:hAnsi="宋体" w:cs="宋体" w:hint="eastAsia"/>
          <w:sz w:val="24"/>
        </w:rPr>
        <w:lastRenderedPageBreak/>
        <w:t>人可以请求债务人履行债务，也可以请求保证人在其保证范围内承担保证责任。</w:t>
      </w:r>
    </w:p>
    <w:p w14:paraId="3B9ADA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第六百八十九条　保证人可以要求债务人提供反担保。</w:t>
      </w:r>
    </w:p>
    <w:p w14:paraId="3EBFA6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第六百九十条　保证人与债权人可以协商订立</w:t>
      </w:r>
      <w:proofErr w:type="gramStart"/>
      <w:r>
        <w:rPr>
          <w:rFonts w:ascii="宋体" w:eastAsia="宋体" w:hAnsi="宋体" w:cs="宋体" w:hint="eastAsia"/>
          <w:sz w:val="24"/>
        </w:rPr>
        <w:t>最</w:t>
      </w:r>
      <w:proofErr w:type="gramEnd"/>
      <w:r>
        <w:rPr>
          <w:rFonts w:ascii="宋体" w:eastAsia="宋体" w:hAnsi="宋体" w:cs="宋体" w:hint="eastAsia"/>
          <w:sz w:val="24"/>
        </w:rPr>
        <w:t>高额保证的合同，约定在最高债权额限度内就一定期间连续发生的债权提供保证。</w:t>
      </w:r>
    </w:p>
    <w:p w14:paraId="596F9E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最高额保证除适用本章规定外，参照适用本法第二编</w:t>
      </w:r>
      <w:proofErr w:type="gramStart"/>
      <w:r>
        <w:rPr>
          <w:rFonts w:ascii="宋体" w:eastAsia="宋体" w:hAnsi="宋体" w:cs="宋体" w:hint="eastAsia"/>
          <w:sz w:val="24"/>
        </w:rPr>
        <w:t>最</w:t>
      </w:r>
      <w:proofErr w:type="gramEnd"/>
      <w:r>
        <w:rPr>
          <w:rFonts w:ascii="宋体" w:eastAsia="宋体" w:hAnsi="宋体" w:cs="宋体" w:hint="eastAsia"/>
          <w:sz w:val="24"/>
        </w:rPr>
        <w:t>高额抵押权的有关规定。</w:t>
      </w:r>
    </w:p>
    <w:p w14:paraId="2A19E6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保证责任</w:t>
      </w:r>
    </w:p>
    <w:p w14:paraId="3EB6B6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第六百九十一条　保证的范围包括主债权及其利息、违约金、损害赔偿金和实现债权的费用。当事人另有约定的，按照其约定。</w:t>
      </w:r>
    </w:p>
    <w:p w14:paraId="02809F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第六百九十二条　保证期间是确定保证人承担保证责任的期间，不发生中止、中断和延长。</w:t>
      </w:r>
    </w:p>
    <w:p w14:paraId="1B6F1F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债权人与保证人可以约定保证期间，但是约定的保证期间早于主债务履行期限或者与主债务履行期限同时届满的，视为没有约定；没有约定或者约定不明确的，保证期间为主债务履行期限届满之日起六个月。</w:t>
      </w:r>
    </w:p>
    <w:p w14:paraId="112329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债权人与债务人对主债务履行期限没有约定或者约定不明确的，保证期间自债权人请求债务人履行债务的宽限期届满之日起计算。</w:t>
      </w:r>
    </w:p>
    <w:p w14:paraId="0D078E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第六百九十三条　一般保证的债权人未在保证期间对债务人提起诉讼或者申请仲裁的，保证人不再承担保证责任。</w:t>
      </w:r>
    </w:p>
    <w:p w14:paraId="75FCC1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连带责任保证的债权人未在保证期间请求保证人承担保证责任的，保证人不再承担保证责任。</w:t>
      </w:r>
    </w:p>
    <w:p w14:paraId="7C8EC2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第六百九十四条　一般保证的债权人在保证期间届满前对债务人提起诉讼或者申请仲裁的，从保证人拒绝承担保证责任的权利消灭之日起，开始计算保证债务的诉讼时效。</w:t>
      </w:r>
    </w:p>
    <w:p w14:paraId="0BC71F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连带责任保证的债权人在保证期间届满前请求保证人承担保证责任的，从债权人请求保证人承担保证责任之日起，开始计算保证债务的诉讼时效。</w:t>
      </w:r>
    </w:p>
    <w:p w14:paraId="711AF9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第六百九十五条　债权人和债务人未经保证人书面同意，协商变更主债权债务合同内容，减轻债务的，保证人仍对变更后的债务承担保证责任；加重债务的，保证人对加重的部分不承担保证责任。</w:t>
      </w:r>
    </w:p>
    <w:p w14:paraId="32DBAB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债权人和债务人变更主债权债务合同的履行期限，未经保证人书面同意的，保证期间不受影响。</w:t>
      </w:r>
    </w:p>
    <w:p w14:paraId="304CA9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第六百九十六条　债权人转让全部或者部分债权，未通知保证人的，该转让对保证人不发生效力。</w:t>
      </w:r>
    </w:p>
    <w:p w14:paraId="081CD2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保证人与债权人约定禁止债权转让，债权人未经保证人书面同意转让债权的，保证人对受让人不再承担保证责任。</w:t>
      </w:r>
    </w:p>
    <w:p w14:paraId="54C775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第六百九十七条　债权人未经保证人书面同意，允许债务人转移全部或者部分债务，保证人对未经其同意转移的债务不再承担保证责任，但是债权人和保证人另有约定的除外。</w:t>
      </w:r>
    </w:p>
    <w:p w14:paraId="02F07B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第三人加入债务的，保证人的保证责任不受影响。</w:t>
      </w:r>
    </w:p>
    <w:p w14:paraId="5EB1C6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第六百九十八条　一般保证的保证人在主债务履行期限届满后，向债权人提供债务人可供执行财产的真实情况，债权人放弃或者</w:t>
      </w:r>
      <w:proofErr w:type="gramStart"/>
      <w:r>
        <w:rPr>
          <w:rFonts w:ascii="宋体" w:eastAsia="宋体" w:hAnsi="宋体" w:cs="宋体" w:hint="eastAsia"/>
          <w:sz w:val="24"/>
        </w:rPr>
        <w:t>怠</w:t>
      </w:r>
      <w:proofErr w:type="gramEnd"/>
      <w:r>
        <w:rPr>
          <w:rFonts w:ascii="宋体" w:eastAsia="宋体" w:hAnsi="宋体" w:cs="宋体" w:hint="eastAsia"/>
          <w:sz w:val="24"/>
        </w:rPr>
        <w:t>于行使权利致使该财产不能被执行的，保证人在其提供可供执行财产的价值范围内不再承担保证责任。</w:t>
      </w:r>
    </w:p>
    <w:p w14:paraId="6511AC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第六百九十九条　同一债务有两个以上保证人的，保证人应当按照保证合同约定的保证份额，承担保证责任；没有约定保证份额的，债权人可以请求任何一个保证人在其保证范围内承担保证责任。</w:t>
      </w:r>
    </w:p>
    <w:p w14:paraId="721584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第七百条　保证人承担保证责任后，除当事人另有约定外，有权在其承担保证责任的范围内向债务人追偿，享有债权人对债务人的权利，但是不得损害债权人的利益。</w:t>
      </w:r>
    </w:p>
    <w:p w14:paraId="3E8DBB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第七百零一条　保证人可以主张债务人对债权人的抗辩。债务人放弃抗辩的，保证人仍有权向债权人主张抗辩。</w:t>
      </w:r>
    </w:p>
    <w:p w14:paraId="5E4EB6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第七百零二条　债务人对债权人享有</w:t>
      </w:r>
      <w:proofErr w:type="gramStart"/>
      <w:r>
        <w:rPr>
          <w:rFonts w:ascii="宋体" w:eastAsia="宋体" w:hAnsi="宋体" w:cs="宋体" w:hint="eastAsia"/>
          <w:sz w:val="24"/>
        </w:rPr>
        <w:t>抵销</w:t>
      </w:r>
      <w:proofErr w:type="gramEnd"/>
      <w:r>
        <w:rPr>
          <w:rFonts w:ascii="宋体" w:eastAsia="宋体" w:hAnsi="宋体" w:cs="宋体" w:hint="eastAsia"/>
          <w:sz w:val="24"/>
        </w:rPr>
        <w:t>权或者撤销权的，保证人可以在相应范围内拒绝承担保证责任。</w:t>
      </w:r>
    </w:p>
    <w:p w14:paraId="0CC4A3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第十四章　租赁合同</w:t>
      </w:r>
    </w:p>
    <w:p w14:paraId="6EC0A2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第七百零三条　租赁合同是出租人将租赁物交付承租人使用、收益，承租人支付租金的合同。</w:t>
      </w:r>
    </w:p>
    <w:p w14:paraId="6F248D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第七百零四条　租赁合同的内容一般包括租赁物的名称、数量、用途、租赁期限、租金及其支付期限和方式、租赁物维修等条款。</w:t>
      </w:r>
    </w:p>
    <w:p w14:paraId="68455C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第七百零五条　租赁期限不得超过二十年。超过二十年的，超过部分无效。</w:t>
      </w:r>
    </w:p>
    <w:p w14:paraId="47EC67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租赁期限届满，当事人可以续订租赁合同；但是，约定的租赁期限自续订之日起不得超过二十年。</w:t>
      </w:r>
    </w:p>
    <w:p w14:paraId="53563E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第七百零六条　当事人未依照法律、行政法规规定办理租赁合同登记备案手续的，不影响合同的效力。</w:t>
      </w:r>
    </w:p>
    <w:p w14:paraId="2EB8A0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第七百零七条　租赁期限六个月以上的，应当采用书面形式。当事人未采用书面形式，无法确定租赁期限的，视为不定期租赁。</w:t>
      </w:r>
    </w:p>
    <w:p w14:paraId="7BEC74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第七百零八条　出租人应当按照约定将租赁物交付承租人，并在租赁期限内保持租赁物符合约定的用途。</w:t>
      </w:r>
    </w:p>
    <w:p w14:paraId="393E9A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第七百零九条　承租人应当按照约定的方法使用租赁物。对租赁物的使用方法没有约定或者约定不明确，依据本法第五百一十条的规定仍不能确定的，应当根据租赁物的性质使用。</w:t>
      </w:r>
    </w:p>
    <w:p w14:paraId="31CA98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第七百一十条　承租人按照约定的方法或者根据租赁物的性质使用租赁物，致使租赁物受到损耗的，不承担赔偿责任。</w:t>
      </w:r>
    </w:p>
    <w:p w14:paraId="4447FE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第七百一十一条　承租人未按照约定的方法或者未根据租赁物的性质使用租赁物，致使租赁物受到损失的，出租人可以解除合同并请求赔偿损失。</w:t>
      </w:r>
    </w:p>
    <w:p w14:paraId="1901E6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第七百一十二条　出租人应当履行租赁物的维修义务，但是当事人另有约定的除外。</w:t>
      </w:r>
    </w:p>
    <w:p w14:paraId="78F38F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第七百一十三条　承租人在租赁物需要维修时可以请求出租人在合理期限内维修。出租人未履行维修义务的，承租人可以自行维修，维修费用由出租人负</w:t>
      </w:r>
      <w:r>
        <w:rPr>
          <w:rFonts w:ascii="宋体" w:eastAsia="宋体" w:hAnsi="宋体" w:cs="宋体" w:hint="eastAsia"/>
          <w:sz w:val="24"/>
        </w:rPr>
        <w:lastRenderedPageBreak/>
        <w:t>担。因维修租赁物影响承租人使用的，应当相应减少租金或者延长租期。</w:t>
      </w:r>
    </w:p>
    <w:p w14:paraId="32D77E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因承租人的过错致使租赁物需要维修的，出租人不承担前款规定的维修义务。</w:t>
      </w:r>
    </w:p>
    <w:p w14:paraId="102933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第七百一十四条　承租人应当妥善保管租赁物，因保管不善造成租赁物毁损、灭失的，应当承担赔偿责任。</w:t>
      </w:r>
    </w:p>
    <w:p w14:paraId="17B14C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第七百一十五条　承租人经出租人同意，可以对租赁物进行改善或者增设他物。</w:t>
      </w:r>
    </w:p>
    <w:p w14:paraId="07C013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承租人未经出租人同意，对租赁物进行改善或者增设他物的，出租人可以请求承租人恢复原状或者赔偿损失。</w:t>
      </w:r>
    </w:p>
    <w:p w14:paraId="6EBAC6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第七百一十六条　承租人经出租人同意，可以将租赁物转租给第三人。承租人转租的，承租人与出租人之间的租赁合同继续有效；第三人造成租赁物损失的，承租人应当赔偿损失。</w:t>
      </w:r>
    </w:p>
    <w:p w14:paraId="0E6BE0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承租人未经出租人同意转租的，出租人可以解除合同。</w:t>
      </w:r>
    </w:p>
    <w:p w14:paraId="5B8DB5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第七百一十七条　承租人经出租人同意将租赁物转租给第三人，转租期限超过承租人剩余租赁期限的，超过部分的约定对出租人不具有法律约束力，但是出租人与承租人另有约定的除外。</w:t>
      </w:r>
    </w:p>
    <w:p w14:paraId="666D4C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第七百一十八条　出租人知道或者应当知道承租人转租，但是在六个月内未提出异议的，视为出租人同意转租。</w:t>
      </w:r>
    </w:p>
    <w:p w14:paraId="0A1054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第七百一十九条　承租人拖欠租金的，次承租人可以代承租人支付其欠付的租金和违约金，但是转租合同对出租人不具有法律约束力的除外。</w:t>
      </w:r>
    </w:p>
    <w:p w14:paraId="2F8E6E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次承租人代为支付的租金和违约金，可以充抵次承租人应当向承租人支付的租金；超出其应付的租金数额的，可以向承租人追偿。</w:t>
      </w:r>
    </w:p>
    <w:p w14:paraId="06447B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第七百二十条　在租赁期限内因占有、使用租赁物获得的收益，归承租人所有，但是当事人另有约定的除外。</w:t>
      </w:r>
    </w:p>
    <w:p w14:paraId="0C33B8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第七百二十一条　承租人应当按照约定的期限支付租金。对支付租金的期限没有约定或者约定不明确，依据本法第五百一十条的规定仍不能确定，租赁期限</w:t>
      </w:r>
      <w:r>
        <w:rPr>
          <w:rFonts w:ascii="宋体" w:eastAsia="宋体" w:hAnsi="宋体" w:cs="宋体" w:hint="eastAsia"/>
          <w:sz w:val="24"/>
        </w:rPr>
        <w:lastRenderedPageBreak/>
        <w:t>不满一年的，应当在租赁期限届满时支付；租赁期限一年以上的，应当在每届满一年时支付，剩余期限不满一年的，应当在租赁期限届满时支付。</w:t>
      </w:r>
    </w:p>
    <w:p w14:paraId="373B58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第七百二十二条　承租人无正当理由未支付或者迟延支付租金的，出租人可以请求承租人在合理期限内支付；承租人逾期不支付的，出租人可以解除合同。</w:t>
      </w:r>
    </w:p>
    <w:p w14:paraId="7AACF2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第七百二十三条　因第三人主张权利，致使承租人不能对租赁物使用、收益的，承租人可以请求减少租金或者不支付租金。</w:t>
      </w:r>
    </w:p>
    <w:p w14:paraId="57ECE3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第三人主张权利的，承租人应当及时通知出租人。</w:t>
      </w:r>
    </w:p>
    <w:p w14:paraId="35F26E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第七百二十四条　有下列情形之一，非因承租人原因致使租赁物无法使用的，承租人可以解除合同：</w:t>
      </w:r>
    </w:p>
    <w:p w14:paraId="30748A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（一）租赁物被司法机关或者行政机关依法查封、扣押；</w:t>
      </w:r>
    </w:p>
    <w:p w14:paraId="01FB60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（二）租赁物权属有争议；</w:t>
      </w:r>
    </w:p>
    <w:p w14:paraId="23AB77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（三）租赁物具有违反法律、行政法规关于使用条件的强制性规定情形。</w:t>
      </w:r>
    </w:p>
    <w:p w14:paraId="041021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第七百二十五条　租赁物在承租人按照租赁合同占有期限内发生所有权变动的，不影响租赁合同的效力。</w:t>
      </w:r>
    </w:p>
    <w:p w14:paraId="79DC6B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第七百二十六条　出租人出卖租赁房屋的，应当在出卖之前的合理期限内通知承租人，承租人享有以同等条件优先购买的权利；但是，房屋按份共有人行使优先购买权或者出租人将房屋出</w:t>
      </w:r>
      <w:proofErr w:type="gramStart"/>
      <w:r>
        <w:rPr>
          <w:rFonts w:ascii="宋体" w:eastAsia="宋体" w:hAnsi="宋体" w:cs="宋体" w:hint="eastAsia"/>
          <w:sz w:val="24"/>
        </w:rPr>
        <w:t>卖给近</w:t>
      </w:r>
      <w:proofErr w:type="gramEnd"/>
      <w:r>
        <w:rPr>
          <w:rFonts w:ascii="宋体" w:eastAsia="宋体" w:hAnsi="宋体" w:cs="宋体" w:hint="eastAsia"/>
          <w:sz w:val="24"/>
        </w:rPr>
        <w:t>亲属的除外。</w:t>
      </w:r>
    </w:p>
    <w:p w14:paraId="180F97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出租人履行通知义务后，承租人在十五日内未明确表示购买的，视为承租人放弃优先购买权。</w:t>
      </w:r>
    </w:p>
    <w:p w14:paraId="292CD1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第七百二十七条　出租人委托拍卖人拍卖租赁房屋的，应当在拍卖五日前通知承租人。承租人未参加拍卖的，视为放弃优先购买权。</w:t>
      </w:r>
    </w:p>
    <w:p w14:paraId="377485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第七百二十八条　出租人未通知承租人或者有其他妨害承租人行使优先购买权情形的，承租人可以请求出租人承担赔偿责任。但是，出租人与第三人订立的房屋买卖合同的效力不受影响。</w:t>
      </w:r>
    </w:p>
    <w:p w14:paraId="0C3C27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第七百二十九条　因不可归责于承租人的事由，致使租赁物部分或者全部毁</w:t>
      </w:r>
      <w:r>
        <w:rPr>
          <w:rFonts w:ascii="宋体" w:eastAsia="宋体" w:hAnsi="宋体" w:cs="宋体" w:hint="eastAsia"/>
          <w:sz w:val="24"/>
        </w:rPr>
        <w:lastRenderedPageBreak/>
        <w:t>损、灭失的，承租人可以请求减少租金或者不支付租金；因租赁物部分或者全部毁损、灭失，致使不能实现合同目的的，承租人可以解除合同。</w:t>
      </w:r>
    </w:p>
    <w:p w14:paraId="7AD303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第七百三十条　当事人对租赁期限没有约定或者约定不明确，依据本法第五百一十条的规定仍不能确定的，视为不定期租赁；当事人可以随时解除合同，但是应当在合理期限之前通知对方。</w:t>
      </w:r>
    </w:p>
    <w:p w14:paraId="0C2A31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第七百三十一条　租赁物危及承租人的安全或者健康的，即使承租人订立合同时明知该租赁物质量不合格，承租人仍然可以随时解除合同。</w:t>
      </w:r>
    </w:p>
    <w:p w14:paraId="49C31C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第七百三十二条　承租人在房屋租赁期限内死亡的，与其生前共同居住的人或者共同经营人可以按照原租赁合同租赁该房屋。</w:t>
      </w:r>
    </w:p>
    <w:p w14:paraId="5D2039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第七百三十三条　租赁期限届满，承租人应当返还租赁物。返还的租赁物应当符合按照约定或者根据租赁物的性质使用后的状态。</w:t>
      </w:r>
    </w:p>
    <w:p w14:paraId="383DDF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第七百三十四条　租赁期限届满，承租人继续使用租赁物，出租人没有提出异议的，原租赁合同继续有效，但是租赁期限为不定期。</w:t>
      </w:r>
    </w:p>
    <w:p w14:paraId="38B979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租赁期限届满，房屋承租人享有以同等条件优先承租的权利。</w:t>
      </w:r>
    </w:p>
    <w:p w14:paraId="3E6ADB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第十五章　融资租赁合同</w:t>
      </w:r>
    </w:p>
    <w:p w14:paraId="247035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第七百三十五条　融资租赁合同是出租人根据承租人对出卖人、租赁物的选择，向出卖人购买租赁物，提供给承租人使用，承租人支付租金的合同。</w:t>
      </w:r>
    </w:p>
    <w:p w14:paraId="7FB1AD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第七百三十六条　融资租赁合同的内容一般包括租赁物的名称、数量、规格、技术性能、检验方法，租赁期限，租金构成及其支付期限和方式、币种，租赁期限届满租赁物的归属等条款。</w:t>
      </w:r>
    </w:p>
    <w:p w14:paraId="5E5691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融资租赁合同应当采用书面形式。</w:t>
      </w:r>
    </w:p>
    <w:p w14:paraId="3A0E30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第七百三十七条　当事人以虚构租赁</w:t>
      </w:r>
      <w:proofErr w:type="gramStart"/>
      <w:r>
        <w:rPr>
          <w:rFonts w:ascii="宋体" w:eastAsia="宋体" w:hAnsi="宋体" w:cs="宋体" w:hint="eastAsia"/>
          <w:sz w:val="24"/>
        </w:rPr>
        <w:t>物方式</w:t>
      </w:r>
      <w:proofErr w:type="gramEnd"/>
      <w:r>
        <w:rPr>
          <w:rFonts w:ascii="宋体" w:eastAsia="宋体" w:hAnsi="宋体" w:cs="宋体" w:hint="eastAsia"/>
          <w:sz w:val="24"/>
        </w:rPr>
        <w:t>订立的融资租赁合同无效。</w:t>
      </w:r>
    </w:p>
    <w:p w14:paraId="4D58C4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第七百三十八条　依照法律、行政法规的规定，对于租赁物的经营使用应当取得行政许可的，出租人未取得行政许可不影响融资租赁合同的效力。</w:t>
      </w:r>
    </w:p>
    <w:p w14:paraId="618173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第七百三十九条　出租人根据承租人对出卖人、租赁物的选择订立的买卖合</w:t>
      </w:r>
      <w:r>
        <w:rPr>
          <w:rFonts w:ascii="宋体" w:eastAsia="宋体" w:hAnsi="宋体" w:cs="宋体" w:hint="eastAsia"/>
          <w:sz w:val="24"/>
        </w:rPr>
        <w:lastRenderedPageBreak/>
        <w:t>同，出卖人应当按照约定向承租人交付标的物，承租人享有与受领标的物有关的买受人的权利。</w:t>
      </w:r>
    </w:p>
    <w:p w14:paraId="3E2CC6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第七百四十条　出卖人违反向承租人交付标的物的义务，有下列情形之一的，承租人可以拒绝受领出卖人向其交付的标的物：</w:t>
      </w:r>
    </w:p>
    <w:p w14:paraId="56B734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（一）标的物严重不符合约定；</w:t>
      </w:r>
    </w:p>
    <w:p w14:paraId="4D67A5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（二）未按照约定交付标的物，经承租人或者出租人催告后在合理期限内仍未交付。</w:t>
      </w:r>
    </w:p>
    <w:p w14:paraId="1C42BD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承租人拒绝受领标的物的，应当及时通知出租人。</w:t>
      </w:r>
    </w:p>
    <w:p w14:paraId="477D6A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第七百四十一条　出租人、出卖人、承租人可以约定，出卖人不履行买卖合同义务的，由承租人行使索赔的权利。承租人行使索赔权利的，出租人应当协助。</w:t>
      </w:r>
    </w:p>
    <w:p w14:paraId="316C2A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第七百四十二条　承租人对出卖人行使索赔权利，不影响其履行支付租金的义务。但是，承租人依赖出租人的技能确定租赁物或者出租人干预选择租赁物的，承租人可以请求减免相应租金。</w:t>
      </w:r>
    </w:p>
    <w:p w14:paraId="1DB9E8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第七百四十三条　出租人有下列情形之一，致使承租人对出卖人行使索赔权利失败的，承租人有权请求出租人承担相应的责任：</w:t>
      </w:r>
    </w:p>
    <w:p w14:paraId="00063B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（一）明知租赁物有质量瑕疵而不告知承租人；</w:t>
      </w:r>
    </w:p>
    <w:p w14:paraId="0A2F9A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（二）承租人行使索赔权利时，未及时提供必要协助。</w:t>
      </w:r>
    </w:p>
    <w:p w14:paraId="5F34F7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出租人</w:t>
      </w:r>
      <w:proofErr w:type="gramStart"/>
      <w:r>
        <w:rPr>
          <w:rFonts w:ascii="宋体" w:eastAsia="宋体" w:hAnsi="宋体" w:cs="宋体" w:hint="eastAsia"/>
          <w:sz w:val="24"/>
        </w:rPr>
        <w:t>怠</w:t>
      </w:r>
      <w:proofErr w:type="gramEnd"/>
      <w:r>
        <w:rPr>
          <w:rFonts w:ascii="宋体" w:eastAsia="宋体" w:hAnsi="宋体" w:cs="宋体" w:hint="eastAsia"/>
          <w:sz w:val="24"/>
        </w:rPr>
        <w:t>于行使只能由其对出卖人行使的索赔权利，造成承租人损失的，承租人有权请求出租人承担赔偿责任。</w:t>
      </w:r>
    </w:p>
    <w:p w14:paraId="0E1550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第七百四十四条　出租人根据承租人对出卖人、租赁物的选择订立的买卖合同，未经承租人同意，出租人不得变更与承租人有关的合同内容。</w:t>
      </w:r>
    </w:p>
    <w:p w14:paraId="62C266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第七百四十五条　出租人对租赁物享有的所有权，未经登记，不得对抗善意第三人。</w:t>
      </w:r>
    </w:p>
    <w:p w14:paraId="56DBC5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第七百四十六条　融资租赁合同的租金，除当事人另有约定外，应当根据购买租赁物的大部分或者全部成本以及出租人的合理利润确定。</w:t>
      </w:r>
    </w:p>
    <w:p w14:paraId="482C3A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第七百四十七条　租赁物不符合约定或者不符合使用目的的，出租人不承担责任。但是，承租人依赖出租人的技能确定租赁物或者出租人干预选择租赁物的除外。</w:t>
      </w:r>
    </w:p>
    <w:p w14:paraId="63C043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第七百四十八条　出租人应当保证承租人对租赁物的占有和使用。</w:t>
      </w:r>
    </w:p>
    <w:p w14:paraId="61E5F6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出租人有下列情形之一的，承租人有权请求其赔偿损失：</w:t>
      </w:r>
    </w:p>
    <w:p w14:paraId="4E301A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（一）无正当理由收回租赁物；</w:t>
      </w:r>
    </w:p>
    <w:p w14:paraId="267838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（二）无正当理由妨碍、干扰承租人对租赁物的占有和使用；</w:t>
      </w:r>
    </w:p>
    <w:p w14:paraId="6D1651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（三）因出租人的原因致使第三人对租赁物主张权利；</w:t>
      </w:r>
    </w:p>
    <w:p w14:paraId="0C462F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（四）不当影响承租人对租赁物占有和使用的其他情形。</w:t>
      </w:r>
    </w:p>
    <w:p w14:paraId="7BA4D3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第七百四十九条　承租人占有租赁物期间，租赁物造成第三人人身损害或者财产损失的，出租人不承担责任。</w:t>
      </w:r>
    </w:p>
    <w:p w14:paraId="7D45F0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第七百五十条　承租人应当妥善保管、使用租赁物。</w:t>
      </w:r>
    </w:p>
    <w:p w14:paraId="7F2B8D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承租人应当履行占有租赁物期间的维修义务。</w:t>
      </w:r>
    </w:p>
    <w:p w14:paraId="44F072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第七百五十一条　承租人占有租赁物期间，租赁物毁损、灭失的，出租人有权请求承租人继续支付租金，但是法律另有规定或者当事人另有约定的除外。</w:t>
      </w:r>
    </w:p>
    <w:p w14:paraId="575506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第七百五十二条　承租人应当按照约定支付租金。承租人经催告后在合理期限内仍不支付租金的，出租人可以请求支付全部租金；也可以解除合同，收回租赁物。</w:t>
      </w:r>
    </w:p>
    <w:p w14:paraId="73E99C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第七百五十三条　承租人未经出租人同意，将租赁物转让、抵押、质押、投资入股或者以其他方式处分的，出租人可以解除融资租赁合同。</w:t>
      </w:r>
    </w:p>
    <w:p w14:paraId="6437F4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第七百五十四条　有下列情形之一的，出租人或者承租人可以解除融资租赁合同：</w:t>
      </w:r>
    </w:p>
    <w:p w14:paraId="51A87F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（一）出租人与出卖人订立的买卖合同解除、被确认无效或者被撤销，且未能重新订立买卖合同；</w:t>
      </w:r>
    </w:p>
    <w:p w14:paraId="482B12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（二）租赁物因不可归责于当事人的原因毁损、灭失，且不能修复或者确定替代物；</w:t>
      </w:r>
    </w:p>
    <w:p w14:paraId="377026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（三）因出卖人的原因致使融资租赁合同的目的不能实现。</w:t>
      </w:r>
    </w:p>
    <w:p w14:paraId="648159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第七百五十五条　融资租赁合同因买卖合同解除、被确认无效或者被撤销而解除，出卖人、租赁物系由承租人选择的，出租人有权请求承租人赔偿相应损失；但是，因出租人原因致使买卖合同解除、被确认无效或者被撤销的除外。</w:t>
      </w:r>
    </w:p>
    <w:p w14:paraId="514B11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出租人的损失已经在买卖合同解除、被确认无效或者被撤销时获得赔偿的，承租人不再承担相应的赔偿责任。</w:t>
      </w:r>
    </w:p>
    <w:p w14:paraId="47DCB6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第七百五十六条　融资租赁合同因租赁物交付承租人后意外毁损、灭失等不可归责于当事人的原因解除的，出租人可以请求承租人按照租赁物折旧情况给予补偿。</w:t>
      </w:r>
    </w:p>
    <w:p w14:paraId="795880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第七百五十七条　出租人和承租人可以约定租赁期限届满租赁物的归属；对租赁物的归属没有约定或者约定不明确，依据本法第五百一十条的规定仍不能确定的，租赁物的所有权归出租人。</w:t>
      </w:r>
    </w:p>
    <w:p w14:paraId="535531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第七百五十八条　当事人约定租赁期限届满租赁物归承租人所有，承租人已经支付大部分租金，但是无力支付剩余租金，出租人因此解除合同收回租赁物，收回的租赁物的价值超过承租人欠付的租金以及其他费用的，承租人可以请求相应返还。</w:t>
      </w:r>
    </w:p>
    <w:p w14:paraId="066714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当事人约定租赁期限届满租赁物归出租人所有，因租赁物毁损、灭失或者附合、混合于他物致使承租人不能返还的，出租人有权请求承租人给予合理补偿。</w:t>
      </w:r>
    </w:p>
    <w:p w14:paraId="3B97A4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第七百五十九条　当事人约定租赁期限届满，承租人仅需向出租人支付象征性价款的，视为约定的租金义务履行完毕后租赁物的所有权归承租人。</w:t>
      </w:r>
    </w:p>
    <w:p w14:paraId="43960E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第七百六十条　融资租赁合同无效，当事人就该情形下租赁物的归属有约定的，按照其约定；没有约定或者约定不明确的，租赁物应当返还出租人。但是，因承租人原因致使合同无效，出租人不请求返还或者返还后会显著降低租赁物效用的，租赁物的所有权归承租人，由承租人给予出租人合理补偿。</w:t>
      </w:r>
    </w:p>
    <w:p w14:paraId="6EBD6C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第十六章　保理合同</w:t>
      </w:r>
    </w:p>
    <w:p w14:paraId="740A3E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第七百六十一条　保理合同是应收账款债权人将现有的或者将有的应收账款转让给保理人，保理人提供资金融通、应收账款管理或者催收、应收账款债务人付款担保等服务的合同。</w:t>
      </w:r>
    </w:p>
    <w:p w14:paraId="480A08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第七百六十二条　保</w:t>
      </w:r>
      <w:proofErr w:type="gramStart"/>
      <w:r>
        <w:rPr>
          <w:rFonts w:ascii="宋体" w:eastAsia="宋体" w:hAnsi="宋体" w:cs="宋体" w:hint="eastAsia"/>
          <w:sz w:val="24"/>
        </w:rPr>
        <w:t>理合同</w:t>
      </w:r>
      <w:proofErr w:type="gramEnd"/>
      <w:r>
        <w:rPr>
          <w:rFonts w:ascii="宋体" w:eastAsia="宋体" w:hAnsi="宋体" w:cs="宋体" w:hint="eastAsia"/>
          <w:sz w:val="24"/>
        </w:rPr>
        <w:t>的内容一般包括业务类型、服务范围、服务期限、基础交易合同情况、应收账款信息、保理融资款或者服务报酬及其支付方式等条款。</w:t>
      </w:r>
    </w:p>
    <w:p w14:paraId="43E7CC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保</w:t>
      </w:r>
      <w:proofErr w:type="gramStart"/>
      <w:r>
        <w:rPr>
          <w:rFonts w:ascii="宋体" w:eastAsia="宋体" w:hAnsi="宋体" w:cs="宋体" w:hint="eastAsia"/>
          <w:sz w:val="24"/>
        </w:rPr>
        <w:t>理合同应当</w:t>
      </w:r>
      <w:proofErr w:type="gramEnd"/>
      <w:r>
        <w:rPr>
          <w:rFonts w:ascii="宋体" w:eastAsia="宋体" w:hAnsi="宋体" w:cs="宋体" w:hint="eastAsia"/>
          <w:sz w:val="24"/>
        </w:rPr>
        <w:t>采用书面形式。</w:t>
      </w:r>
    </w:p>
    <w:p w14:paraId="2EA338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第七百六十三条　应收账款债权人与债务人虚构应收账款作为转让标的，与保理人订立保</w:t>
      </w:r>
      <w:proofErr w:type="gramStart"/>
      <w:r>
        <w:rPr>
          <w:rFonts w:ascii="宋体" w:eastAsia="宋体" w:hAnsi="宋体" w:cs="宋体" w:hint="eastAsia"/>
          <w:sz w:val="24"/>
        </w:rPr>
        <w:t>理合同</w:t>
      </w:r>
      <w:proofErr w:type="gramEnd"/>
      <w:r>
        <w:rPr>
          <w:rFonts w:ascii="宋体" w:eastAsia="宋体" w:hAnsi="宋体" w:cs="宋体" w:hint="eastAsia"/>
          <w:sz w:val="24"/>
        </w:rPr>
        <w:t>的，应收账款债务人不得以应收账款不存在为由对抗保理人，但是保理人明知虚构的除外。</w:t>
      </w:r>
    </w:p>
    <w:p w14:paraId="46CD90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第七百六十四条　保理人向应收账款债务人发出应收账款转让通知的，应当表明保理人身份并附有必要凭证。</w:t>
      </w:r>
    </w:p>
    <w:p w14:paraId="572E96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第七百六十五条　应收账款债务人接到应收账款转让通知后，应收账款债权人与债务人无正当理由协商变更或者终止基础交易合同，对保理人产生不利影响的，对保理人不发生效力。</w:t>
      </w:r>
    </w:p>
    <w:p w14:paraId="31588D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第七百六十六条　当事人约定有追索权保理的，保理人可以向应收账款债权人主张返还保理融资款本息或者回购应收账款债权，也可以向应收账款债务人主张应收账款债权。保理人向应收账款债务人主张应收账款债权，在扣除保理融资款本息和相关费用后有剩余的，剩余部分应当返还给应收账款债权人。</w:t>
      </w:r>
    </w:p>
    <w:p w14:paraId="2D43AD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第七百六十七条　当事人约定无追索权保理的，保理人应当向应收账款债务人主张应收账款债权，保理人取得超过保理融资款本息和相关费用的部分，无需向应收账款债权人返还。</w:t>
      </w:r>
    </w:p>
    <w:p w14:paraId="18681A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第七百六十八条　应收账款债权人就同一应收账款订立多个保理合同，致使多个保理人主张权利的，已经登记的先于未登记的取得应收账款；均已经登记的，按照登记时间的先后顺序取得应收账款；均未登记的，由最先到达应收账款债务</w:t>
      </w:r>
      <w:r>
        <w:rPr>
          <w:rFonts w:ascii="宋体" w:eastAsia="宋体" w:hAnsi="宋体" w:cs="宋体" w:hint="eastAsia"/>
          <w:sz w:val="24"/>
        </w:rPr>
        <w:lastRenderedPageBreak/>
        <w:t>人的转让通知中载明的保理人取得应收账款；既未登记也未通知的，按照保理融资款或者服务报酬的比例取得应收账款。</w:t>
      </w:r>
    </w:p>
    <w:p w14:paraId="6CDB0D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第七百六十九条　本章没有规定的，适用本编第六章债权转让的有关规定。</w:t>
      </w:r>
    </w:p>
    <w:p w14:paraId="2AA51F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第十七章　承揽合同</w:t>
      </w:r>
    </w:p>
    <w:p w14:paraId="1BA3A9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第七百七十条　承揽合同是承揽人按照</w:t>
      </w:r>
      <w:proofErr w:type="gramStart"/>
      <w:r>
        <w:rPr>
          <w:rFonts w:ascii="宋体" w:eastAsia="宋体" w:hAnsi="宋体" w:cs="宋体" w:hint="eastAsia"/>
          <w:sz w:val="24"/>
        </w:rPr>
        <w:t>定作</w:t>
      </w:r>
      <w:proofErr w:type="gramEnd"/>
      <w:r>
        <w:rPr>
          <w:rFonts w:ascii="宋体" w:eastAsia="宋体" w:hAnsi="宋体" w:cs="宋体" w:hint="eastAsia"/>
          <w:sz w:val="24"/>
        </w:rPr>
        <w:t>人的要求完成工作，交付工作成果，</w:t>
      </w:r>
      <w:proofErr w:type="gramStart"/>
      <w:r>
        <w:rPr>
          <w:rFonts w:ascii="宋体" w:eastAsia="宋体" w:hAnsi="宋体" w:cs="宋体" w:hint="eastAsia"/>
          <w:sz w:val="24"/>
        </w:rPr>
        <w:t>定作</w:t>
      </w:r>
      <w:proofErr w:type="gramEnd"/>
      <w:r>
        <w:rPr>
          <w:rFonts w:ascii="宋体" w:eastAsia="宋体" w:hAnsi="宋体" w:cs="宋体" w:hint="eastAsia"/>
          <w:sz w:val="24"/>
        </w:rPr>
        <w:t>人支付报酬的合同。</w:t>
      </w:r>
    </w:p>
    <w:p w14:paraId="709B43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承揽包括加工、</w:t>
      </w:r>
      <w:proofErr w:type="gramStart"/>
      <w:r>
        <w:rPr>
          <w:rFonts w:ascii="宋体" w:eastAsia="宋体" w:hAnsi="宋体" w:cs="宋体" w:hint="eastAsia"/>
          <w:sz w:val="24"/>
        </w:rPr>
        <w:t>定作</w:t>
      </w:r>
      <w:proofErr w:type="gramEnd"/>
      <w:r>
        <w:rPr>
          <w:rFonts w:ascii="宋体" w:eastAsia="宋体" w:hAnsi="宋体" w:cs="宋体" w:hint="eastAsia"/>
          <w:sz w:val="24"/>
        </w:rPr>
        <w:t>、修理、复制、测试、检验等工作。</w:t>
      </w:r>
    </w:p>
    <w:p w14:paraId="0F8040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第七百七十一条　承揽合同的内容一般包括承揽的标的、数量、质量、报酬，承揽方式，材料的提供，履行期限，验收标准和方法等条款。</w:t>
      </w:r>
    </w:p>
    <w:p w14:paraId="46243F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第七百七十二条　承揽人应当以自己的设备、技术和劳力，完成主要工作，但是当事人另有约定的除外。</w:t>
      </w:r>
    </w:p>
    <w:p w14:paraId="77A31D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承揽人将其承揽的主要工作交由第三人完成的，应当就该第三人完成的工作成果向</w:t>
      </w:r>
      <w:proofErr w:type="gramStart"/>
      <w:r>
        <w:rPr>
          <w:rFonts w:ascii="宋体" w:eastAsia="宋体" w:hAnsi="宋体" w:cs="宋体" w:hint="eastAsia"/>
          <w:sz w:val="24"/>
        </w:rPr>
        <w:t>定作</w:t>
      </w:r>
      <w:proofErr w:type="gramEnd"/>
      <w:r>
        <w:rPr>
          <w:rFonts w:ascii="宋体" w:eastAsia="宋体" w:hAnsi="宋体" w:cs="宋体" w:hint="eastAsia"/>
          <w:sz w:val="24"/>
        </w:rPr>
        <w:t>人负责；未经</w:t>
      </w:r>
      <w:proofErr w:type="gramStart"/>
      <w:r>
        <w:rPr>
          <w:rFonts w:ascii="宋体" w:eastAsia="宋体" w:hAnsi="宋体" w:cs="宋体" w:hint="eastAsia"/>
          <w:sz w:val="24"/>
        </w:rPr>
        <w:t>定作</w:t>
      </w:r>
      <w:proofErr w:type="gramEnd"/>
      <w:r>
        <w:rPr>
          <w:rFonts w:ascii="宋体" w:eastAsia="宋体" w:hAnsi="宋体" w:cs="宋体" w:hint="eastAsia"/>
          <w:sz w:val="24"/>
        </w:rPr>
        <w:t>人同意的，</w:t>
      </w:r>
      <w:proofErr w:type="gramStart"/>
      <w:r>
        <w:rPr>
          <w:rFonts w:ascii="宋体" w:eastAsia="宋体" w:hAnsi="宋体" w:cs="宋体" w:hint="eastAsia"/>
          <w:sz w:val="24"/>
        </w:rPr>
        <w:t>定作</w:t>
      </w:r>
      <w:proofErr w:type="gramEnd"/>
      <w:r>
        <w:rPr>
          <w:rFonts w:ascii="宋体" w:eastAsia="宋体" w:hAnsi="宋体" w:cs="宋体" w:hint="eastAsia"/>
          <w:sz w:val="24"/>
        </w:rPr>
        <w:t>人也可以解除合同。</w:t>
      </w:r>
    </w:p>
    <w:p w14:paraId="47BD36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第七百七十三条　承揽人可以将其承揽的辅助工作交由第三人完成。承揽人将其承揽的辅助工作交由第三人完成的，应当就该第三人完成的工作成果向</w:t>
      </w:r>
      <w:proofErr w:type="gramStart"/>
      <w:r>
        <w:rPr>
          <w:rFonts w:ascii="宋体" w:eastAsia="宋体" w:hAnsi="宋体" w:cs="宋体" w:hint="eastAsia"/>
          <w:sz w:val="24"/>
        </w:rPr>
        <w:t>定作</w:t>
      </w:r>
      <w:proofErr w:type="gramEnd"/>
      <w:r>
        <w:rPr>
          <w:rFonts w:ascii="宋体" w:eastAsia="宋体" w:hAnsi="宋体" w:cs="宋体" w:hint="eastAsia"/>
          <w:sz w:val="24"/>
        </w:rPr>
        <w:t>人负责。</w:t>
      </w:r>
    </w:p>
    <w:p w14:paraId="40EBFA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第七百七十四条　承揽人提供材料的，应当按照约定选用材料，并接受</w:t>
      </w:r>
      <w:proofErr w:type="gramStart"/>
      <w:r>
        <w:rPr>
          <w:rFonts w:ascii="宋体" w:eastAsia="宋体" w:hAnsi="宋体" w:cs="宋体" w:hint="eastAsia"/>
          <w:sz w:val="24"/>
        </w:rPr>
        <w:t>定作</w:t>
      </w:r>
      <w:proofErr w:type="gramEnd"/>
      <w:r>
        <w:rPr>
          <w:rFonts w:ascii="宋体" w:eastAsia="宋体" w:hAnsi="宋体" w:cs="宋体" w:hint="eastAsia"/>
          <w:sz w:val="24"/>
        </w:rPr>
        <w:t>人检验。</w:t>
      </w:r>
    </w:p>
    <w:p w14:paraId="37FC1B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第七百七十五条　</w:t>
      </w:r>
      <w:proofErr w:type="gramStart"/>
      <w:r>
        <w:rPr>
          <w:rFonts w:ascii="宋体" w:eastAsia="宋体" w:hAnsi="宋体" w:cs="宋体" w:hint="eastAsia"/>
          <w:sz w:val="24"/>
        </w:rPr>
        <w:t>定作</w:t>
      </w:r>
      <w:proofErr w:type="gramEnd"/>
      <w:r>
        <w:rPr>
          <w:rFonts w:ascii="宋体" w:eastAsia="宋体" w:hAnsi="宋体" w:cs="宋体" w:hint="eastAsia"/>
          <w:sz w:val="24"/>
        </w:rPr>
        <w:t>人提供材料的，应当按照约定提供材料。承揽人对</w:t>
      </w:r>
      <w:proofErr w:type="gramStart"/>
      <w:r>
        <w:rPr>
          <w:rFonts w:ascii="宋体" w:eastAsia="宋体" w:hAnsi="宋体" w:cs="宋体" w:hint="eastAsia"/>
          <w:sz w:val="24"/>
        </w:rPr>
        <w:t>定作</w:t>
      </w:r>
      <w:proofErr w:type="gramEnd"/>
      <w:r>
        <w:rPr>
          <w:rFonts w:ascii="宋体" w:eastAsia="宋体" w:hAnsi="宋体" w:cs="宋体" w:hint="eastAsia"/>
          <w:sz w:val="24"/>
        </w:rPr>
        <w:t>人提供的材料应当及时检验，发现不符合约定时，应当及时通知</w:t>
      </w:r>
      <w:proofErr w:type="gramStart"/>
      <w:r>
        <w:rPr>
          <w:rFonts w:ascii="宋体" w:eastAsia="宋体" w:hAnsi="宋体" w:cs="宋体" w:hint="eastAsia"/>
          <w:sz w:val="24"/>
        </w:rPr>
        <w:t>定作</w:t>
      </w:r>
      <w:proofErr w:type="gramEnd"/>
      <w:r>
        <w:rPr>
          <w:rFonts w:ascii="宋体" w:eastAsia="宋体" w:hAnsi="宋体" w:cs="宋体" w:hint="eastAsia"/>
          <w:sz w:val="24"/>
        </w:rPr>
        <w:t>人更换、补齐或者采取其他补救措施。</w:t>
      </w:r>
    </w:p>
    <w:p w14:paraId="5DB161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承揽人不得擅自更换</w:t>
      </w:r>
      <w:proofErr w:type="gramStart"/>
      <w:r>
        <w:rPr>
          <w:rFonts w:ascii="宋体" w:eastAsia="宋体" w:hAnsi="宋体" w:cs="宋体" w:hint="eastAsia"/>
          <w:sz w:val="24"/>
        </w:rPr>
        <w:t>定作</w:t>
      </w:r>
      <w:proofErr w:type="gramEnd"/>
      <w:r>
        <w:rPr>
          <w:rFonts w:ascii="宋体" w:eastAsia="宋体" w:hAnsi="宋体" w:cs="宋体" w:hint="eastAsia"/>
          <w:sz w:val="24"/>
        </w:rPr>
        <w:t>人提供的材料，不得更换不需要修理的零部件。</w:t>
      </w:r>
    </w:p>
    <w:p w14:paraId="79085B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第七百七十六条　承揽人发现</w:t>
      </w:r>
      <w:proofErr w:type="gramStart"/>
      <w:r>
        <w:rPr>
          <w:rFonts w:ascii="宋体" w:eastAsia="宋体" w:hAnsi="宋体" w:cs="宋体" w:hint="eastAsia"/>
          <w:sz w:val="24"/>
        </w:rPr>
        <w:t>定作</w:t>
      </w:r>
      <w:proofErr w:type="gramEnd"/>
      <w:r>
        <w:rPr>
          <w:rFonts w:ascii="宋体" w:eastAsia="宋体" w:hAnsi="宋体" w:cs="宋体" w:hint="eastAsia"/>
          <w:sz w:val="24"/>
        </w:rPr>
        <w:t>人提供的图纸或者技术要求不合理的，应当及时通知</w:t>
      </w:r>
      <w:proofErr w:type="gramStart"/>
      <w:r>
        <w:rPr>
          <w:rFonts w:ascii="宋体" w:eastAsia="宋体" w:hAnsi="宋体" w:cs="宋体" w:hint="eastAsia"/>
          <w:sz w:val="24"/>
        </w:rPr>
        <w:t>定作</w:t>
      </w:r>
      <w:proofErr w:type="gramEnd"/>
      <w:r>
        <w:rPr>
          <w:rFonts w:ascii="宋体" w:eastAsia="宋体" w:hAnsi="宋体" w:cs="宋体" w:hint="eastAsia"/>
          <w:sz w:val="24"/>
        </w:rPr>
        <w:t>人。因</w:t>
      </w:r>
      <w:proofErr w:type="gramStart"/>
      <w:r>
        <w:rPr>
          <w:rFonts w:ascii="宋体" w:eastAsia="宋体" w:hAnsi="宋体" w:cs="宋体" w:hint="eastAsia"/>
          <w:sz w:val="24"/>
        </w:rPr>
        <w:t>定作</w:t>
      </w:r>
      <w:proofErr w:type="gramEnd"/>
      <w:r>
        <w:rPr>
          <w:rFonts w:ascii="宋体" w:eastAsia="宋体" w:hAnsi="宋体" w:cs="宋体" w:hint="eastAsia"/>
          <w:sz w:val="24"/>
        </w:rPr>
        <w:t>人</w:t>
      </w:r>
      <w:proofErr w:type="gramStart"/>
      <w:r>
        <w:rPr>
          <w:rFonts w:ascii="宋体" w:eastAsia="宋体" w:hAnsi="宋体" w:cs="宋体" w:hint="eastAsia"/>
          <w:sz w:val="24"/>
        </w:rPr>
        <w:t>怠</w:t>
      </w:r>
      <w:proofErr w:type="gramEnd"/>
      <w:r>
        <w:rPr>
          <w:rFonts w:ascii="宋体" w:eastAsia="宋体" w:hAnsi="宋体" w:cs="宋体" w:hint="eastAsia"/>
          <w:sz w:val="24"/>
        </w:rPr>
        <w:t>于答复等原因造成承揽人损失的，应当赔偿损失。</w:t>
      </w:r>
    </w:p>
    <w:p w14:paraId="50BD93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第七百七十七条　</w:t>
      </w:r>
      <w:proofErr w:type="gramStart"/>
      <w:r>
        <w:rPr>
          <w:rFonts w:ascii="宋体" w:eastAsia="宋体" w:hAnsi="宋体" w:cs="宋体" w:hint="eastAsia"/>
          <w:sz w:val="24"/>
        </w:rPr>
        <w:t>定作</w:t>
      </w:r>
      <w:proofErr w:type="gramEnd"/>
      <w:r>
        <w:rPr>
          <w:rFonts w:ascii="宋体" w:eastAsia="宋体" w:hAnsi="宋体" w:cs="宋体" w:hint="eastAsia"/>
          <w:sz w:val="24"/>
        </w:rPr>
        <w:t>人中途变更承揽工作的要求，造成承揽人损失的，应</w:t>
      </w:r>
      <w:r>
        <w:rPr>
          <w:rFonts w:ascii="宋体" w:eastAsia="宋体" w:hAnsi="宋体" w:cs="宋体" w:hint="eastAsia"/>
          <w:sz w:val="24"/>
        </w:rPr>
        <w:lastRenderedPageBreak/>
        <w:t>当赔偿损失。</w:t>
      </w:r>
    </w:p>
    <w:p w14:paraId="13DC4E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第七百七十八条　承揽工作需要</w:t>
      </w:r>
      <w:proofErr w:type="gramStart"/>
      <w:r>
        <w:rPr>
          <w:rFonts w:ascii="宋体" w:eastAsia="宋体" w:hAnsi="宋体" w:cs="宋体" w:hint="eastAsia"/>
          <w:sz w:val="24"/>
        </w:rPr>
        <w:t>定作</w:t>
      </w:r>
      <w:proofErr w:type="gramEnd"/>
      <w:r>
        <w:rPr>
          <w:rFonts w:ascii="宋体" w:eastAsia="宋体" w:hAnsi="宋体" w:cs="宋体" w:hint="eastAsia"/>
          <w:sz w:val="24"/>
        </w:rPr>
        <w:t>人协助的，</w:t>
      </w:r>
      <w:proofErr w:type="gramStart"/>
      <w:r>
        <w:rPr>
          <w:rFonts w:ascii="宋体" w:eastAsia="宋体" w:hAnsi="宋体" w:cs="宋体" w:hint="eastAsia"/>
          <w:sz w:val="24"/>
        </w:rPr>
        <w:t>定作</w:t>
      </w:r>
      <w:proofErr w:type="gramEnd"/>
      <w:r>
        <w:rPr>
          <w:rFonts w:ascii="宋体" w:eastAsia="宋体" w:hAnsi="宋体" w:cs="宋体" w:hint="eastAsia"/>
          <w:sz w:val="24"/>
        </w:rPr>
        <w:t>人有协助的义务。</w:t>
      </w:r>
      <w:proofErr w:type="gramStart"/>
      <w:r>
        <w:rPr>
          <w:rFonts w:ascii="宋体" w:eastAsia="宋体" w:hAnsi="宋体" w:cs="宋体" w:hint="eastAsia"/>
          <w:sz w:val="24"/>
        </w:rPr>
        <w:t>定作</w:t>
      </w:r>
      <w:proofErr w:type="gramEnd"/>
      <w:r>
        <w:rPr>
          <w:rFonts w:ascii="宋体" w:eastAsia="宋体" w:hAnsi="宋体" w:cs="宋体" w:hint="eastAsia"/>
          <w:sz w:val="24"/>
        </w:rPr>
        <w:t>人不履行协助义务致使承揽工作不能完成的，承揽人可以催告</w:t>
      </w:r>
      <w:proofErr w:type="gramStart"/>
      <w:r>
        <w:rPr>
          <w:rFonts w:ascii="宋体" w:eastAsia="宋体" w:hAnsi="宋体" w:cs="宋体" w:hint="eastAsia"/>
          <w:sz w:val="24"/>
        </w:rPr>
        <w:t>定作</w:t>
      </w:r>
      <w:proofErr w:type="gramEnd"/>
      <w:r>
        <w:rPr>
          <w:rFonts w:ascii="宋体" w:eastAsia="宋体" w:hAnsi="宋体" w:cs="宋体" w:hint="eastAsia"/>
          <w:sz w:val="24"/>
        </w:rPr>
        <w:t>人在合理期限内履行义务，并可以顺延履行期限；</w:t>
      </w:r>
      <w:proofErr w:type="gramStart"/>
      <w:r>
        <w:rPr>
          <w:rFonts w:ascii="宋体" w:eastAsia="宋体" w:hAnsi="宋体" w:cs="宋体" w:hint="eastAsia"/>
          <w:sz w:val="24"/>
        </w:rPr>
        <w:t>定作</w:t>
      </w:r>
      <w:proofErr w:type="gramEnd"/>
      <w:r>
        <w:rPr>
          <w:rFonts w:ascii="宋体" w:eastAsia="宋体" w:hAnsi="宋体" w:cs="宋体" w:hint="eastAsia"/>
          <w:sz w:val="24"/>
        </w:rPr>
        <w:t>人逾期不履行的，承揽人可以解除合同。</w:t>
      </w:r>
    </w:p>
    <w:p w14:paraId="05AE31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第七百七十九条　承揽人在工作期间，应当接受</w:t>
      </w:r>
      <w:proofErr w:type="gramStart"/>
      <w:r>
        <w:rPr>
          <w:rFonts w:ascii="宋体" w:eastAsia="宋体" w:hAnsi="宋体" w:cs="宋体" w:hint="eastAsia"/>
          <w:sz w:val="24"/>
        </w:rPr>
        <w:t>定作</w:t>
      </w:r>
      <w:proofErr w:type="gramEnd"/>
      <w:r>
        <w:rPr>
          <w:rFonts w:ascii="宋体" w:eastAsia="宋体" w:hAnsi="宋体" w:cs="宋体" w:hint="eastAsia"/>
          <w:sz w:val="24"/>
        </w:rPr>
        <w:t>人必要的监督检验。</w:t>
      </w:r>
      <w:proofErr w:type="gramStart"/>
      <w:r>
        <w:rPr>
          <w:rFonts w:ascii="宋体" w:eastAsia="宋体" w:hAnsi="宋体" w:cs="宋体" w:hint="eastAsia"/>
          <w:sz w:val="24"/>
        </w:rPr>
        <w:t>定作</w:t>
      </w:r>
      <w:proofErr w:type="gramEnd"/>
      <w:r>
        <w:rPr>
          <w:rFonts w:ascii="宋体" w:eastAsia="宋体" w:hAnsi="宋体" w:cs="宋体" w:hint="eastAsia"/>
          <w:sz w:val="24"/>
        </w:rPr>
        <w:t>人不得因监督检验妨碍承揽人的正常工作。</w:t>
      </w:r>
    </w:p>
    <w:p w14:paraId="06A798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第七百八十条　承揽人完成工作的，应当向</w:t>
      </w:r>
      <w:proofErr w:type="gramStart"/>
      <w:r>
        <w:rPr>
          <w:rFonts w:ascii="宋体" w:eastAsia="宋体" w:hAnsi="宋体" w:cs="宋体" w:hint="eastAsia"/>
          <w:sz w:val="24"/>
        </w:rPr>
        <w:t>定作</w:t>
      </w:r>
      <w:proofErr w:type="gramEnd"/>
      <w:r>
        <w:rPr>
          <w:rFonts w:ascii="宋体" w:eastAsia="宋体" w:hAnsi="宋体" w:cs="宋体" w:hint="eastAsia"/>
          <w:sz w:val="24"/>
        </w:rPr>
        <w:t>人交付工作成果，并提交必要的技术资料和有关质量证明。</w:t>
      </w:r>
      <w:proofErr w:type="gramStart"/>
      <w:r>
        <w:rPr>
          <w:rFonts w:ascii="宋体" w:eastAsia="宋体" w:hAnsi="宋体" w:cs="宋体" w:hint="eastAsia"/>
          <w:sz w:val="24"/>
        </w:rPr>
        <w:t>定作</w:t>
      </w:r>
      <w:proofErr w:type="gramEnd"/>
      <w:r>
        <w:rPr>
          <w:rFonts w:ascii="宋体" w:eastAsia="宋体" w:hAnsi="宋体" w:cs="宋体" w:hint="eastAsia"/>
          <w:sz w:val="24"/>
        </w:rPr>
        <w:t>人应当验收该工作成果。</w:t>
      </w:r>
    </w:p>
    <w:p w14:paraId="66A23F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第七百八十一条　承揽人交付的工作成果不符合质量要求的，</w:t>
      </w:r>
      <w:proofErr w:type="gramStart"/>
      <w:r>
        <w:rPr>
          <w:rFonts w:ascii="宋体" w:eastAsia="宋体" w:hAnsi="宋体" w:cs="宋体" w:hint="eastAsia"/>
          <w:sz w:val="24"/>
        </w:rPr>
        <w:t>定作</w:t>
      </w:r>
      <w:proofErr w:type="gramEnd"/>
      <w:r>
        <w:rPr>
          <w:rFonts w:ascii="宋体" w:eastAsia="宋体" w:hAnsi="宋体" w:cs="宋体" w:hint="eastAsia"/>
          <w:sz w:val="24"/>
        </w:rPr>
        <w:t>人可以合理选择请求承揽人承担修理、重作、减少报酬、赔偿损失等违约责任。</w:t>
      </w:r>
    </w:p>
    <w:p w14:paraId="79725E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第七百八十二条　</w:t>
      </w:r>
      <w:proofErr w:type="gramStart"/>
      <w:r>
        <w:rPr>
          <w:rFonts w:ascii="宋体" w:eastAsia="宋体" w:hAnsi="宋体" w:cs="宋体" w:hint="eastAsia"/>
          <w:sz w:val="24"/>
        </w:rPr>
        <w:t>定作</w:t>
      </w:r>
      <w:proofErr w:type="gramEnd"/>
      <w:r>
        <w:rPr>
          <w:rFonts w:ascii="宋体" w:eastAsia="宋体" w:hAnsi="宋体" w:cs="宋体" w:hint="eastAsia"/>
          <w:sz w:val="24"/>
        </w:rPr>
        <w:t>人应当按照约定的期限支付报酬。对支付报酬的期限没有约定或者约定不明确，依据本法第五百一十条的规定仍不能确定的，</w:t>
      </w:r>
      <w:proofErr w:type="gramStart"/>
      <w:r>
        <w:rPr>
          <w:rFonts w:ascii="宋体" w:eastAsia="宋体" w:hAnsi="宋体" w:cs="宋体" w:hint="eastAsia"/>
          <w:sz w:val="24"/>
        </w:rPr>
        <w:t>定作</w:t>
      </w:r>
      <w:proofErr w:type="gramEnd"/>
      <w:r>
        <w:rPr>
          <w:rFonts w:ascii="宋体" w:eastAsia="宋体" w:hAnsi="宋体" w:cs="宋体" w:hint="eastAsia"/>
          <w:sz w:val="24"/>
        </w:rPr>
        <w:t>人应当在承揽人交付工作成果时支付；工作成果部分交付的，</w:t>
      </w:r>
      <w:proofErr w:type="gramStart"/>
      <w:r>
        <w:rPr>
          <w:rFonts w:ascii="宋体" w:eastAsia="宋体" w:hAnsi="宋体" w:cs="宋体" w:hint="eastAsia"/>
          <w:sz w:val="24"/>
        </w:rPr>
        <w:t>定作</w:t>
      </w:r>
      <w:proofErr w:type="gramEnd"/>
      <w:r>
        <w:rPr>
          <w:rFonts w:ascii="宋体" w:eastAsia="宋体" w:hAnsi="宋体" w:cs="宋体" w:hint="eastAsia"/>
          <w:sz w:val="24"/>
        </w:rPr>
        <w:t>人应当相应支付。</w:t>
      </w:r>
    </w:p>
    <w:p w14:paraId="33A85E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第七百八十三条　</w:t>
      </w:r>
      <w:proofErr w:type="gramStart"/>
      <w:r>
        <w:rPr>
          <w:rFonts w:ascii="宋体" w:eastAsia="宋体" w:hAnsi="宋体" w:cs="宋体" w:hint="eastAsia"/>
          <w:sz w:val="24"/>
        </w:rPr>
        <w:t>定作</w:t>
      </w:r>
      <w:proofErr w:type="gramEnd"/>
      <w:r>
        <w:rPr>
          <w:rFonts w:ascii="宋体" w:eastAsia="宋体" w:hAnsi="宋体" w:cs="宋体" w:hint="eastAsia"/>
          <w:sz w:val="24"/>
        </w:rPr>
        <w:t>人未向承揽人支付报酬或者材料费等价款的，承揽人对完成的工作成果享有留置权或者有权拒绝交付，但是当事人另有约定的除外。</w:t>
      </w:r>
    </w:p>
    <w:p w14:paraId="5D3110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第七百八十四条　承揽人应当妥善保管</w:t>
      </w:r>
      <w:proofErr w:type="gramStart"/>
      <w:r>
        <w:rPr>
          <w:rFonts w:ascii="宋体" w:eastAsia="宋体" w:hAnsi="宋体" w:cs="宋体" w:hint="eastAsia"/>
          <w:sz w:val="24"/>
        </w:rPr>
        <w:t>定作</w:t>
      </w:r>
      <w:proofErr w:type="gramEnd"/>
      <w:r>
        <w:rPr>
          <w:rFonts w:ascii="宋体" w:eastAsia="宋体" w:hAnsi="宋体" w:cs="宋体" w:hint="eastAsia"/>
          <w:sz w:val="24"/>
        </w:rPr>
        <w:t>人提供的材料以及完成的工作成果，因保管不善造成毁损、灭失的，应当承担赔偿责任。</w:t>
      </w:r>
    </w:p>
    <w:p w14:paraId="3E41B5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第七百八十五条　承揽人应当按照</w:t>
      </w:r>
      <w:proofErr w:type="gramStart"/>
      <w:r>
        <w:rPr>
          <w:rFonts w:ascii="宋体" w:eastAsia="宋体" w:hAnsi="宋体" w:cs="宋体" w:hint="eastAsia"/>
          <w:sz w:val="24"/>
        </w:rPr>
        <w:t>定作</w:t>
      </w:r>
      <w:proofErr w:type="gramEnd"/>
      <w:r>
        <w:rPr>
          <w:rFonts w:ascii="宋体" w:eastAsia="宋体" w:hAnsi="宋体" w:cs="宋体" w:hint="eastAsia"/>
          <w:sz w:val="24"/>
        </w:rPr>
        <w:t>人的要求保守秘密，未经</w:t>
      </w:r>
      <w:proofErr w:type="gramStart"/>
      <w:r>
        <w:rPr>
          <w:rFonts w:ascii="宋体" w:eastAsia="宋体" w:hAnsi="宋体" w:cs="宋体" w:hint="eastAsia"/>
          <w:sz w:val="24"/>
        </w:rPr>
        <w:t>定作</w:t>
      </w:r>
      <w:proofErr w:type="gramEnd"/>
      <w:r>
        <w:rPr>
          <w:rFonts w:ascii="宋体" w:eastAsia="宋体" w:hAnsi="宋体" w:cs="宋体" w:hint="eastAsia"/>
          <w:sz w:val="24"/>
        </w:rPr>
        <w:t>人许可，不得留存复制品或者技术资料。</w:t>
      </w:r>
    </w:p>
    <w:p w14:paraId="79E306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第七百八十六条　共同承揽人对</w:t>
      </w:r>
      <w:proofErr w:type="gramStart"/>
      <w:r>
        <w:rPr>
          <w:rFonts w:ascii="宋体" w:eastAsia="宋体" w:hAnsi="宋体" w:cs="宋体" w:hint="eastAsia"/>
          <w:sz w:val="24"/>
        </w:rPr>
        <w:t>定作</w:t>
      </w:r>
      <w:proofErr w:type="gramEnd"/>
      <w:r>
        <w:rPr>
          <w:rFonts w:ascii="宋体" w:eastAsia="宋体" w:hAnsi="宋体" w:cs="宋体" w:hint="eastAsia"/>
          <w:sz w:val="24"/>
        </w:rPr>
        <w:t>人承担连带责任，但是当事人另有约定的除外。</w:t>
      </w:r>
    </w:p>
    <w:p w14:paraId="15835B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第七百八十七条　</w:t>
      </w:r>
      <w:proofErr w:type="gramStart"/>
      <w:r>
        <w:rPr>
          <w:rFonts w:ascii="宋体" w:eastAsia="宋体" w:hAnsi="宋体" w:cs="宋体" w:hint="eastAsia"/>
          <w:sz w:val="24"/>
        </w:rPr>
        <w:t>定作</w:t>
      </w:r>
      <w:proofErr w:type="gramEnd"/>
      <w:r>
        <w:rPr>
          <w:rFonts w:ascii="宋体" w:eastAsia="宋体" w:hAnsi="宋体" w:cs="宋体" w:hint="eastAsia"/>
          <w:sz w:val="24"/>
        </w:rPr>
        <w:t>人在承揽人完成工作前可以随时解除合同，造成承揽人损失的，应当赔偿损失。</w:t>
      </w:r>
    </w:p>
    <w:p w14:paraId="6B52BE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第十八章　建设工程合同</w:t>
      </w:r>
    </w:p>
    <w:p w14:paraId="605CE4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第七百八十八条　建设工程合同是承包人进行工程建设，发包人支付价款的</w:t>
      </w:r>
      <w:r>
        <w:rPr>
          <w:rFonts w:ascii="宋体" w:eastAsia="宋体" w:hAnsi="宋体" w:cs="宋体" w:hint="eastAsia"/>
          <w:sz w:val="24"/>
        </w:rPr>
        <w:lastRenderedPageBreak/>
        <w:t>合同。</w:t>
      </w:r>
    </w:p>
    <w:p w14:paraId="66C534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建设工程合同包括工程勘察、设计、施工合同。</w:t>
      </w:r>
    </w:p>
    <w:p w14:paraId="366D85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第七百八十九条　建设工程合同应当采用书面形式。</w:t>
      </w:r>
    </w:p>
    <w:p w14:paraId="22B292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第七百九十条　建设工程的招标投标活动，应当依照有关法律的规定公开、公平、公正进行。</w:t>
      </w:r>
    </w:p>
    <w:p w14:paraId="37A111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第七百九十一条　发包人可以与总承包人订立建设工程合同，也可以分别与勘察人、设计人、施工人订立勘察、设计、施工承包合同。发包人不得将应当由一个承包人完成的建设工程支解成若干部分发包给数个承包人。</w:t>
      </w:r>
    </w:p>
    <w:p w14:paraId="392F88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总承包人或者勘察、设计、施工承包人经发包人同意，可以将自己承包的部分工作交由第三人完成。第三人就其完成的工作成果与总承包人或者勘察、设计、施工承包人向发包人承担连带责任。承包人不得将其承包的全部建设工程转包给第三人或者将其承包的全部建设工程支解以后以分包的名义分别转包给第三人。</w:t>
      </w:r>
    </w:p>
    <w:p w14:paraId="6FA730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禁止承包人将工程分包给不具备相应资质条件的单位。禁止分包单位将其承包的工程再分包。建设工程主体结构的施工必须由承包人自行完成。</w:t>
      </w:r>
    </w:p>
    <w:p w14:paraId="7C06CD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第七百九十二条　国家重大建设工程合同，应当按照国家规定的程序和国家批准的投资计划、可行性研究报告等文件订立。</w:t>
      </w:r>
    </w:p>
    <w:p w14:paraId="2C105D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第七百九十三条　建设工程施工合同无效，但是建设工程经验收合格的，可以参照合同关于工程价款的约定折价补偿承包人。</w:t>
      </w:r>
    </w:p>
    <w:p w14:paraId="0ADAF3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建设工程施工合同无效，</w:t>
      </w:r>
      <w:proofErr w:type="gramStart"/>
      <w:r>
        <w:rPr>
          <w:rFonts w:ascii="宋体" w:eastAsia="宋体" w:hAnsi="宋体" w:cs="宋体" w:hint="eastAsia"/>
          <w:sz w:val="24"/>
        </w:rPr>
        <w:t>且建设</w:t>
      </w:r>
      <w:proofErr w:type="gramEnd"/>
      <w:r>
        <w:rPr>
          <w:rFonts w:ascii="宋体" w:eastAsia="宋体" w:hAnsi="宋体" w:cs="宋体" w:hint="eastAsia"/>
          <w:sz w:val="24"/>
        </w:rPr>
        <w:t>工程经验收不合格的，按照以下情形处理：</w:t>
      </w:r>
    </w:p>
    <w:p w14:paraId="0CCAED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（一）修复后的建设工程经验收合格的，发包人可以请求承包人承担修复费用；</w:t>
      </w:r>
    </w:p>
    <w:p w14:paraId="6016B2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（二）修复后的建设工程经验收不合格的，承包人无权请求参照合同关于工程价款的约定折价补偿。</w:t>
      </w:r>
    </w:p>
    <w:p w14:paraId="61CDBF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发包人对因建设工程不合格造成的损失有过错的，应当承担相应的责任。</w:t>
      </w:r>
    </w:p>
    <w:p w14:paraId="2D4860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第七百九十四条　勘察、设计合同的内容一般包括提交有关基础资料和概预</w:t>
      </w:r>
      <w:r>
        <w:rPr>
          <w:rFonts w:ascii="宋体" w:eastAsia="宋体" w:hAnsi="宋体" w:cs="宋体" w:hint="eastAsia"/>
          <w:sz w:val="24"/>
        </w:rPr>
        <w:lastRenderedPageBreak/>
        <w:t>算等文件的期限、质量要求、费用以及其他协作条件等条款。</w:t>
      </w:r>
    </w:p>
    <w:p w14:paraId="4CA26F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第七百九十五条　施工合同的内容一般包括工程范围、建设工期、中间交工工程的开工和竣工时间、工程质量、工程造价、技术资料交付时间、材料和设备供应责任、拨款和结算、竣工验收、质量保修范围和质量保证期、相互协作等条款。</w:t>
      </w:r>
    </w:p>
    <w:p w14:paraId="0EA3A2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第七百九十六条　建设工程实行监理的，发包人应当与监理人采用书面形式订立委托监理合同。发包人与监理人的权利和义务以及法律责任，应当依照本编委</w:t>
      </w:r>
      <w:proofErr w:type="gramStart"/>
      <w:r>
        <w:rPr>
          <w:rFonts w:ascii="宋体" w:eastAsia="宋体" w:hAnsi="宋体" w:cs="宋体" w:hint="eastAsia"/>
          <w:sz w:val="24"/>
        </w:rPr>
        <w:t>托合同</w:t>
      </w:r>
      <w:proofErr w:type="gramEnd"/>
      <w:r>
        <w:rPr>
          <w:rFonts w:ascii="宋体" w:eastAsia="宋体" w:hAnsi="宋体" w:cs="宋体" w:hint="eastAsia"/>
          <w:sz w:val="24"/>
        </w:rPr>
        <w:t>以及其他有关法律、行政法规的规定。</w:t>
      </w:r>
    </w:p>
    <w:p w14:paraId="36985A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第七百九十七条　发包人在不妨碍承包人正常作业的情况下，可以随时对作业进度、质量进行检查。</w:t>
      </w:r>
    </w:p>
    <w:p w14:paraId="0DDD20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第七百九十八条　隐蔽工程在隐蔽以前，承包人应当通知发包人检查。发包人没有及时检查的，承包人可以顺延工程日期，并有权请求赔偿停工、窝工等损失。</w:t>
      </w:r>
    </w:p>
    <w:p w14:paraId="7739AD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第七百九十九条　建设工程竣工后，发包人应当根据施工图纸及说明书、国家颁发的施工验收规范和质量检验标准及时进行验收。验收合格的，发包人应当按照约定支付价款，并接收该建设工程。</w:t>
      </w:r>
    </w:p>
    <w:p w14:paraId="7AD098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建设工程竣工经验收合格后，方可交付使用；未经验收或者验收不合格的，不得交付使用。</w:t>
      </w:r>
    </w:p>
    <w:p w14:paraId="2F74B2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第八百条　勘察、设计的质量不符合要求或者未按照期限提交勘察、设计文件拖延工期，造成发包人损失的，勘察人、设计人应当继续完善勘察、设计，减收或者免收勘察、设计费并赔偿损失。</w:t>
      </w:r>
    </w:p>
    <w:p w14:paraId="2AEB84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第八百零一条　因施工人的原因致使建设工程质量不符合约定的，发包人有权请求施工人在合理期限内无偿修理或者返工、改建。经过修理或者返工、改建后，造成逾期交付的，施工人应当承担违约责任。</w:t>
      </w:r>
    </w:p>
    <w:p w14:paraId="2837F6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第八百零二条　因承包人的原因致使建设工程在合理使用期限内造成人身损害和财产损失的，承包人应当承担赔偿责任。</w:t>
      </w:r>
    </w:p>
    <w:p w14:paraId="05F275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第八百零三条　发包人未按照约定的时间和要求提供原材料、设备、场地、资金、技术资料的，承包人可以顺延工程日期，并有权请求赔偿停工、窝工等损失。</w:t>
      </w:r>
    </w:p>
    <w:p w14:paraId="41906A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第八百零四条　因发包人的原因致使工程中途停建、缓建的，发包人应当采取措施弥补或者减少损失，赔偿承包人因此造成的停工、窝工、倒运、机械设备调迁、材料和构件积压等损失和实际费用。</w:t>
      </w:r>
    </w:p>
    <w:p w14:paraId="5C4C29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第八百零五条　因发包人变更计划，提供的资料不准确，或者未按照期限提供必需的勘察、设计工作条件而造成勘察、设计的返工、停工或者修改设计，发包人应当按照勘察人、设计人实际消耗的工作量增付费用。</w:t>
      </w:r>
    </w:p>
    <w:p w14:paraId="70E0FF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第八百零六条　承包人将建设工程转包、违法分包的，发包人可以解除合同。</w:t>
      </w:r>
    </w:p>
    <w:p w14:paraId="02B874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发包人提供的主要建筑材料、建筑构配件和设备不符合强制性标准或者不履行协助义务，致使承包人无法施工，经催告后在合理期限内仍未履行相应义务的，承包人可以解除合同。</w:t>
      </w:r>
    </w:p>
    <w:p w14:paraId="7967A4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合同解除后，已经完成的建设工程质量合格的，发包人应当按照约定支付相应的工程价款；已经完成的建设工程质量不合格的，参照本法第七百九十三条的规定处理。</w:t>
      </w:r>
    </w:p>
    <w:p w14:paraId="1825D7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第八百零七条　发包人未按照约定支付价款的，承包人可以催告发包人在合理期限内支付价款。发包人逾期不支付的，除根据建设工程的性质不宜折价、拍卖外，承包人可以与发包人协议将该工程折价，也可以请求人民法院将该工程依法拍卖。建设工程的价款就该工程折价或者拍卖的价款优先受偿。</w:t>
      </w:r>
    </w:p>
    <w:p w14:paraId="7EC703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第八百零八条　本章没有规定的，适用承揽合同的有关规定。</w:t>
      </w:r>
    </w:p>
    <w:p w14:paraId="33D8BD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第十九章　运输合同</w:t>
      </w:r>
    </w:p>
    <w:p w14:paraId="1CDE89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一般规定</w:t>
      </w:r>
    </w:p>
    <w:p w14:paraId="203F23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第八百零九条　运输合同是承运人将旅客或者货物从起运地点运输到约定地点，旅客、托运人或者收货人支付票款或者运输费用的合同。</w:t>
      </w:r>
    </w:p>
    <w:p w14:paraId="315342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第八百一十条　从事公共运输的承运人不得拒绝旅客、托运人通常、合理的</w:t>
      </w:r>
      <w:r>
        <w:rPr>
          <w:rFonts w:ascii="宋体" w:eastAsia="宋体" w:hAnsi="宋体" w:cs="宋体" w:hint="eastAsia"/>
          <w:sz w:val="24"/>
        </w:rPr>
        <w:lastRenderedPageBreak/>
        <w:t>运输要求。</w:t>
      </w:r>
    </w:p>
    <w:p w14:paraId="622EC4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第八百一十一条　承运人应当在约定期限或者合理期限内将旅客、货物安全运输到约定地点。</w:t>
      </w:r>
    </w:p>
    <w:p w14:paraId="372979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第八百一十二条　承运人应当按照约定的或者通常的运输路线将旅客、货物运输到约定地点。</w:t>
      </w:r>
    </w:p>
    <w:p w14:paraId="4D1874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第八百一十三条　旅客、托运人或者收货人应当支付票款或者运输费用。承运人未按照约定路线或者通常路线运输增加票款或者运输费用的，旅客、托运人或者收货人可以拒绝支付增加部分的票款或者运输费用。</w:t>
      </w:r>
    </w:p>
    <w:p w14:paraId="3E3EFA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客运合同</w:t>
      </w:r>
    </w:p>
    <w:p w14:paraId="1111CC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第八百一十四条　客运合同自承运人向旅客出具客票时成立，但是当事人另有约定或者另有交易习惯的除外。</w:t>
      </w:r>
    </w:p>
    <w:p w14:paraId="72E001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第八百一十五条　旅客应当按照有效客票记载的时间、班次和座位号乘坐。旅客无票乘坐、超程乘坐、越级乘坐或者持不符合减价条件的优惠客票乘坐的，应当补交票款，承运人可以按照规定加收票款；旅客不支付票款的，承运人可以拒绝运输。</w:t>
      </w:r>
    </w:p>
    <w:p w14:paraId="16A771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实名制客运合同的旅客丢失客票的，可以请求承运人挂失补办，承运人不得再次收取票款和其他不合理费用。</w:t>
      </w:r>
    </w:p>
    <w:p w14:paraId="30BA5D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第八百一十六条　旅客因自己的原因不能按照客票记载的时间乘坐的，应当在约定的期限内办理退票或者变更手续；逾期办理的，承运人可以</w:t>
      </w:r>
      <w:proofErr w:type="gramStart"/>
      <w:r>
        <w:rPr>
          <w:rFonts w:ascii="宋体" w:eastAsia="宋体" w:hAnsi="宋体" w:cs="宋体" w:hint="eastAsia"/>
          <w:sz w:val="24"/>
        </w:rPr>
        <w:t>不</w:t>
      </w:r>
      <w:proofErr w:type="gramEnd"/>
      <w:r>
        <w:rPr>
          <w:rFonts w:ascii="宋体" w:eastAsia="宋体" w:hAnsi="宋体" w:cs="宋体" w:hint="eastAsia"/>
          <w:sz w:val="24"/>
        </w:rPr>
        <w:t>退票款，并不再承担运输义务。</w:t>
      </w:r>
    </w:p>
    <w:p w14:paraId="78A47F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第八百一十七条　旅客随身携带行李应当符合约定的限量和品类要求；超过限量或者违反品类要求携带行李的，应当办理托运手续。</w:t>
      </w:r>
    </w:p>
    <w:p w14:paraId="59C047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第八百一十八条　旅客不得随身携带或者在行李中夹带易燃、易爆、有毒、有腐蚀性、有放射性以及可能危及运输工具上人身和财产安全的危险物品或者违禁物品。</w:t>
      </w:r>
    </w:p>
    <w:p w14:paraId="408EA1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旅客违反前款规定的，承运人可以将危险物品或者违禁物品卸下、销毁或者</w:t>
      </w:r>
      <w:r>
        <w:rPr>
          <w:rFonts w:ascii="宋体" w:eastAsia="宋体" w:hAnsi="宋体" w:cs="宋体" w:hint="eastAsia"/>
          <w:sz w:val="24"/>
        </w:rPr>
        <w:lastRenderedPageBreak/>
        <w:t>送交有关部门。旅客坚持携带或者夹带危险物品或者违禁物品的，承运人应当拒绝运输。</w:t>
      </w:r>
    </w:p>
    <w:p w14:paraId="3AE39B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第八百一十九条　承运人应当严格履行安全运输义务，及时告知旅客安全运输应当注意的事项。旅客对承运人为安全运输所作的合理安排应当积极协助和配合。</w:t>
      </w:r>
    </w:p>
    <w:p w14:paraId="48C9F6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第八百二十条　承运人应当按照有效客票记载的时间、班次和座位号运输旅客。承运人迟延运输或者有其他不能正常运输情形的，应当及时告知和提醒旅客，采取必要的安置措施，并根据旅客的要求安排改乘其他班次或者退票；由此造成旅客损失的，承运人应当承担赔偿责任，但是不可归责于承运人的除外。</w:t>
      </w:r>
    </w:p>
    <w:p w14:paraId="06F8B2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第八百二十一条　承运人擅自降低服务标准的，应当根据旅客的请求退票或者减收票款；提高服务标准的，不得加收票款。</w:t>
      </w:r>
    </w:p>
    <w:p w14:paraId="0DF1C7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第八百二十二条　承运人在运输过程中，应当尽力救助患有急病、分娩、遇险的旅客。</w:t>
      </w:r>
    </w:p>
    <w:p w14:paraId="0F8A30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第八百二十三条　承运人应当对运输过程中旅客的伤亡承担赔偿责任；但是，伤亡是旅客自身健康原因造成的或者承运人证明伤亡是旅客故意、重大过失造成的除外。</w:t>
      </w:r>
    </w:p>
    <w:p w14:paraId="436622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前款规定适用于按照规定免票、持优待票或者经承运人许可搭乘的无票旅客。</w:t>
      </w:r>
    </w:p>
    <w:p w14:paraId="404A77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第八百二十四条　在运输过程中旅客随身携带物品毁损、灭失，承运人有过错的，应当承担赔偿责任。</w:t>
      </w:r>
    </w:p>
    <w:p w14:paraId="03D209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旅客托运的行李毁损、灭失的，适用货物运输的有关规定。</w:t>
      </w:r>
    </w:p>
    <w:p w14:paraId="2BC5F7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第三节　货运合同</w:t>
      </w:r>
    </w:p>
    <w:p w14:paraId="64AB9B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第八百二十五条　托运人办理货物运输，应当向承运人准确表明收货人的姓名、名称或者凭指示的收货人，货物的名称、性质、重量、数量，收货地点等有关货物运输的必要情况。</w:t>
      </w:r>
    </w:p>
    <w:p w14:paraId="267100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因托运人申报不实或者遗漏重要情况，造成承运人损失的，托运人应当承担赔偿责任。</w:t>
      </w:r>
    </w:p>
    <w:p w14:paraId="581DFB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第八百二十六条　货物运输需要办理审批、检验等手续的，托运人应当将办理完有关手续的文件提交承运人。</w:t>
      </w:r>
    </w:p>
    <w:p w14:paraId="114CFC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第八百二十七条　托运人应当按照约定的方式包装货物。对包装方式没有约定或者约定不明确的，适用本法第六百一十九条的规定。</w:t>
      </w:r>
    </w:p>
    <w:p w14:paraId="519106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托运人违反前款规定的，承运人可以拒绝运输。</w:t>
      </w:r>
    </w:p>
    <w:p w14:paraId="43A283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第八百二十八条　托运人托运易燃、易爆、有毒、有腐蚀性、有放射性等危险物品的，应当按照国家有关危险物品运输的规定对危险物品妥善包装，做出危险物品标志和标签，并将有关危险物品的名称、性质和防范措施的书面材料提交承运人。</w:t>
      </w:r>
    </w:p>
    <w:p w14:paraId="4C99EB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托运人违反前款规定的，承运人可以拒绝运输，也可以采取相应措施以避免损失的发生，因此产生的费用由托运人负担。</w:t>
      </w:r>
    </w:p>
    <w:p w14:paraId="47F44E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第八百二十九条　在承运人将货物交付收货人之前，托运人可以要求承运人中止运输、返还货物、变更到达地或者将货物交给其他收货人，但是应当赔偿承运人因此受到的损失。</w:t>
      </w:r>
    </w:p>
    <w:p w14:paraId="026802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第八百三十条　货物运输到达后，承运人知道收货人的，应当及时通知收货人，收货人应当及时提货。收货人逾期提货的，应当向承运人支付保管费等费用。</w:t>
      </w:r>
    </w:p>
    <w:p w14:paraId="6B42D5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第八百三十一条　收货人提货时应当按照约定的期限检验货物。对检验货物的期限没有约定或者约定不明确，依据本法第五百一十条的规定仍不能确定的，应当在合理期限内检验货物。收货人在约定的期限或者合理期限内对货物的数量、毁损等未提出异议的，视为承运人已经按照运输单证的记载交付的初步证据。</w:t>
      </w:r>
    </w:p>
    <w:p w14:paraId="7E022A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第八百三十二条　承运人对运输过程中货物的毁损、灭失承担赔偿责任。但是，承运人证明货物的毁损、灭失是因不可抗力、货物本身的自然性质或者合理损耗以及托运人、收货人的过错造成的，不承担赔偿责任。</w:t>
      </w:r>
    </w:p>
    <w:p w14:paraId="3420F1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第八百三十三条　货物的毁损、灭失的赔偿额，当事人有约定的，按照其约定；没有约定或者约定不明确，依据本法第五百一十条的规定仍不能确定的，按照交付或者应当交付时货物到达地的市场价格计算。法律、行政法规对赔偿额的</w:t>
      </w:r>
      <w:r>
        <w:rPr>
          <w:rFonts w:ascii="宋体" w:eastAsia="宋体" w:hAnsi="宋体" w:cs="宋体" w:hint="eastAsia"/>
          <w:sz w:val="24"/>
        </w:rPr>
        <w:lastRenderedPageBreak/>
        <w:t>计算方法和赔偿限额另有规定的，依照其规定。</w:t>
      </w:r>
    </w:p>
    <w:p w14:paraId="6EDDBE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第八百三十四条　两个以上承运人以同一运输方式联运的，与托运人订立合同的承运人应当对全程运输承担责任；损失发生在某一运输区段的，与托运人订立合同的承运人和该区段的承运人承担连带责任。</w:t>
      </w:r>
    </w:p>
    <w:p w14:paraId="4BD2B5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第八百三十五条　货物在运输过程中因不可抗力灭失，未收取运费的，承运人不得请求支付运费；已经收取运费的，托运人可以请求返还。法律另有规定的，依照其规定。</w:t>
      </w:r>
    </w:p>
    <w:p w14:paraId="6D9A0D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第八百三十六条　托运人或者收货人不支付运费、保管费或者其他费用的，承运人对相应的运输货物享有留置权，但是当事人另有约定的除外。</w:t>
      </w:r>
    </w:p>
    <w:p w14:paraId="4A124C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第八百三十七条　收货人不明或者收货人无正当理由拒绝受领货物的，承运人依法可以提存货物。</w:t>
      </w:r>
    </w:p>
    <w:p w14:paraId="3B07B8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第四节　多式联运合同</w:t>
      </w:r>
    </w:p>
    <w:p w14:paraId="3239A7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第八百三十八条　多式联运经营人负责履行或者组织履行多式联运合同，对全程运输享有承运人的权利，承担承运人的义务。</w:t>
      </w:r>
    </w:p>
    <w:p w14:paraId="68E724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第八百三十九条　多式联运经营人可以与参加多式联运的各区段承运人就多式联运合同的各区段运输约定相互之间的责任；但是，该约定不影响多式联运经营人对全程运输承担的义务。</w:t>
      </w:r>
    </w:p>
    <w:p w14:paraId="0667E2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第八百四十条　多式联运经营人收到托运人交付的货物时，应当签发多式联运单据。按照托运人的要求，多式联运单据可以是可转让单据，也可以是不可转让单据。</w:t>
      </w:r>
    </w:p>
    <w:p w14:paraId="5A7999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第八百四十一条　因托运人托运货物时的过错造成多式联运经营人损失的，即使托运人已经转让多式联运单据，托运人仍然应当承担赔偿责任。</w:t>
      </w:r>
    </w:p>
    <w:p w14:paraId="05F74A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第八百四十二条　货物的毁损、灭失发生于多式联运的某一运输区段的，多式联运经营人的赔偿责任和责任限额，适用调整该区段运输方式的有关法律规定；货物毁损、灭失发生的运输区段不能确定的，依照本章规定承担赔偿责任。</w:t>
      </w:r>
    </w:p>
    <w:p w14:paraId="7AEF8F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第二十章　技术合同</w:t>
      </w:r>
    </w:p>
    <w:p w14:paraId="536B2D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第一节　一般规定</w:t>
      </w:r>
    </w:p>
    <w:p w14:paraId="51B651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第八百四十三条　技术合同是当事人就技术开发、转让、许可、咨询或者服务订立的确立相互之间权利和义务的合同。</w:t>
      </w:r>
    </w:p>
    <w:p w14:paraId="5A6048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第八百四十四条　订立技术合同，应当有利于知识产权的保护和科学技术的进步，促进科学技术成果的研发、转化、应用和推广。</w:t>
      </w:r>
    </w:p>
    <w:p w14:paraId="3AD003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第八百四十五条　技术合同的内容一般包括项目的名称，标的</w:t>
      </w:r>
      <w:proofErr w:type="gramStart"/>
      <w:r>
        <w:rPr>
          <w:rFonts w:ascii="宋体" w:eastAsia="宋体" w:hAnsi="宋体" w:cs="宋体" w:hint="eastAsia"/>
          <w:sz w:val="24"/>
        </w:rPr>
        <w:t>的</w:t>
      </w:r>
      <w:proofErr w:type="gramEnd"/>
      <w:r>
        <w:rPr>
          <w:rFonts w:ascii="宋体" w:eastAsia="宋体" w:hAnsi="宋体" w:cs="宋体" w:hint="eastAsia"/>
          <w:sz w:val="24"/>
        </w:rPr>
        <w:t>内容、范围和要求，履行的计划、地点和方式，技术信息和资料的保密，技术成果的归属和收益的分配办法，验收标准和方法，名词和术语的解释等条款。</w:t>
      </w:r>
    </w:p>
    <w:p w14:paraId="5919FD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与履行合同有关的技术背景资料、可行性论证和技术评价报告、项目任务书和计划书、技术标准、技术规范、原始设计和工艺文件，以及其他技术文档，按照当事人的约定可以作为合同的组成部分。</w:t>
      </w:r>
    </w:p>
    <w:p w14:paraId="553040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技术合同涉及专利的，应当注明发明创造的名称、专利申请人和专利权人、申请日期、申请号、专利号以及专利权的有效期限。</w:t>
      </w:r>
    </w:p>
    <w:p w14:paraId="372B07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第八百四十六条　技术合同价款、报酬或者使用费的支付方式由当事人约定，可以采取一次总算、一次总付或者一次总算、分期支付，也可以采取提成支付或者提成支付附加预付入门费的方式。</w:t>
      </w:r>
    </w:p>
    <w:p w14:paraId="08DCAB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约定提成支付的，可以按照产品价格、实施专利和使用技术秘密后新增的产值、利润或者产品销售额的一定比例提成，也可以按照约定的其他方式计算。提成支付的比例可以采取固定比例、逐年递增比例或者逐年递减比例。</w:t>
      </w:r>
    </w:p>
    <w:p w14:paraId="149901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约定提成支付的，当事人可以约定查阅有关会计账目的办法。</w:t>
      </w:r>
    </w:p>
    <w:p w14:paraId="4CEAF2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第八百四十七条　职务技术成果的使用权、转让权属于法人或者非法人组织的，法人或者非法人组织可以就该项职务技术成果订立技术合同。法人或者非法人组织订立技术合同转让职务技术成果时，职务技术成果的完成人享有以同等条件优先受让的权利。</w:t>
      </w:r>
    </w:p>
    <w:p w14:paraId="6C57B5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职务技术成果是执行法人或者非法人组织的工作任务，或者主要是利用法人或者非法人组织的物质技术条件所完成的技术成果。</w:t>
      </w:r>
    </w:p>
    <w:p w14:paraId="7BD8F8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第八百四十八条　非职务技术成果的使用权、转让权属于完成技术成果的个人，完成技术成果的个人可以就该项非职务技术成果订立技术合同。</w:t>
      </w:r>
    </w:p>
    <w:p w14:paraId="4DBBC2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第八百四十九条　完成技术成果的个人享有在有关技术成果文件上写明自己是技术成果完成者的权利和取得荣誉证书、奖励的权利。</w:t>
      </w:r>
    </w:p>
    <w:p w14:paraId="3732B7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第八百五十条　非法垄断技术或者侵害他人技术成果的技术合同无效。</w:t>
      </w:r>
    </w:p>
    <w:p w14:paraId="2FBD21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技术开发合同</w:t>
      </w:r>
    </w:p>
    <w:p w14:paraId="05C265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第八百五十一条　技术开发合同是当事人之间就新技术、新产品、新工艺、新品种或者新材料及其系统的研究开发所订立的合同。</w:t>
      </w:r>
    </w:p>
    <w:p w14:paraId="0DC970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技术开发合同包括委托开发合同和合作开发合同。</w:t>
      </w:r>
    </w:p>
    <w:p w14:paraId="03F73D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技术开发合同应当采用书面形式。</w:t>
      </w:r>
    </w:p>
    <w:p w14:paraId="3EFD84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当事人之间就具有实用价值的科技成果实施转化订立的合同，参照适用技术开发合同的有关规定。</w:t>
      </w:r>
    </w:p>
    <w:p w14:paraId="1EDD6B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第八百五十二条　委托开发合同的委托人应当按照约定支付研究开发经费和报酬，提供技术资料，提出研究开发要求，完成协作事项，接受研究开发成果。</w:t>
      </w:r>
    </w:p>
    <w:p w14:paraId="2F80F0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第八百五十三条　委托开发合同的研究开发人应当按照约定制定和实施研究开发计划，合理使用研究开发经费，按期完成研究开发工作，交付研究开发成果，提供有关的技术资料和必要的技术指导，帮助委托人掌握研究开发成果。</w:t>
      </w:r>
    </w:p>
    <w:p w14:paraId="009672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第八百五十四条　委托开发合同的当事人违反约定造成研究开发工作停滞、延误或者失败的，应当承担违约责任。</w:t>
      </w:r>
    </w:p>
    <w:p w14:paraId="26BA48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第八百五十五条　合作开发合同的当事人应当按照约定进行投资，包括以技术进行投资，分工参与研究开发工作，协作配合研究开发工作。</w:t>
      </w:r>
    </w:p>
    <w:p w14:paraId="5379D8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第八百五十六条　合作开发合同的当事人违反约定造成研究开发工作停滞、延误或者失败的，应当承担违约责任。</w:t>
      </w:r>
    </w:p>
    <w:p w14:paraId="0477E1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第八百五十七条　作为技术开发合同标的</w:t>
      </w:r>
      <w:proofErr w:type="gramStart"/>
      <w:r>
        <w:rPr>
          <w:rFonts w:ascii="宋体" w:eastAsia="宋体" w:hAnsi="宋体" w:cs="宋体" w:hint="eastAsia"/>
          <w:sz w:val="24"/>
        </w:rPr>
        <w:t>的</w:t>
      </w:r>
      <w:proofErr w:type="gramEnd"/>
      <w:r>
        <w:rPr>
          <w:rFonts w:ascii="宋体" w:eastAsia="宋体" w:hAnsi="宋体" w:cs="宋体" w:hint="eastAsia"/>
          <w:sz w:val="24"/>
        </w:rPr>
        <w:t>技术已经由他人公开，致使技术开发合同的履行没有意义的，当事人可以解除合同。</w:t>
      </w:r>
    </w:p>
    <w:p w14:paraId="06223B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第八百五十八条　技术开发合同履行过程中，因出现无法克服的技术困难，致使研究开发失败或者部分失败的，该风险由当事人约定；没有约定或者约定不明确，依据本法第五百一十条的规定仍不能确定的，风险由当事人合理分担。</w:t>
      </w:r>
    </w:p>
    <w:p w14:paraId="6A4E9C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当事人一方发现前款规定的可能致使研究开发失败或者部分失败的情形时，应当及时通知另一方并采取适当措施减少损失；没有及时通知并采取适当措施，致使损失扩大的，应当就扩大的损失承担责任。</w:t>
      </w:r>
    </w:p>
    <w:p w14:paraId="64DC03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第八百五十九条　委托开发完成的发明创造，除法律另有规定或者当事人另有约定外，申请专利的权利属于研究开发人。研究开发人取得专利权的，委托人可以依法实施该专利。</w:t>
      </w:r>
    </w:p>
    <w:p w14:paraId="677DB5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研究开发人转让专利申请权的，委托人享有以同等条件优先受让的权利。</w:t>
      </w:r>
    </w:p>
    <w:p w14:paraId="5CA64E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第八百六十条　合作开发完成的发明创造，申请专利的权利属于合作开发的当事人共有；当事人一方转让其共有的专利申请权的，其他各方享有以同等条件优先受让的权利。但是，当事人另有约定的除外。</w:t>
      </w:r>
    </w:p>
    <w:p w14:paraId="732E87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合作开发的当事人一方声明放弃其共有的专利申请权的，除当事人另有约定外，可以由另一方单独申请或者由其他各方共同申请。申请人取得专利权的，放弃专利申请权的一方可以免费实施该专利。</w:t>
      </w:r>
    </w:p>
    <w:p w14:paraId="5B089C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合作开发的当事人一方不同意申请专利的，另一方或者其他各方不得申请专利。</w:t>
      </w:r>
    </w:p>
    <w:p w14:paraId="74797D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第八百六十一条　委托开发或者合作开发完成的技术秘密成果的使用权、转让权以及收益的分配办法，由当事人约定；没有约定或者约定不明确，依据本法第五百一十条的规定仍不能确定的，在没有相同技术方案被授予专利权前，当事人均有使用和转让的权利。但是，委托开发的研究开发人不得在向委托人交付研究开发成果之前，将研究开发成果转让给第三人。</w:t>
      </w:r>
    </w:p>
    <w:p w14:paraId="73D546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第三节　技术转让合同和技术许可合同</w:t>
      </w:r>
    </w:p>
    <w:p w14:paraId="57F231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第八百六十二条　技术转让合同是合法拥有技术的权利人，将现有特定的专利、专利申请、技术秘密的相关权利让与他人所订立的合同。</w:t>
      </w:r>
    </w:p>
    <w:p w14:paraId="016766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技术许可合同是合法拥有技术的权利人，将现有特定的专利、技术秘密的相关权利许可他人实施、使用所订立的合同。</w:t>
      </w:r>
    </w:p>
    <w:p w14:paraId="76C7A1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技术转让合同和技术许可合同中关于提供实施技术的专用设备、原材料或者提供有关的技术咨询、技术服务的约定，属于合同的组成部分。</w:t>
      </w:r>
    </w:p>
    <w:p w14:paraId="6378FA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第八百六十三条　技术转让合同包括专利权转让、专利申请权转让、技术秘密转让等合同。</w:t>
      </w:r>
    </w:p>
    <w:p w14:paraId="331CF9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技术许可合同包括专利实施许可、技术秘密使用许可等合同。</w:t>
      </w:r>
    </w:p>
    <w:p w14:paraId="79A4E8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技术转让合同和技术许可合同应当采用书面形式。</w:t>
      </w:r>
    </w:p>
    <w:p w14:paraId="46785C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第八百六十四条　技术转让合同和技术许可合同可以约定实施专利或者使用技术秘密的范围，但是不得限制技术竞争和技术发展。</w:t>
      </w:r>
    </w:p>
    <w:p w14:paraId="128096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第八百六十五条　专利实施许可合同仅在该专利权的存续期限内有效。专利权有效期限届满或者专利权被宣告无效的，专利权人不得就该专利与他人订立专利实施许可合同。</w:t>
      </w:r>
    </w:p>
    <w:p w14:paraId="6A16BE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第八百六十六条　专利实施许可合同的许可人应当按照约定许可被许可人实施专利，交付实施专利有关的技术资料，提供必要的技术指导。</w:t>
      </w:r>
    </w:p>
    <w:p w14:paraId="0590F0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第八百六十七条　专利实施许可合同的被许可人应当按照约定实施专利，不得许可约定以外的第三人实施该专利，并按照约定支付使用费。</w:t>
      </w:r>
    </w:p>
    <w:p w14:paraId="245580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第八百六十八条　技术秘密转让合同的让与人和技术秘密使用许可合同的许可人应当按照约定提供技术资料，进行技术指导，保证技术的实用性、可靠性，承担保密义务。</w:t>
      </w:r>
    </w:p>
    <w:p w14:paraId="7F3767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前款规定的保密义务，不限制许可人申请专利，但是当事人另有约定的除外。</w:t>
      </w:r>
    </w:p>
    <w:p w14:paraId="0B946C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第八百六十九条　技术秘密转让合同的受让人和技术秘密使用许可合同的被许可人应当按照约定使用技术，支付转让费、使用费，承担保密义务。</w:t>
      </w:r>
    </w:p>
    <w:p w14:paraId="5819CB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第八百七十条　技术转让合同的让与人和技术许可合同的许可人应当保证自己是所提供的技术的合法拥有者，并保证所提供的技术完整、无误、有效，能</w:t>
      </w:r>
      <w:r>
        <w:rPr>
          <w:rFonts w:ascii="宋体" w:eastAsia="宋体" w:hAnsi="宋体" w:cs="宋体" w:hint="eastAsia"/>
          <w:sz w:val="24"/>
        </w:rPr>
        <w:lastRenderedPageBreak/>
        <w:t>够达到约定的目标。</w:t>
      </w:r>
    </w:p>
    <w:p w14:paraId="7096CB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第八百七十一条　技术转让合同的受让人和技术许可合同的被许可人应当按照约定的范围和期限，对让与人、许可人提供的技术中尚未公开的秘密部分，承担保密义务。</w:t>
      </w:r>
    </w:p>
    <w:p w14:paraId="640281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第八百七十二条　许可人未按照约定许可技术的，应当返还部分或者全部使用费，并应当承担违约责任；实施专利或者使用技术秘密超越约定的范围的，违反约定擅自许可第三人实施该项专利或者使用该项技术秘密的，应当停止违约行为，承担违约责任；违反约定的保密义务的，应当承担违约责任。</w:t>
      </w:r>
    </w:p>
    <w:p w14:paraId="4F40F3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让与人承担违约责任，参照适用前款规定。</w:t>
      </w:r>
    </w:p>
    <w:p w14:paraId="09B9A3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第八百七十三条　被许可人未按照约定支付使用费的，应当补交使用费并按照约定支付违约金；不补交使用费或者支付违约金的，应当停止实施专利或者使用技术秘密，交还技术资料，承担违约责任；实施专利或者使用技术秘密超越约定的范围的，未经许可人同意擅自许可第三人实施该专利或者使用该技术秘密的，应当停止违约行为，承担违约责任；违反约定的保密义务的，应当承担违约责任。</w:t>
      </w:r>
    </w:p>
    <w:p w14:paraId="31B6B5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受让人承担违约责任，参照适用前款规定。</w:t>
      </w:r>
    </w:p>
    <w:p w14:paraId="494D29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第八百七十四条　受让人或者被许可人按照约定实施专利、使用技术秘密侵害他人合法权益的，由让与人或者许可人承担责任，但是当事人另有约定的除外。</w:t>
      </w:r>
    </w:p>
    <w:p w14:paraId="3037B2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第八百七十五条　当事人可以按照互利的原则，在合同中约定实施专利、使用技术秘密后续改进的技术成果的分享办法；没有约定或者约定不明确，依据本法第五百一十条的规定仍不能确定的，一方后续改进的技术成果，其他各方无权分享。</w:t>
      </w:r>
    </w:p>
    <w:p w14:paraId="63B8F5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第八百七十六条　集成电路布图设计专有权、植物新品种权、计算机软件著作权等其他知识产权的转让和许可，参照适用本节的有关规定。</w:t>
      </w:r>
    </w:p>
    <w:p w14:paraId="49B3D4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第八百七十七条　法律、行政法规对技术进出口合同或者专利、专利申请合同另有规定的，依照其规定。</w:t>
      </w:r>
    </w:p>
    <w:p w14:paraId="12FDD9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第四节　技术咨询合同和技术服务合同</w:t>
      </w:r>
    </w:p>
    <w:p w14:paraId="2F8A1D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第八百七十八条　技术咨询合同是当事人一方以技术知识为对方就特定技术项目提供可行性论证、技术预测、专题技术调查、分析评价报告等所订立的合同。</w:t>
      </w:r>
    </w:p>
    <w:p w14:paraId="60A65C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技术服务合同是当事人一方以技术知识为对方解决特定技术问题所订立的合同，不包括承揽合同和建设工程合同。</w:t>
      </w:r>
    </w:p>
    <w:p w14:paraId="69348D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第八百七十九条　技术咨询合同的委托人应当按照约定阐明咨询的问题，提供技术背景材料及有关技术资料，接受受托人的工作成果，支付报酬。</w:t>
      </w:r>
    </w:p>
    <w:p w14:paraId="201F81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第八百八十条　技术咨询合同的受托人应当按照约定的期限完成咨询报告或者解答问题，提出的咨询报告应当达到约定的要求。</w:t>
      </w:r>
    </w:p>
    <w:p w14:paraId="73BE84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第八百八十一条　技术咨询合同的委托人未按照约定提供必要的资料，影响工作进度和质量，不接受或者逾期接受工作成果的，支付的报酬不得追回，未支付的报酬应当支付。</w:t>
      </w:r>
    </w:p>
    <w:p w14:paraId="6EE8DE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技术咨询合同的受托人未按期提出咨询报告或者提出的咨询报告不符合约定的，应当承担减收或者免收报酬等违约责任。</w:t>
      </w:r>
    </w:p>
    <w:p w14:paraId="76B31B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技术咨询合同的委托人按照受托人符合约定要求的咨询报告和意见</w:t>
      </w:r>
      <w:proofErr w:type="gramStart"/>
      <w:r>
        <w:rPr>
          <w:rFonts w:ascii="宋体" w:eastAsia="宋体" w:hAnsi="宋体" w:cs="宋体" w:hint="eastAsia"/>
          <w:sz w:val="24"/>
        </w:rPr>
        <w:t>作出</w:t>
      </w:r>
      <w:proofErr w:type="gramEnd"/>
      <w:r>
        <w:rPr>
          <w:rFonts w:ascii="宋体" w:eastAsia="宋体" w:hAnsi="宋体" w:cs="宋体" w:hint="eastAsia"/>
          <w:sz w:val="24"/>
        </w:rPr>
        <w:t>决策所造成的损失，由委托人承担，但是当事人另有约定的除外。</w:t>
      </w:r>
    </w:p>
    <w:p w14:paraId="503CF9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第八百八十二条　技术服务合同的委托人应当按照约定提供工作条件，完成配合事项，接受工作成果并支付报酬。</w:t>
      </w:r>
    </w:p>
    <w:p w14:paraId="4E36F9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第八百八十三条　技术服务合同的受托人应当按照约定完成服务项目，解决技术问题，保证工作质量，并传授解决技术问题的知识。</w:t>
      </w:r>
    </w:p>
    <w:p w14:paraId="2DFEC9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第八百八十四条　技术服务合同的委托人不履行合同义务或者履行合同义务不符合约定，影响工作进度和质量，不接受或者逾期接受工作成果的，支付的报酬不得追回，未支付的报酬应当支付。</w:t>
      </w:r>
    </w:p>
    <w:p w14:paraId="2290FD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技术服务合同的受托人未按照约定完成服务工作的，应当承担免收报酬等违约责任。</w:t>
      </w:r>
    </w:p>
    <w:p w14:paraId="2F6BB8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第八百八十五条　技术咨询合同、技术服务合同履行过程中，受托人利用委</w:t>
      </w:r>
      <w:r>
        <w:rPr>
          <w:rFonts w:ascii="宋体" w:eastAsia="宋体" w:hAnsi="宋体" w:cs="宋体" w:hint="eastAsia"/>
          <w:sz w:val="24"/>
        </w:rPr>
        <w:lastRenderedPageBreak/>
        <w:t>托人提供的技术资料和工作条件完成的新的技术成果，属于受托人。委托人利用受托人的工作成果完成的新的技术成果，属于委托人。当事人另有约定的，按照其约定。</w:t>
      </w:r>
    </w:p>
    <w:p w14:paraId="529418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第八百八十六条　技术咨询合同和技术服务合同对受托人正常开展工作所需费用的负担没有约定或者约定不明确的，由受托人负担。</w:t>
      </w:r>
    </w:p>
    <w:p w14:paraId="168BE5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第八百八十七条　法律、行政法规对技术中介合同、技术培训合同另有规定的，依照其规定。</w:t>
      </w:r>
    </w:p>
    <w:p w14:paraId="100196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第二十一章　保管合同</w:t>
      </w:r>
    </w:p>
    <w:p w14:paraId="27F8D7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第八百八十八条　保管合同是保管人保管寄存人交付的保管物，并返还该物的合同。</w:t>
      </w:r>
    </w:p>
    <w:p w14:paraId="107F22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寄存人到保管人处从事购物、就餐、住宿等活动，将物品存放在指定场所的，视为保管，但是当事人另有约定或者另有交易习惯的除外。</w:t>
      </w:r>
    </w:p>
    <w:p w14:paraId="7861AF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第八百八十九条　寄存人应当按照约定向保管人支付保管费。</w:t>
      </w:r>
    </w:p>
    <w:p w14:paraId="569B34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当事人对保管费没有约定或者约定不明确，依据本法第五百一十条的规定仍不能确定的，视为无偿保管。</w:t>
      </w:r>
    </w:p>
    <w:p w14:paraId="1B43FA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第八百九十条　保管合同自保管物交付时成立，但是当事人另有约定的除外。</w:t>
      </w:r>
    </w:p>
    <w:p w14:paraId="19DF7C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第八百九十一条　寄存人向保管人交付保管物的，保管人应当出具保管凭证，但是另有交易习惯的除外。</w:t>
      </w:r>
    </w:p>
    <w:p w14:paraId="2DC8B8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第八百九十二条　保管人应当妥善保管保管物。</w:t>
      </w:r>
    </w:p>
    <w:p w14:paraId="085966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当事人可以约定保管场所或者方法。除紧急情况或者为维护寄存人利益外，不得擅自改变保管场所或者方法。</w:t>
      </w:r>
    </w:p>
    <w:p w14:paraId="68B767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第八百九十三条　寄存人交付的保管物有瑕疵或者根据保管物的性质需要采取特殊保管措施的，寄存人应当将有关情况告知保管人。寄存人未告知，致使保管物受损失的，保管人不承担赔偿责任；保管人因此受损失的，除保管人知道或者应当知道且未采取补救措施外，寄存人应当承担赔偿责任。</w:t>
      </w:r>
    </w:p>
    <w:p w14:paraId="5F1321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第八百九十四条　保管人不得将保管物转交第三人保管，但是当事人另有约定的除外。</w:t>
      </w:r>
    </w:p>
    <w:p w14:paraId="7C0406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保管人违反前款规定，将保管物转交第三人保管，造成保管物损失的，应当承担赔偿责任。</w:t>
      </w:r>
    </w:p>
    <w:p w14:paraId="41742E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第八百九十五条　保管人不得使用或者许可第三人使用保管物，但是当事人另有约定的除外。</w:t>
      </w:r>
    </w:p>
    <w:p w14:paraId="211B02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第八百九十六条　第三人对保管物主张权利的，除依法对保管物采取保全或者执行措施外，保管人应当履行向寄存人返还保管物的义务。</w:t>
      </w:r>
    </w:p>
    <w:p w14:paraId="244395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第三人对保管人提起诉讼或者对保管物申请扣押的，保管人应当及时通知寄存人。</w:t>
      </w:r>
    </w:p>
    <w:p w14:paraId="4FC174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第八百九十七条　保管期内，因保管人保管不善造成保管物毁损、灭失的，保管人应当承担赔偿责任。但是，无偿保管人证明自己没有故意或者重大过失的，不承担赔偿责任。</w:t>
      </w:r>
    </w:p>
    <w:p w14:paraId="4B9641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第八百九十八条　寄存人寄存货币、有价证券或者其他贵重物品的，应当向保管人声明，由保管人验收或者封存；寄存人未声明的，该物品毁损、灭失后，保管人可以按照一般物品予以赔偿。</w:t>
      </w:r>
    </w:p>
    <w:p w14:paraId="5E5B9B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第八百九十九条　寄存人可以随时领取保管物。</w:t>
      </w:r>
    </w:p>
    <w:p w14:paraId="7B675D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当事人对保管期限没有约定或者约定不明确的，保管人可以随时请求寄存人领取保管物；约定保管期限的，保管人无特别事由，不得请求寄存人提前领取保管物。</w:t>
      </w:r>
    </w:p>
    <w:p w14:paraId="4774FF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第九百条　保管期限届满或者寄存人提前领取保管物的，保管人应当将原物及其</w:t>
      </w:r>
      <w:proofErr w:type="gramStart"/>
      <w:r>
        <w:rPr>
          <w:rFonts w:ascii="宋体" w:eastAsia="宋体" w:hAnsi="宋体" w:cs="宋体" w:hint="eastAsia"/>
          <w:sz w:val="24"/>
        </w:rPr>
        <w:t>孳</w:t>
      </w:r>
      <w:proofErr w:type="gramEnd"/>
      <w:r>
        <w:rPr>
          <w:rFonts w:ascii="宋体" w:eastAsia="宋体" w:hAnsi="宋体" w:cs="宋体" w:hint="eastAsia"/>
          <w:sz w:val="24"/>
        </w:rPr>
        <w:t>息归还寄存人。</w:t>
      </w:r>
    </w:p>
    <w:p w14:paraId="6E7F13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第九百零一条　保管人保管货币的，可以返还相同种类、数量的货币；保管其他可替代物的，可以按照约定返还相同种类、品质、数量的物品。</w:t>
      </w:r>
    </w:p>
    <w:p w14:paraId="1C201E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第九百零二条　有偿的保管合同，寄存人应当按照约定的期限向保管人支付保管费。</w:t>
      </w:r>
    </w:p>
    <w:p w14:paraId="174DD4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当事人对支付期限没有约定或者约定不明确，依据本法第五百一十条的规定仍不能确定的，应当在领取保管物的同时支付。</w:t>
      </w:r>
    </w:p>
    <w:p w14:paraId="1FE919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第九百零三条　寄存人未按照约定支付保管费或者其他费用的，保管人对保管物享有留置权，但是当事人另有约定的除外。</w:t>
      </w:r>
    </w:p>
    <w:p w14:paraId="4C8644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第二十二章　仓储合同</w:t>
      </w:r>
    </w:p>
    <w:p w14:paraId="55EDED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第九百零四条　仓储合同是保管人储存存货人交付的仓储物，存货人支付仓储费的合同。</w:t>
      </w:r>
    </w:p>
    <w:p w14:paraId="23C609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第九百零五条　仓储合同自保管人和存货人意思表示一致时成立。</w:t>
      </w:r>
    </w:p>
    <w:p w14:paraId="7F6978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第九百零六条　储存易燃、易爆、有毒、有腐蚀性、有放射性等危险物品或者易变质物品的，存货人应当说明该物品的性质，提供有关资料。</w:t>
      </w:r>
    </w:p>
    <w:p w14:paraId="0C45B5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存货人违反前款规定的，保管人可以拒收仓储物，也可以采取相应措施以避免损失的发生，因此产生的费用由存货人负担。</w:t>
      </w:r>
    </w:p>
    <w:p w14:paraId="695DF4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保管人储存易燃、易爆、有毒、有腐蚀性、有放射性等危险物品的，应当具备相应的保管条件。</w:t>
      </w:r>
    </w:p>
    <w:p w14:paraId="548B64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第九百零七条　保管人应当按照约定对入库仓储物进行验收。保管人验收时发现入库仓储物与约定不符合的，应当及时通知存货人。保管人验收后，发生仓储物的品种、数量、质量不符合约定的，保管人应当承担赔偿责任。</w:t>
      </w:r>
    </w:p>
    <w:p w14:paraId="02A9A1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第九百零八条　存货人交付仓储物的，保管人应当出具仓单、入库单等凭证。</w:t>
      </w:r>
    </w:p>
    <w:p w14:paraId="409BA6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第九百零九条　保管人应当在仓单上签名或者盖章。仓单包括下列事项：</w:t>
      </w:r>
    </w:p>
    <w:p w14:paraId="2E4AD5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（一）存货人的姓名或者名称和住所；</w:t>
      </w:r>
    </w:p>
    <w:p w14:paraId="07F8B5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（二）仓储物的品种、数量、质量、包装及其件数和标记；</w:t>
      </w:r>
    </w:p>
    <w:p w14:paraId="6B5A80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（三）仓储物的损耗标准；</w:t>
      </w:r>
    </w:p>
    <w:p w14:paraId="09F8D0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（四）储存场所；</w:t>
      </w:r>
    </w:p>
    <w:p w14:paraId="296E55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（五）储存期限；</w:t>
      </w:r>
    </w:p>
    <w:p w14:paraId="08C5CA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（六）仓储费；</w:t>
      </w:r>
    </w:p>
    <w:p w14:paraId="270305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（七）仓储物已经办理保险的，其保险金额、期间以及保险人的名称；</w:t>
      </w:r>
    </w:p>
    <w:p w14:paraId="39E59B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（八）填发人、填发地和填发日期。</w:t>
      </w:r>
    </w:p>
    <w:p w14:paraId="389E11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第九百一十条　仓单是提取仓储物的凭证。存货人或者仓单持有人在仓单上背书并经保管人签名或者盖章的，可以转让提取仓储物的权利。</w:t>
      </w:r>
    </w:p>
    <w:p w14:paraId="2319E3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第九百一十一条　保管人根据存货人或者仓单持有人的要求，应当同意其检查仓储物或者提取样品。</w:t>
      </w:r>
    </w:p>
    <w:p w14:paraId="332F3B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第九百一十二条　保管人发现入库仓储物有变质或者其他损坏的，应当及时通知存货人或者仓单持有人。</w:t>
      </w:r>
    </w:p>
    <w:p w14:paraId="35FD36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第九百一十三条　保管人发现入库仓储物有变质或者其他损坏，危及其他仓储物的安全和正常保管的，应当催告存货人或者仓单持有人</w:t>
      </w:r>
      <w:proofErr w:type="gramStart"/>
      <w:r>
        <w:rPr>
          <w:rFonts w:ascii="宋体" w:eastAsia="宋体" w:hAnsi="宋体" w:cs="宋体" w:hint="eastAsia"/>
          <w:sz w:val="24"/>
        </w:rPr>
        <w:t>作出</w:t>
      </w:r>
      <w:proofErr w:type="gramEnd"/>
      <w:r>
        <w:rPr>
          <w:rFonts w:ascii="宋体" w:eastAsia="宋体" w:hAnsi="宋体" w:cs="宋体" w:hint="eastAsia"/>
          <w:sz w:val="24"/>
        </w:rPr>
        <w:t>必要的处置。因情况紧急，保管人可以</w:t>
      </w:r>
      <w:proofErr w:type="gramStart"/>
      <w:r>
        <w:rPr>
          <w:rFonts w:ascii="宋体" w:eastAsia="宋体" w:hAnsi="宋体" w:cs="宋体" w:hint="eastAsia"/>
          <w:sz w:val="24"/>
        </w:rPr>
        <w:t>作出</w:t>
      </w:r>
      <w:proofErr w:type="gramEnd"/>
      <w:r>
        <w:rPr>
          <w:rFonts w:ascii="宋体" w:eastAsia="宋体" w:hAnsi="宋体" w:cs="宋体" w:hint="eastAsia"/>
          <w:sz w:val="24"/>
        </w:rPr>
        <w:t>必要的处置；但是，事后应当将该情况及时通知存货人或者仓单持有人。</w:t>
      </w:r>
    </w:p>
    <w:p w14:paraId="4E2116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第九百一十四条　当事人对储存期限没有约定或者约定不明确的，存货人或者仓单持有人可以随时提取仓储物，保管人也可以随时请求存货人或者仓单持有人提取仓储物，但是应当给予必要的准备时间。</w:t>
      </w:r>
    </w:p>
    <w:p w14:paraId="6660A8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第九百一十五条　储存期限届满，存货人或者仓单持有人应当凭仓单、入库单等提取仓储物。存货人或者仓单持有人逾期提取的，应当加收仓储费；提前提取的，</w:t>
      </w:r>
      <w:proofErr w:type="gramStart"/>
      <w:r>
        <w:rPr>
          <w:rFonts w:ascii="宋体" w:eastAsia="宋体" w:hAnsi="宋体" w:cs="宋体" w:hint="eastAsia"/>
          <w:sz w:val="24"/>
        </w:rPr>
        <w:t>不</w:t>
      </w:r>
      <w:proofErr w:type="gramEnd"/>
      <w:r>
        <w:rPr>
          <w:rFonts w:ascii="宋体" w:eastAsia="宋体" w:hAnsi="宋体" w:cs="宋体" w:hint="eastAsia"/>
          <w:sz w:val="24"/>
        </w:rPr>
        <w:t>减收仓储费。</w:t>
      </w:r>
    </w:p>
    <w:p w14:paraId="251C5A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第九百一十六条　储存期限届满，存货人或者仓单持有人不提取仓储物的，保管人可以催告其在合理期限内提取；逾期不提取的，保管人可以提存仓储物。</w:t>
      </w:r>
    </w:p>
    <w:p w14:paraId="4BD582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第九百一十七条　储存期内，因保管不善造成仓储物毁损、灭失的，保管人应当承担赔偿责任。因仓储物本身的自然性质、包装不符合约定或者超过有效储存期造成仓储物变质、损坏的，保管人不承担赔偿责任。</w:t>
      </w:r>
    </w:p>
    <w:p w14:paraId="58F1FE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第九百一十八条　本章没有规定的，适用保管合同的有关规定。</w:t>
      </w:r>
    </w:p>
    <w:p w14:paraId="56AA4D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第二十三章　委托合同</w:t>
      </w:r>
    </w:p>
    <w:p w14:paraId="5E765D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第九百一十九条　委托合同是委托人和受托人约定，由受托人处理委托人事务的合同。</w:t>
      </w:r>
    </w:p>
    <w:p w14:paraId="7DEDD6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第九百二十条　委托人可以特别委托受托人处理一项或者数项事务，也可以概括委托受托人处理一切事务。</w:t>
      </w:r>
    </w:p>
    <w:p w14:paraId="2850DF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第九百二十一条　委托人应当预付处理委托事务的费用。受托人为处理委托事务垫付的必要费用，委托人应当偿还该费用并支付利息。</w:t>
      </w:r>
    </w:p>
    <w:p w14:paraId="418B83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第九百二十二条　受托人应当按照委托人的指示处理委托事务。需要变更委托人指示的，应当经委托人同意；因情况紧急，难以和委托人取得联系的，受托人应当妥善处理委托事务，但是事后应当将该情况及时报告委托人。</w:t>
      </w:r>
    </w:p>
    <w:p w14:paraId="204068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第九百二十三条　受托人应当亲自处理委托事务。经委托人同意，受托人可以转委托。转委托经同意或者追认的，委托人可以就委托事务直接指示转委托的第三人，受托人仅就第三人的选任及其对第三人的指示承担责任。转委托未经同意或者追认的，受托人应当对转委托的第三人的行为承担责任；但是，在紧急情况下受托人为了维护委托人的利益需要转委托第三人的除外。</w:t>
      </w:r>
    </w:p>
    <w:p w14:paraId="61F85C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第九百二十四条　受托人应当按照委托人的要求，报告委托事务的处理情况。委托合同终止时，受托人应当报告委托事务的结果。</w:t>
      </w:r>
    </w:p>
    <w:p w14:paraId="100D85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第九百二十五条　受托人以自己的名义，在委托人的授权范围内与第三人订立的合同，第三人在订立合同时知道受托人与委托人之间的代理关系的，该合同直接约束委托人和第三人；但是，有确切证据证明该合同只约束受托人和第三人的除外。</w:t>
      </w:r>
    </w:p>
    <w:p w14:paraId="71B84C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第九百二十六条　受托人以自己的名义与第三人订立合同时，第三人不知道受托人与委托人之间的代理关系的，受托人因第三人的原因对委托人不履行义务，受托人应当向委托人披露第三人，委托人因此可以行使受托人对第三人的权利。但是，第三人与受托人订立合同时如果知道该委托人就不会订立合同的除外。</w:t>
      </w:r>
    </w:p>
    <w:p w14:paraId="464B6A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受托人因委托人的原因对第三人不履行义务，受托人应当向第三人披露委托</w:t>
      </w:r>
      <w:r>
        <w:rPr>
          <w:rFonts w:ascii="宋体" w:eastAsia="宋体" w:hAnsi="宋体" w:cs="宋体" w:hint="eastAsia"/>
          <w:sz w:val="24"/>
        </w:rPr>
        <w:lastRenderedPageBreak/>
        <w:t>人，第三人因此可以选择受托人或者委托人作为相对人主张其权利，但是第三人不得变更选定的相对人。</w:t>
      </w:r>
    </w:p>
    <w:p w14:paraId="56544F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委托人行使受托人对第三人的权利的，第三人可以向委托人主张其对受托人的抗辩。第三人选定委托人作为其相对人的，委托人可以向第三人主张其对受托人的抗辩以及受托人对第三人的抗辩。</w:t>
      </w:r>
    </w:p>
    <w:p w14:paraId="7B8B96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第九百二十七条　受托人处理委托事务取得的财产，应当转交给委托人。</w:t>
      </w:r>
    </w:p>
    <w:p w14:paraId="352651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第九百二十八条　受托人完成委托事务的，委托人应当按照约定向其支付报酬。</w:t>
      </w:r>
    </w:p>
    <w:p w14:paraId="1A1B34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因不可归责于受托人的事由，委托合同解除或者委托事务不能完成的，委托人应当向受托人支付相应的报酬。当事人另有约定的，按照其约定。</w:t>
      </w:r>
    </w:p>
    <w:p w14:paraId="20A6CA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第九百二十九条　有偿的委托合同，因受托人的过错造成委托人损失的，委托人可以请求赔偿损失。无偿的委托合同，因受托人的故意或者重大过失造成委托人损失的，委托人可以请求赔偿损失。</w:t>
      </w:r>
    </w:p>
    <w:p w14:paraId="39B37C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受托人超越权限造成委托人损失的，应当赔偿损失。</w:t>
      </w:r>
    </w:p>
    <w:p w14:paraId="35CC3D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第九百三十条　受托人处理委托事务时，因不可归责于自己的事由受到损失的，可以向委托人请求赔偿损失。</w:t>
      </w:r>
    </w:p>
    <w:p w14:paraId="7754DB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第九百三十一条　委托人经受托人同意，可以在受托人之外委托第三人处理委托事务。因此造成受托人损失的，受托人可以向委托人请求赔偿损失。</w:t>
      </w:r>
    </w:p>
    <w:p w14:paraId="0D64F9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第九百三十二条　两个以上的受托人共同处理委托事务的，对委托人承担连带责任。</w:t>
      </w:r>
    </w:p>
    <w:p w14:paraId="75C7C4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第九百三十三条　委托人或者受托人可以随时解除委托合同。因解除合同造成对方损失的，除不可归责于该当事人的事由外，无偿委托合同的解除方应当赔偿因解除时间不当造成的直接损失，有偿委托合同的解除方应当赔偿对方的直接损失和合同履行后可以获得的利益。</w:t>
      </w:r>
    </w:p>
    <w:p w14:paraId="0BC01C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第九百三十四条　委托人死亡、终止或者受托人死亡、丧失民事行为能力、终止的，委托合同终止；但是，当事人另有约定或者根据委托事务的性质不宜终</w:t>
      </w:r>
      <w:r>
        <w:rPr>
          <w:rFonts w:ascii="宋体" w:eastAsia="宋体" w:hAnsi="宋体" w:cs="宋体" w:hint="eastAsia"/>
          <w:sz w:val="24"/>
        </w:rPr>
        <w:lastRenderedPageBreak/>
        <w:t>止的除外。</w:t>
      </w:r>
    </w:p>
    <w:p w14:paraId="640C41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第九百三十五条　因委托人死亡或者被宣告破产、解散，致使委托合同终止将损害委托人利益的，在委托人的继承人、遗产管理人或者清算人承受委托事务之前，受托人应当继续处理委托事务。</w:t>
      </w:r>
    </w:p>
    <w:p w14:paraId="452E04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第九百三十六条　因受托人死亡、丧失民事行为能力或者被宣告破产、解散，致使委托合同终止的，受托人的继承人、遗产管理人、法定代理人或者清算人应当及时通知委托人。因委托合同终止将损害委托人利益的，在委托人</w:t>
      </w:r>
      <w:proofErr w:type="gramStart"/>
      <w:r>
        <w:rPr>
          <w:rFonts w:ascii="宋体" w:eastAsia="宋体" w:hAnsi="宋体" w:cs="宋体" w:hint="eastAsia"/>
          <w:sz w:val="24"/>
        </w:rPr>
        <w:t>作出</w:t>
      </w:r>
      <w:proofErr w:type="gramEnd"/>
      <w:r>
        <w:rPr>
          <w:rFonts w:ascii="宋体" w:eastAsia="宋体" w:hAnsi="宋体" w:cs="宋体" w:hint="eastAsia"/>
          <w:sz w:val="24"/>
        </w:rPr>
        <w:t>善后处理之前，受托人的继承人、遗产管理人、法定代理人或者清算人应当采取必要措施。</w:t>
      </w:r>
    </w:p>
    <w:p w14:paraId="11647E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第二十四章　物业服务合同</w:t>
      </w:r>
    </w:p>
    <w:p w14:paraId="57609F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第九百三十七条　物业服务合同是物业服务人在物业服务区域内，为业主提供建筑物及其附属设施的维修养护、环境卫生和相关秩序的管理维护等物业服务，业主支付</w:t>
      </w:r>
      <w:proofErr w:type="gramStart"/>
      <w:r>
        <w:rPr>
          <w:rFonts w:ascii="宋体" w:eastAsia="宋体" w:hAnsi="宋体" w:cs="宋体" w:hint="eastAsia"/>
          <w:sz w:val="24"/>
        </w:rPr>
        <w:t>物业费</w:t>
      </w:r>
      <w:proofErr w:type="gramEnd"/>
      <w:r>
        <w:rPr>
          <w:rFonts w:ascii="宋体" w:eastAsia="宋体" w:hAnsi="宋体" w:cs="宋体" w:hint="eastAsia"/>
          <w:sz w:val="24"/>
        </w:rPr>
        <w:t>的合同。</w:t>
      </w:r>
    </w:p>
    <w:p w14:paraId="30D265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物业服务人包括物业服务企业和其他管理人。</w:t>
      </w:r>
    </w:p>
    <w:p w14:paraId="129783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第九百三十八条　物业服务合同的内容一般包括服务事项、服务质量、服务费用的标准和收取办法、维修资金的使用、服务用房的管理和使用、服务期限、服务交接等条款。</w:t>
      </w:r>
    </w:p>
    <w:p w14:paraId="599990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物业服务人公开</w:t>
      </w:r>
      <w:proofErr w:type="gramStart"/>
      <w:r>
        <w:rPr>
          <w:rFonts w:ascii="宋体" w:eastAsia="宋体" w:hAnsi="宋体" w:cs="宋体" w:hint="eastAsia"/>
          <w:sz w:val="24"/>
        </w:rPr>
        <w:t>作出</w:t>
      </w:r>
      <w:proofErr w:type="gramEnd"/>
      <w:r>
        <w:rPr>
          <w:rFonts w:ascii="宋体" w:eastAsia="宋体" w:hAnsi="宋体" w:cs="宋体" w:hint="eastAsia"/>
          <w:sz w:val="24"/>
        </w:rPr>
        <w:t>的有利于业主的服务承诺，为物业服务合同的组成部分。</w:t>
      </w:r>
    </w:p>
    <w:p w14:paraId="735A24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物业服务合同应当采用书面形式。</w:t>
      </w:r>
    </w:p>
    <w:p w14:paraId="643EB4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第九百三十九条　建设单位依法与物业服务人订立的前期物业服务合同，以及业主委员会与业主大会依法选聘的物业服务人订立的物业服务合同，对业主具有法律约束力。</w:t>
      </w:r>
    </w:p>
    <w:p w14:paraId="54ADEB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第九百四十条　建设单位依法与物业服务人订立的前期物业服务合同约定的服务期限届满前，业主委员会或者业主与新物业服务人订立的物业服务合同生效的，前期物业服务合同终止。</w:t>
      </w:r>
    </w:p>
    <w:p w14:paraId="2F2092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第九百四十一条　物业服务人将物业服务区域内的部分专项服务事项委托</w:t>
      </w:r>
      <w:r>
        <w:rPr>
          <w:rFonts w:ascii="宋体" w:eastAsia="宋体" w:hAnsi="宋体" w:cs="宋体" w:hint="eastAsia"/>
          <w:sz w:val="24"/>
        </w:rPr>
        <w:lastRenderedPageBreak/>
        <w:t>给专业性服务组织或者</w:t>
      </w:r>
      <w:proofErr w:type="gramStart"/>
      <w:r>
        <w:rPr>
          <w:rFonts w:ascii="宋体" w:eastAsia="宋体" w:hAnsi="宋体" w:cs="宋体" w:hint="eastAsia"/>
          <w:sz w:val="24"/>
        </w:rPr>
        <w:t>其他第三</w:t>
      </w:r>
      <w:proofErr w:type="gramEnd"/>
      <w:r>
        <w:rPr>
          <w:rFonts w:ascii="宋体" w:eastAsia="宋体" w:hAnsi="宋体" w:cs="宋体" w:hint="eastAsia"/>
          <w:sz w:val="24"/>
        </w:rPr>
        <w:t>人的，应当就该部分专项服务事项向业主负责。</w:t>
      </w:r>
    </w:p>
    <w:p w14:paraId="0FA2B9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物业服务人不得将其应当提供的全部物业服务转委托给第三人，或者将全部物业服务支解后分别转委托给第三人。</w:t>
      </w:r>
    </w:p>
    <w:p w14:paraId="70AECB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第九百四十二条　物业服务人应当按照约定和物业的使用性质，妥善维修、养护、清洁、绿化和经营管理物业服务区域内的业主共有部分，维护物业服务区域内的基本秩序，采取合理措施保护业主的人身、财产安全。</w:t>
      </w:r>
    </w:p>
    <w:p w14:paraId="7CB290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对物业服务区域内违反有关治安、环保、消防等法律法规的行为，物业服务人应当及时采取合理措施制止、向有关行政主管部门报告并协助处理。</w:t>
      </w:r>
    </w:p>
    <w:p w14:paraId="696C68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第九百四十三条　物业服务人应当定期将服务的事项、负责人员、质量要求、收费项目、收费标准、履行情况，以及维修资金使用情况、业主共有部分的经营与收益情况等以合理方式向业主公开并向业主大会、业主委员会报告。</w:t>
      </w:r>
    </w:p>
    <w:p w14:paraId="7EE60E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第九百四十四条　业主应当按照约定向物业服务人支付物业费。物业服务人已经按照约定和有关规定提供服务的，业主不得以未接受或者无需接受相关物业服务为由拒绝支付物业费。</w:t>
      </w:r>
    </w:p>
    <w:p w14:paraId="5AB4B7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业主违反约定逾期不支付</w:t>
      </w:r>
      <w:proofErr w:type="gramStart"/>
      <w:r>
        <w:rPr>
          <w:rFonts w:ascii="宋体" w:eastAsia="宋体" w:hAnsi="宋体" w:cs="宋体" w:hint="eastAsia"/>
          <w:sz w:val="24"/>
        </w:rPr>
        <w:t>物业费</w:t>
      </w:r>
      <w:proofErr w:type="gramEnd"/>
      <w:r>
        <w:rPr>
          <w:rFonts w:ascii="宋体" w:eastAsia="宋体" w:hAnsi="宋体" w:cs="宋体" w:hint="eastAsia"/>
          <w:sz w:val="24"/>
        </w:rPr>
        <w:t>的，物业服务人可以催告其在合理期限内支付；合理期限届满仍不支付的，物业服务人可以提起诉讼或者申请仲裁。</w:t>
      </w:r>
    </w:p>
    <w:p w14:paraId="61E025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物业服务人不得采取停止供电、供水、供热、供燃气等方式催交物业费。</w:t>
      </w:r>
    </w:p>
    <w:p w14:paraId="6EFA32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第九百四十五条　业主装饰装修房屋的，应当事先告知物业服务人，遵守物业服务人提示的合理注意事项，并配合其进行必要的现场检查。</w:t>
      </w:r>
    </w:p>
    <w:p w14:paraId="0F77C1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业主转让、出租物业专有部分、设立居住权或者依法改变共有部分用途的，应当及时将相关情况告知物业服务人。</w:t>
      </w:r>
    </w:p>
    <w:p w14:paraId="005038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第九百四十六条　业主依照法定程序共同决定解聘物业服务人的，可以解除物业服务合同。决定解聘的，应当提前六十日书面通知物业服务人，但是合同对通知期限另有约定的除外。</w:t>
      </w:r>
    </w:p>
    <w:p w14:paraId="20A261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依据前款规定解除合同造成物业服务人损失的，除不可归责于业主的事由外，业主应当赔偿损失。</w:t>
      </w:r>
    </w:p>
    <w:p w14:paraId="1091EE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第九百四十七条　物业服务期限届满前，业主依法共同决定续聘的，应当与原物业服务人在合同期限届满前续订物业服务合同。</w:t>
      </w:r>
    </w:p>
    <w:p w14:paraId="497D2C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物业服务期限届满前，物业服务人不同意续聘的，应当在合同期限届满前九十日书面通知业主或者业主委员会，但是合同对通知期限另有约定的除外。</w:t>
      </w:r>
    </w:p>
    <w:p w14:paraId="621FF3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第九百四十八条　物业服务期限届满后，业主没有依法</w:t>
      </w:r>
      <w:proofErr w:type="gramStart"/>
      <w:r>
        <w:rPr>
          <w:rFonts w:ascii="宋体" w:eastAsia="宋体" w:hAnsi="宋体" w:cs="宋体" w:hint="eastAsia"/>
          <w:sz w:val="24"/>
        </w:rPr>
        <w:t>作出</w:t>
      </w:r>
      <w:proofErr w:type="gramEnd"/>
      <w:r>
        <w:rPr>
          <w:rFonts w:ascii="宋体" w:eastAsia="宋体" w:hAnsi="宋体" w:cs="宋体" w:hint="eastAsia"/>
          <w:sz w:val="24"/>
        </w:rPr>
        <w:t>续聘或者另聘物业服务人的决定，物业服务人继续提供物业服务的，原物业服务合同继续有效，但是服务期限为不定期。</w:t>
      </w:r>
    </w:p>
    <w:p w14:paraId="7ECB66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当事人可以随时解除不定期物业服务合同，但是应当提前六十日书面通知对方。</w:t>
      </w:r>
    </w:p>
    <w:p w14:paraId="5C1FBA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第九百四十九条　物业服务合同终止的，原物业服务人应当在约定期限或者合理期限内退出物业服务区域，将物业服务用房、相关设施、物业服务所必需的相关资料等交还给业主委员会、决定自行管理的业主或者其指定的人，配合新物业服务人做好交接工作，并如实告知物业的使用和管理状况。</w:t>
      </w:r>
    </w:p>
    <w:p w14:paraId="483E46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原物业服务人违反前款规定的，不得请求业主支付物业服务合同终止后的物业费；造成业主损失的，应当赔偿损失。</w:t>
      </w:r>
    </w:p>
    <w:p w14:paraId="1832C4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第九百五十条　物业服务合同终止后，在业主或者业主大会选聘的新物业服务人或者决定自行管理的业主接管之前，原物业服务人应当继续处理物业服务事项，并可以请求业主支付该期间的物业费。</w:t>
      </w:r>
    </w:p>
    <w:p w14:paraId="6EB16E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第二十五章　行纪合同</w:t>
      </w:r>
    </w:p>
    <w:p w14:paraId="27DCC2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第九百五十一条　行纪合同是行纪人以自己的名义为委托人从事贸易活动，委托人支付报酬的合同。</w:t>
      </w:r>
    </w:p>
    <w:p w14:paraId="5B1B1E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第九百五十二条　行纪人处理委托事务支出的费用，由行纪人负担，但是当事人另有约定的除外。</w:t>
      </w:r>
    </w:p>
    <w:p w14:paraId="3A7FEE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第九百五十三条　行纪人占有委托物的，应当妥善保管委托物。</w:t>
      </w:r>
    </w:p>
    <w:p w14:paraId="58E7DF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第九百五十四条　委托物交付给行纪人时有瑕疵或者容易腐烂、变质的，经委托人同意，行纪人可以处分该物；不能与委托人及时取得联系的，行纪人可以</w:t>
      </w:r>
      <w:r>
        <w:rPr>
          <w:rFonts w:ascii="宋体" w:eastAsia="宋体" w:hAnsi="宋体" w:cs="宋体" w:hint="eastAsia"/>
          <w:sz w:val="24"/>
        </w:rPr>
        <w:lastRenderedPageBreak/>
        <w:t>合理处分。</w:t>
      </w:r>
    </w:p>
    <w:p w14:paraId="528414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第九百五十五条　行纪人低于委托人指定的价格卖出或者高于委托人指定的价格买入的，应当经委托人同意；未经委托人同意，行纪人补偿其差额的，该买卖对委托人发生效力。</w:t>
      </w:r>
    </w:p>
    <w:p w14:paraId="300301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行纪人高于委托人指定的价格卖出或者低于委托人指定的价格买入的，可以按照约定增加报酬；没有约定或者约定不明确，依据本法第五百一十条的规定仍不能确定的，该利益属于委托人。</w:t>
      </w:r>
    </w:p>
    <w:p w14:paraId="7E5316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委托人对价格有特别指示的，行纪人不得违背该指示卖出或者买入。</w:t>
      </w:r>
    </w:p>
    <w:p w14:paraId="549676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第九百五十六条　行纪人卖出或者买入具有市场定价的商品，除委托人有相反的意思表示外，行纪人自己可以作为买受人或者出卖人。</w:t>
      </w:r>
    </w:p>
    <w:p w14:paraId="2B5659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行纪人有前款规定情形的，仍然可以请求委托人支付报酬。</w:t>
      </w:r>
    </w:p>
    <w:p w14:paraId="2ABED9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第九百五十七条　行纪人按照约定买入委托物，委托人应当及时受领。经行纪人催告，委托人无正当理由拒绝受领的，行纪人依法可以提存委托物。</w:t>
      </w:r>
    </w:p>
    <w:p w14:paraId="76A4EB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委托物不能卖出或者委托人撤回出卖，经行纪人催告，委托人</w:t>
      </w:r>
      <w:proofErr w:type="gramStart"/>
      <w:r>
        <w:rPr>
          <w:rFonts w:ascii="宋体" w:eastAsia="宋体" w:hAnsi="宋体" w:cs="宋体" w:hint="eastAsia"/>
          <w:sz w:val="24"/>
        </w:rPr>
        <w:t>不</w:t>
      </w:r>
      <w:proofErr w:type="gramEnd"/>
      <w:r>
        <w:rPr>
          <w:rFonts w:ascii="宋体" w:eastAsia="宋体" w:hAnsi="宋体" w:cs="宋体" w:hint="eastAsia"/>
          <w:sz w:val="24"/>
        </w:rPr>
        <w:t>取回或者不处分该物的，行纪人依法可以提存委托物。</w:t>
      </w:r>
    </w:p>
    <w:p w14:paraId="2FF2E6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第九百五十八条　行纪人与第三人订立合同的，行纪人对该合同直接享有权利、承担义务。</w:t>
      </w:r>
    </w:p>
    <w:p w14:paraId="148675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第三人不履行义务致使委托人受到损害的，行纪人应当承担赔偿责任，但是行纪人与委托人另有约定的除外。</w:t>
      </w:r>
    </w:p>
    <w:p w14:paraId="055FF0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第九百五十九条　行纪人完成或者部分完成委托事务的，委托人应当向其支付相应的报酬。委托人逾期不支付报酬的，行纪人对委托物享有留置权，但是当事人另有约定的除外。</w:t>
      </w:r>
    </w:p>
    <w:p w14:paraId="4C9105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第九百六十条　本章没有规定的，参照适用委托合同的有关规定。</w:t>
      </w:r>
    </w:p>
    <w:p w14:paraId="729DD2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第二十六章　中介合同</w:t>
      </w:r>
    </w:p>
    <w:p w14:paraId="2BB2C3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第九百六十一条　中介合同是中介人向委托人报告订立合同的机会或者提</w:t>
      </w:r>
      <w:r>
        <w:rPr>
          <w:rFonts w:ascii="宋体" w:eastAsia="宋体" w:hAnsi="宋体" w:cs="宋体" w:hint="eastAsia"/>
          <w:sz w:val="24"/>
        </w:rPr>
        <w:lastRenderedPageBreak/>
        <w:t>供订立合同的媒介服务，委托人支付报酬的合同。</w:t>
      </w:r>
    </w:p>
    <w:p w14:paraId="040D0A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第九百六十二条　中介人应当就有关订立合同的事项向委托人如实报告。</w:t>
      </w:r>
    </w:p>
    <w:p w14:paraId="034752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中介人故意隐瞒与订立合同有关的重要事实或者提供虚假情况，损害委托人利益的，不得请求支付报酬并应当承担赔偿责任。</w:t>
      </w:r>
    </w:p>
    <w:p w14:paraId="62222D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第九百六十三条　中介人促成合同成立的，委托人应当按照约定支付报酬。对中介人的报酬没有约定或者约定不明确，依据本法第五百一十条的规定仍不能确定的，根据中介人的劳务合理确定。因中介人提供订立合同的媒介服务而促成合同成立的，由该合同的当事人平均负担中介人的报酬。</w:t>
      </w:r>
    </w:p>
    <w:p w14:paraId="542F13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中介人促成合同成立的，中介活动的费用，由中介人负担。</w:t>
      </w:r>
    </w:p>
    <w:p w14:paraId="2D0F9E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第九百六十四条　中介人未促成合同成立的，不得请求支付报酬；但是，可以按照约定请求委托人支付从事中介活动支出的必要费用。</w:t>
      </w:r>
    </w:p>
    <w:p w14:paraId="4B3372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第九百六十五条　委托人在接受中介人的服务后，利用中介人提供的交易机会或者媒介服务，绕开中介人直接订立合同的，应当向中介人支付报酬。</w:t>
      </w:r>
    </w:p>
    <w:p w14:paraId="0FCE79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第九百六十六条　本章没有规定的，参照适用委托合同的有关规定。</w:t>
      </w:r>
    </w:p>
    <w:p w14:paraId="7F1407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第二十七章　合伙合同</w:t>
      </w:r>
    </w:p>
    <w:p w14:paraId="3E7899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第九百六十七条　合伙合同是两个以上合伙人为了共同的事业目的，订立的共享利益、共担风险的协议。</w:t>
      </w:r>
    </w:p>
    <w:p w14:paraId="33B108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第九百六十八条　合伙人应当按照约定的出资方式、数额和缴付期限，履行出资义务。</w:t>
      </w:r>
    </w:p>
    <w:p w14:paraId="299DAF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第九百六十九条　合伙人的出资、因合伙事务依法取得的收益和其他财产，属于合伙财产。</w:t>
      </w:r>
    </w:p>
    <w:p w14:paraId="21500F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合伙合同终止前，合伙人不得请求分割合伙财产。</w:t>
      </w:r>
    </w:p>
    <w:p w14:paraId="17786C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第九百七十条　合伙人就合伙事务</w:t>
      </w:r>
      <w:proofErr w:type="gramStart"/>
      <w:r>
        <w:rPr>
          <w:rFonts w:ascii="宋体" w:eastAsia="宋体" w:hAnsi="宋体" w:cs="宋体" w:hint="eastAsia"/>
          <w:sz w:val="24"/>
        </w:rPr>
        <w:t>作出</w:t>
      </w:r>
      <w:proofErr w:type="gramEnd"/>
      <w:r>
        <w:rPr>
          <w:rFonts w:ascii="宋体" w:eastAsia="宋体" w:hAnsi="宋体" w:cs="宋体" w:hint="eastAsia"/>
          <w:sz w:val="24"/>
        </w:rPr>
        <w:t>决定的，除合伙合同另有约定外，应当经全体合伙人一致同意。</w:t>
      </w:r>
    </w:p>
    <w:p w14:paraId="01EBFA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合伙事务由全体合伙人共同执行。按照合伙合同的约定或者全体合伙人的决</w:t>
      </w:r>
      <w:r>
        <w:rPr>
          <w:rFonts w:ascii="宋体" w:eastAsia="宋体" w:hAnsi="宋体" w:cs="宋体" w:hint="eastAsia"/>
          <w:sz w:val="24"/>
        </w:rPr>
        <w:lastRenderedPageBreak/>
        <w:t>定，可以委托一个或者数个合伙人执行合伙事务；其他合伙人不再执行合伙事务，但是有权监督执行情况。</w:t>
      </w:r>
    </w:p>
    <w:p w14:paraId="55086C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合伙人分别执行合伙事务的，执行事务合伙人可以对其他合伙人执行的事务提出异议；提出异议后，其他合伙人应当暂停该项事务的执行。</w:t>
      </w:r>
    </w:p>
    <w:p w14:paraId="3F3B9F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第九百七十一条　合伙人不得因执行合伙事务而请求支付报酬，但是合伙合同另有约定的除外。</w:t>
      </w:r>
    </w:p>
    <w:p w14:paraId="6D5FE1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第九百七十二条　合伙的利润分配和亏损分担，按照合伙合同的约定办理；合伙合同没有约定或者约定不明确的，由合伙人协商决定；协商不成的，由合伙人按照实</w:t>
      </w:r>
      <w:proofErr w:type="gramStart"/>
      <w:r>
        <w:rPr>
          <w:rFonts w:ascii="宋体" w:eastAsia="宋体" w:hAnsi="宋体" w:cs="宋体" w:hint="eastAsia"/>
          <w:sz w:val="24"/>
        </w:rPr>
        <w:t>缴</w:t>
      </w:r>
      <w:proofErr w:type="gramEnd"/>
      <w:r>
        <w:rPr>
          <w:rFonts w:ascii="宋体" w:eastAsia="宋体" w:hAnsi="宋体" w:cs="宋体" w:hint="eastAsia"/>
          <w:sz w:val="24"/>
        </w:rPr>
        <w:t>出资比例分配、分担；无法确定出资比例的，由合伙人平均分配、分担。</w:t>
      </w:r>
    </w:p>
    <w:p w14:paraId="1260A1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第九百七十三条　合伙人对合伙债务承担连带责任。清偿合伙债务超过自己应当承担份额的合伙人，有权向其他合伙人追偿。</w:t>
      </w:r>
    </w:p>
    <w:p w14:paraId="2019EF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第九百七十四条　除合伙合同另有约定外，合伙人向合伙人以外的人转让其全部或者部分财产份额的，须经其他合伙人一致同意。</w:t>
      </w:r>
    </w:p>
    <w:p w14:paraId="1E040A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第九百七十五条　合伙人的债权人不得代位行使合伙人依照本章规定和合伙合同享有的权利，但是合伙人享有的利益分配请求权除外。</w:t>
      </w:r>
    </w:p>
    <w:p w14:paraId="1C04AD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第九百七十六条　合伙人对合伙期限没有约定或者约定不明确，依据本法第五百一十条的规定仍不能确定的，视为不定期合伙。</w:t>
      </w:r>
    </w:p>
    <w:p w14:paraId="7A77BC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合伙期限届满，合伙人继续执行合伙事务，其他合伙人没有提出异议的，原合伙合同继续有效，但是合伙期限为不定期。</w:t>
      </w:r>
    </w:p>
    <w:p w14:paraId="5E7641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合伙人可以随时解除不定期合伙合同，但是应当在合理期限之前通知其他合伙人。</w:t>
      </w:r>
    </w:p>
    <w:p w14:paraId="79B4D7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第九百七十七条　合伙人死亡、丧失民事行为能力或者终止的，合伙合同终止；但是，合伙合同另有约定或者根据合伙事务的性质不宜终止的除外。</w:t>
      </w:r>
    </w:p>
    <w:p w14:paraId="29C40A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第九百七十八条　合伙合同终止后，合伙财产在支付因终止而产生的费用以及清偿合伙债务后有剩余的，依据本法第九百七十二条的规定进行分配。</w:t>
      </w:r>
    </w:p>
    <w:p w14:paraId="60CD0E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第三分编　准合同</w:t>
      </w:r>
    </w:p>
    <w:p w14:paraId="35BC04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第二十八章　无因管理</w:t>
      </w:r>
    </w:p>
    <w:p w14:paraId="09164A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第九百七十九条　管理人没有法定的或者约定的义务，为避免他人利益受损失而管理他人事务的，可以请求受益人偿还因管理事务而支出的必要费用；管理人因管理事务受到损失的，可以请求受益人给予适当补偿。</w:t>
      </w:r>
    </w:p>
    <w:p w14:paraId="3737A5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管理事务不符合受益人真实意思的，管理人不享有前款规定的权利；但是，受益人的真实意思违反法律或者违背公序良俗的除外。</w:t>
      </w:r>
    </w:p>
    <w:p w14:paraId="6CDA86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第九百八十条　管理人管理事务不属于前条规定的情形，但是受益人享有管理利益的，受益人应当在其获得的利益范围内向管理人承担前条第一款规定的义务。</w:t>
      </w:r>
    </w:p>
    <w:p w14:paraId="165E3B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第九百八十一条　管理人管理他人事务，应当采取有利于受益人的方法。中断管理对受益人不利的，无正当理由不得中断。</w:t>
      </w:r>
    </w:p>
    <w:p w14:paraId="3826BB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第九百八十二条　管理人管理他人事务，能够通知受益人的，应当及时通知受益人。管理的事务不需要紧急处理的，应当等待受益人的指示。</w:t>
      </w:r>
    </w:p>
    <w:p w14:paraId="410217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第九百八十三条　管理结束后，管理人应当向受益人报告管理事务的情况。管理人管理事务取得的财产，应当及时转交给受益人。</w:t>
      </w:r>
    </w:p>
    <w:p w14:paraId="0844D5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第九百八十四条　管理人管理事务经受益人事后追认的，从管理事务开始时起，适用委托合同的有关规定，但是管理人另有意思表示的除外。</w:t>
      </w:r>
    </w:p>
    <w:p w14:paraId="53B19C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第二十九章　不当得利</w:t>
      </w:r>
    </w:p>
    <w:p w14:paraId="5FD531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第九百八十五条　得利人没有法律根据取得不当利益的，受损失的人可以请求得利人返还取得的利益，但是有下列情形之一的除外：</w:t>
      </w:r>
    </w:p>
    <w:p w14:paraId="10DCD2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（一）为履行道德义务进行的给付；</w:t>
      </w:r>
    </w:p>
    <w:p w14:paraId="02747A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（二）债务到期之前的清偿；</w:t>
      </w:r>
    </w:p>
    <w:p w14:paraId="498B3D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（三）明知无给付义务而进行的债务清偿。</w:t>
      </w:r>
    </w:p>
    <w:p w14:paraId="7DCA58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第九百八十六条　得利人不知道且不应当知道取得的利益没有法律根据，取</w:t>
      </w:r>
      <w:r>
        <w:rPr>
          <w:rFonts w:ascii="宋体" w:eastAsia="宋体" w:hAnsi="宋体" w:cs="宋体" w:hint="eastAsia"/>
          <w:sz w:val="24"/>
        </w:rPr>
        <w:lastRenderedPageBreak/>
        <w:t>得的利益已经不存在的，不承担返还该利益的义务。</w:t>
      </w:r>
    </w:p>
    <w:p w14:paraId="56B566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第九百八十七条　得利人知道或者应当知道取得的利益没有法律根据的，受损失的人可以请求得利人返还其取得的利益并依法赔偿损失。</w:t>
      </w:r>
    </w:p>
    <w:p w14:paraId="082C3D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第九百八十八条　得利人已经将取得的利益无偿转让给第三人的，受损失的人可以请求第三人在相应范围内承担返还义务。</w:t>
      </w:r>
    </w:p>
    <w:p w14:paraId="243AE2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第四编　人格权</w:t>
      </w:r>
    </w:p>
    <w:p w14:paraId="020532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一般规定</w:t>
      </w:r>
    </w:p>
    <w:p w14:paraId="1C6096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第九百八十九条　本编调整因人格权的享有和保护产生的民事关系。</w:t>
      </w:r>
    </w:p>
    <w:p w14:paraId="40785C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第九百九十条　人格权是民事主体享有的生命权、身体权、健康权、姓名权、名称权、肖像权、名誉权、荣誉权、隐私权等权利。</w:t>
      </w:r>
    </w:p>
    <w:p w14:paraId="647A9C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除前款规定的人格权外，自然人享有基于人身自由、人格尊严产生的其他人格权益。</w:t>
      </w:r>
    </w:p>
    <w:p w14:paraId="4ED34E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第九百九十一条　民事主体的人格权受法律保护，任何组织或者个人不得侵害。</w:t>
      </w:r>
    </w:p>
    <w:p w14:paraId="1B8754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第九百九十二条　人格权不得放弃、转让或者继承。</w:t>
      </w:r>
    </w:p>
    <w:p w14:paraId="31C0B4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第九百九十三条　民事主体可以将自己的姓名、名称、肖像等许可他人使用，但是依照法律规定或者根据其性质不得许可的除外。</w:t>
      </w:r>
    </w:p>
    <w:p w14:paraId="48DE0B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第九百九十四条　死者的姓名、肖像、名誉、荣誉、隐私、遗体等受到侵害的，其配偶、子女、父母有权依法请求行为人承担民事责任；死者没有配偶、子女</w:t>
      </w:r>
      <w:proofErr w:type="gramStart"/>
      <w:r>
        <w:rPr>
          <w:rFonts w:ascii="宋体" w:eastAsia="宋体" w:hAnsi="宋体" w:cs="宋体" w:hint="eastAsia"/>
          <w:sz w:val="24"/>
        </w:rPr>
        <w:t>且父母</w:t>
      </w:r>
      <w:proofErr w:type="gramEnd"/>
      <w:r>
        <w:rPr>
          <w:rFonts w:ascii="宋体" w:eastAsia="宋体" w:hAnsi="宋体" w:cs="宋体" w:hint="eastAsia"/>
          <w:sz w:val="24"/>
        </w:rPr>
        <w:t>已经死亡的，其他近亲属有权依法请求行为人承担民事责任。</w:t>
      </w:r>
    </w:p>
    <w:p w14:paraId="09701C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第九百九十五条　人格权受到侵害的，受害人有权依照本法和其他法律的规定请求行为人承担民事责任。受害人的停止侵害、排除妨碍、消除危险、消除影响、恢复名誉、赔礼道歉请求权，不适用诉讼时效的规定。</w:t>
      </w:r>
    </w:p>
    <w:p w14:paraId="2D13F9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第九百九十六条　因当事人一方的违约行为，损害对方人格权并造成严重精神损害，受损害方选择请求其承担违约责任的，不影响受损害方请求精神损害赔</w:t>
      </w:r>
      <w:r>
        <w:rPr>
          <w:rFonts w:ascii="宋体" w:eastAsia="宋体" w:hAnsi="宋体" w:cs="宋体" w:hint="eastAsia"/>
          <w:sz w:val="24"/>
        </w:rPr>
        <w:lastRenderedPageBreak/>
        <w:t>偿。</w:t>
      </w:r>
    </w:p>
    <w:p w14:paraId="7258D3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第九百九十七条　民事主体有证据证明行为人正在实施或者即将实施侵害其人格权的违法行为，不及时制止将使其合法权益受到难以弥补的损害的，有权依法向人民法院申请采取责令行为人停止有关行为的措施。</w:t>
      </w:r>
    </w:p>
    <w:p w14:paraId="54B255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第九百九十八条　认定行为人承担侵害</w:t>
      </w:r>
      <w:proofErr w:type="gramStart"/>
      <w:r>
        <w:rPr>
          <w:rFonts w:ascii="宋体" w:eastAsia="宋体" w:hAnsi="宋体" w:cs="宋体" w:hint="eastAsia"/>
          <w:sz w:val="24"/>
        </w:rPr>
        <w:t>除生命</w:t>
      </w:r>
      <w:proofErr w:type="gramEnd"/>
      <w:r>
        <w:rPr>
          <w:rFonts w:ascii="宋体" w:eastAsia="宋体" w:hAnsi="宋体" w:cs="宋体" w:hint="eastAsia"/>
          <w:sz w:val="24"/>
        </w:rPr>
        <w:t>权、身体权和健康权外的人格权的民事责任，应当考虑行为人和受害人的职业、影响范围、过错程度，以及行为的目的、方式、后果等因素。</w:t>
      </w:r>
    </w:p>
    <w:p w14:paraId="589670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第九百九十九条　为公共利益实施新闻报道、舆论监督等行为的，可以合理使用民事主体的姓名、名称、肖像、个人信息等；使用不合理侵害民事主体人格权的，应当依法承担民事责任。</w:t>
      </w:r>
    </w:p>
    <w:p w14:paraId="1E58B3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第一千条　行为人因侵害人格</w:t>
      </w:r>
      <w:proofErr w:type="gramStart"/>
      <w:r>
        <w:rPr>
          <w:rFonts w:ascii="宋体" w:eastAsia="宋体" w:hAnsi="宋体" w:cs="宋体" w:hint="eastAsia"/>
          <w:sz w:val="24"/>
        </w:rPr>
        <w:t>权承担</w:t>
      </w:r>
      <w:proofErr w:type="gramEnd"/>
      <w:r>
        <w:rPr>
          <w:rFonts w:ascii="宋体" w:eastAsia="宋体" w:hAnsi="宋体" w:cs="宋体" w:hint="eastAsia"/>
          <w:sz w:val="24"/>
        </w:rPr>
        <w:t>消除影响、恢复名誉、赔礼道歉等民事责任的，应当与行为的具体方式和造成的影响范围相当。</w:t>
      </w:r>
    </w:p>
    <w:p w14:paraId="4BF685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行为人拒不承担前款规定的民事责任的，人民法院可以采取在报刊、网络等媒体上发布公告或者公布生效裁判文书等方式执行，产生的费用由行为人负担。</w:t>
      </w:r>
    </w:p>
    <w:p w14:paraId="4B5C46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第一千零一条　对自然人因婚姻家庭关系等产生的身份权利的保护，适用本法第一编、第五编和其他法律的相关规定；没有规定的，可以根据其性质参照适用本编人格权保护的有关规定。</w:t>
      </w:r>
    </w:p>
    <w:p w14:paraId="2E0F4E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生命权、身体权和健康权</w:t>
      </w:r>
    </w:p>
    <w:p w14:paraId="1C3823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第一千零二条　自然人享有生命权。自然人的生命安全和生命尊严受法律保护。任何组织或者个人不得侵害他人的生命权。</w:t>
      </w:r>
    </w:p>
    <w:p w14:paraId="30B383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第一千零三条　自然人享有身体权。自然人的身体完整和行动自由受法律保护。任何组织或者个人不得侵害他人的身体权。</w:t>
      </w:r>
    </w:p>
    <w:p w14:paraId="71C413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第一千零四条　自然人享有健康权。自然人的身心健康受法律保护。任何组织或者个人不得侵害他人的健康权。</w:t>
      </w:r>
    </w:p>
    <w:p w14:paraId="0A2657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第一千零五条　自然人的生命权、身体权、健康权受到侵害或者处于其他危难情形的，负有法定救助义务的组织或者个人应当及时施救。</w:t>
      </w:r>
    </w:p>
    <w:p w14:paraId="7BF20F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第一千零六条　完全民事行为能力人有权依法自主决定无偿捐献其人体细胞、人体组织、人体器官、遗体。任何组织或者个人不得强迫、欺骗、利诱其捐献。</w:t>
      </w:r>
    </w:p>
    <w:p w14:paraId="105532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完全民事行为能力人依据前款规定同意捐献的，应当采用书面形式，也可以订立遗嘱。</w:t>
      </w:r>
    </w:p>
    <w:p w14:paraId="2F7372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自然人生前未表示不同意捐献的，该自然人死亡后，其配偶、成年子女、父母可以共同决定捐献，决定捐献应当采用书面形式。</w:t>
      </w:r>
    </w:p>
    <w:p w14:paraId="7AF94C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第一千零七条　禁止以任何形式买卖人体细胞、人体组织、人体器官、遗体。</w:t>
      </w:r>
    </w:p>
    <w:p w14:paraId="490953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违反前款规定的买卖行为无效。</w:t>
      </w:r>
    </w:p>
    <w:p w14:paraId="05D163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第一千零八条　为研制新药、医疗器械或者发展新的预防和治疗方法，需要进行临床试验的，应当依法经相关主管部门批准并经伦理委员会审查同意，向受试者或者受试者的监护人告知试验目的、用途和可能产生的风险等详细情况，并经其书面同意。</w:t>
      </w:r>
    </w:p>
    <w:p w14:paraId="4CE3BB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进行临床试验的，不得向受试者收取试验费用。</w:t>
      </w:r>
    </w:p>
    <w:p w14:paraId="57A219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第一千零九条　从事与人体基因、人体胚胎等有关的医学和科研活动，应当遵守法律、行政法规和国家有关规定，不得危害人体健康，不得违背伦理道德，不得损害公共利益。</w:t>
      </w:r>
    </w:p>
    <w:p w14:paraId="00B0BA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第一千零一十条　违背他人意愿，以言语、文字、图像、肢体行为等方式对他人实施性骚扰的，受害人有权依法请求行为人承担民事责任。</w:t>
      </w:r>
    </w:p>
    <w:p w14:paraId="16EC7D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机关、企业、学校等单位应当采取合理的预防、受理投诉、调查处置等措施，防止和制止利用职权、从属关系等实施性骚扰。</w:t>
      </w:r>
    </w:p>
    <w:p w14:paraId="09A4EC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第一千零一十一条　以非法拘禁等方式剥夺、限制他人的行动自由，或者非法搜查他人身体的，受害人有权依法请求行为人承担民事责任。</w:t>
      </w:r>
    </w:p>
    <w:p w14:paraId="16FF0F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姓名权和名称权</w:t>
      </w:r>
    </w:p>
    <w:p w14:paraId="521328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第一千零一十二条　自然人享有姓名权，有权依法决定、使用、变更或者许</w:t>
      </w:r>
      <w:r>
        <w:rPr>
          <w:rFonts w:ascii="宋体" w:eastAsia="宋体" w:hAnsi="宋体" w:cs="宋体" w:hint="eastAsia"/>
          <w:sz w:val="24"/>
        </w:rPr>
        <w:lastRenderedPageBreak/>
        <w:t>可他人使用自己的姓名，但是不得违背公序良俗。</w:t>
      </w:r>
    </w:p>
    <w:p w14:paraId="43F3F2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第一千零一十三条　法人、非法人组织享有名称权，有权依法决定、使用、变更、转让或者许可他人使用自己的名称。</w:t>
      </w:r>
    </w:p>
    <w:p w14:paraId="00ABA3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第一千零一十四条　任何组织或者个人不得以干涉、盗用、假冒等方式侵害他人的姓名权或者名称权。</w:t>
      </w:r>
    </w:p>
    <w:p w14:paraId="53A273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第一千零一十五条　自然人应当随父姓或者母姓，但是有下列情形之一的，可以在父姓和母姓之外选取姓氏：</w:t>
      </w:r>
    </w:p>
    <w:p w14:paraId="1A46A6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（一）选取其他直系长辈血亲的姓氏；</w:t>
      </w:r>
    </w:p>
    <w:p w14:paraId="235CA9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（二）因由法定扶养人以外的人扶养而选取扶养人姓氏；</w:t>
      </w:r>
    </w:p>
    <w:p w14:paraId="34DF3B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（三）有不违背公序良俗的其他正当理由。</w:t>
      </w:r>
    </w:p>
    <w:p w14:paraId="72EC8A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少数民族自然人的姓氏可以遵从本民族的文化传统和风俗习惯。</w:t>
      </w:r>
    </w:p>
    <w:p w14:paraId="779A7E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第一千零一十六条　自然人决定、变更姓名，或者法人、非法人组织决定、变更、转让名称的，应当依法向有关机关办理登记手续，但是法律另有规定的除外。</w:t>
      </w:r>
    </w:p>
    <w:p w14:paraId="7CF16E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民事主体变更姓名、名称的，变更前实施的民事法律行为对其具有法律约束力。</w:t>
      </w:r>
    </w:p>
    <w:p w14:paraId="5529CA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第一千零一十七条　具有一定社会知名度，被他人使用足以造成公众混淆的笔名、艺名、网名、译名、字号、姓名和名称的简称等，参照适用姓名权和名称权保护的有关规定。</w:t>
      </w:r>
    </w:p>
    <w:p w14:paraId="3F4841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肖像权</w:t>
      </w:r>
    </w:p>
    <w:p w14:paraId="51F518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第一千零一十八条　自然人享有肖像权，有权依法制作、使用、公开或者许可他人使用自己的肖像。</w:t>
      </w:r>
    </w:p>
    <w:p w14:paraId="42AEFD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肖像是通过影像、雕塑、绘画等方式在一定载体上所反映的特定自然人可以被识别的外部形象。</w:t>
      </w:r>
    </w:p>
    <w:p w14:paraId="4E40EE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第一千零一十九条　任何组织或者个人不得以丑化、污损，或者利用信息技</w:t>
      </w:r>
      <w:r>
        <w:rPr>
          <w:rFonts w:ascii="宋体" w:eastAsia="宋体" w:hAnsi="宋体" w:cs="宋体" w:hint="eastAsia"/>
          <w:sz w:val="24"/>
        </w:rPr>
        <w:lastRenderedPageBreak/>
        <w:t>术手段伪造等方式侵害他人的肖像权。未经肖像权人同意，不得制作、使用、公开肖像权人的肖像，但是法律另有规定的除外。</w:t>
      </w:r>
    </w:p>
    <w:p w14:paraId="2BFA14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未经肖像权人同意，肖像作品权利人不得以发表、复制、发行、出租、展览等方式使用或者公开肖像权人的肖像。</w:t>
      </w:r>
    </w:p>
    <w:p w14:paraId="33E076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第一千零二十条　合理实施下列行为的，可以不经肖像权人同意：</w:t>
      </w:r>
    </w:p>
    <w:p w14:paraId="452AA6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（一）为个人学习、艺术欣赏、课堂教学或者科学研究，在必要范围内使用肖像权人已经公开的肖像；</w:t>
      </w:r>
    </w:p>
    <w:p w14:paraId="1037FF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（二）为实施新闻报道，不可避免地制作、使用、公开肖像权人的肖像；</w:t>
      </w:r>
    </w:p>
    <w:p w14:paraId="4F4BD1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（三）为依法履行职责，国家机关在必要范围内制作、使用、公开肖像权人的肖像；</w:t>
      </w:r>
    </w:p>
    <w:p w14:paraId="2AC312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（四）为展示特定公共环境，不可避免地制作、使用、公开肖像权人的肖像；</w:t>
      </w:r>
    </w:p>
    <w:p w14:paraId="18B238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（五）为维护公共利益或者肖像权人合法权益，制作、使用、公开肖像权人的肖像的其他行为。</w:t>
      </w:r>
    </w:p>
    <w:p w14:paraId="0821B8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第一千零二十一条　当事人对肖像许可使用合同中关于肖像使用条款的理解有争议的，应当</w:t>
      </w:r>
      <w:proofErr w:type="gramStart"/>
      <w:r>
        <w:rPr>
          <w:rFonts w:ascii="宋体" w:eastAsia="宋体" w:hAnsi="宋体" w:cs="宋体" w:hint="eastAsia"/>
          <w:sz w:val="24"/>
        </w:rPr>
        <w:t>作出</w:t>
      </w:r>
      <w:proofErr w:type="gramEnd"/>
      <w:r>
        <w:rPr>
          <w:rFonts w:ascii="宋体" w:eastAsia="宋体" w:hAnsi="宋体" w:cs="宋体" w:hint="eastAsia"/>
          <w:sz w:val="24"/>
        </w:rPr>
        <w:t>有利于肖像权人的解释。</w:t>
      </w:r>
    </w:p>
    <w:p w14:paraId="10A4F3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第一千零二十二条　当事人对肖像许可使用期限没有约定或者约定不明确的，任何一方当事人可以随时解除肖像许可使用合同，但是应当在合理期限之前通知对方。</w:t>
      </w:r>
    </w:p>
    <w:p w14:paraId="232696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当事人对肖像许可使用期限有明确约定，肖像权人有正当理由的，可以解除肖像许可使用合同，但是应当在合理期限之前通知对方。因解除合同造成对方损失的，除不可归责于肖像权人的事由外，应当赔偿损失。</w:t>
      </w:r>
    </w:p>
    <w:p w14:paraId="1A5E65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第一千零二十三条　对姓名等的许可使用，参照适用肖像许可使用的有关规定。</w:t>
      </w:r>
    </w:p>
    <w:p w14:paraId="325845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对自然人声音的保护，参照适用肖像权保护的有关规定。</w:t>
      </w:r>
    </w:p>
    <w:p w14:paraId="7F6556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名誉权和荣誉权</w:t>
      </w:r>
    </w:p>
    <w:p w14:paraId="6DADC9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第一千零二十四条　民事主体享有名誉权。任何组织或者个人不得以侮辱、诽谤等方式侵害他人的名誉权。</w:t>
      </w:r>
    </w:p>
    <w:p w14:paraId="3F1A1B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名誉是对民事主体的品德、声望、才能、信用等的社会评价。</w:t>
      </w:r>
    </w:p>
    <w:p w14:paraId="67AE87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第一千零二十五条　行为人为公共利益实施新闻报道、舆论监督等行为，影响他人名誉的，不承担民事责任，但是有下列情形之一的除外：</w:t>
      </w:r>
    </w:p>
    <w:p w14:paraId="2D8F28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（一）捏造、歪曲事实；</w:t>
      </w:r>
    </w:p>
    <w:p w14:paraId="6816B1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（二）对他人提供的严重失实内容未尽到合理核实义务；</w:t>
      </w:r>
    </w:p>
    <w:p w14:paraId="499A11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（三）使用侮辱性言辞等贬损他人名誉。</w:t>
      </w:r>
    </w:p>
    <w:p w14:paraId="3693D4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第一千零二十六条　认定行为人是否尽到前条第二项规定的合理核实义务，应当考虑下列因素：</w:t>
      </w:r>
    </w:p>
    <w:p w14:paraId="604786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（一）内容来源的可信度；</w:t>
      </w:r>
    </w:p>
    <w:p w14:paraId="32F326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（二）对明显可能引发争议的内容是否进行了必要的调查；</w:t>
      </w:r>
    </w:p>
    <w:p w14:paraId="350FE8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（三）内容的时限性；</w:t>
      </w:r>
    </w:p>
    <w:p w14:paraId="3E4BE3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（四）内容与公序良俗的关联性；</w:t>
      </w:r>
    </w:p>
    <w:p w14:paraId="0055A4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（五）受害人名誉受贬损的可能性；</w:t>
      </w:r>
    </w:p>
    <w:p w14:paraId="708788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（六）核实能力和核实成本。</w:t>
      </w:r>
    </w:p>
    <w:p w14:paraId="1A93D9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第一千零二十七条　行为人发表的文学、艺术作品以真人真事或者特定人为描述对象，含有侮辱、诽谤内容，侵害他人名誉权的，受害人有权依法请求该行为人承担民事责任。</w:t>
      </w:r>
    </w:p>
    <w:p w14:paraId="35042F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行为人发表的文学、艺术作品不以特定人为描述对象，仅其中的情节与该特定人的情况相似的，不承担民事责任。</w:t>
      </w:r>
    </w:p>
    <w:p w14:paraId="7C9FE5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第一千零二十八条　民事主体有证据证明报刊、网络等媒体报道的内容失实，侵害其名誉权的，有权请求该媒体及时采取更正或者删除等必要措施。</w:t>
      </w:r>
    </w:p>
    <w:p w14:paraId="1D2B6D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第一千零二十九条　民事主体可以依法查询自己的信用评价；发现信用评价</w:t>
      </w:r>
      <w:r>
        <w:rPr>
          <w:rFonts w:ascii="宋体" w:eastAsia="宋体" w:hAnsi="宋体" w:cs="宋体" w:hint="eastAsia"/>
          <w:sz w:val="24"/>
        </w:rPr>
        <w:lastRenderedPageBreak/>
        <w:t>不当的，有权提出异议并请求采取更正、删除等必要措施。信用评价人应当及时核查，经核查属实的，应当及时采取必要措施。</w:t>
      </w:r>
    </w:p>
    <w:p w14:paraId="261DFE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第一千零三十条　民事主体与征信机构等信用信息处理者之间的关系，适用本编有关个人信息保护的规定和其他法律、行政法规的有关规定。</w:t>
      </w:r>
    </w:p>
    <w:p w14:paraId="67BCEE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第一千零三十一条　民事主体享有荣誉权。任何组织或者个人不得非法剥夺他人的荣誉称号，不得诋毁、贬损他人的荣誉。</w:t>
      </w:r>
    </w:p>
    <w:p w14:paraId="561B4F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获得的荣誉称号应当记载而没有记载的，民事主体可以请求记载；获得的荣誉称号记载错误的，民事主体可以请求更正。</w:t>
      </w:r>
    </w:p>
    <w:p w14:paraId="70B4D1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隐私权和个人信息保护</w:t>
      </w:r>
    </w:p>
    <w:p w14:paraId="63DA1B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第一千零三十二条　自然人享有隐私权。任何组织或者个人不得以刺探、侵扰、泄露、公开等方式侵害他人的隐私权。</w:t>
      </w:r>
    </w:p>
    <w:p w14:paraId="4158F3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隐私是自然人的私人生活安宁和不愿为他人知晓的私密空间、私密活动、私密信息。</w:t>
      </w:r>
    </w:p>
    <w:p w14:paraId="0C7A27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第一千零三十三条　除法律另有规定或者权利人明确同意外，任何组织或者个人不得实施下列行为：</w:t>
      </w:r>
    </w:p>
    <w:p w14:paraId="454302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（一）以电话、短信、即时通讯工具、电子邮件、传单等方式侵扰他人的私人生活安宁；</w:t>
      </w:r>
    </w:p>
    <w:p w14:paraId="36B84C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（二）进入、拍摄、窥视他人的住宅、宾馆房间等私密空间；</w:t>
      </w:r>
    </w:p>
    <w:p w14:paraId="574B3D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（三）拍摄、窥视、窃听、公开他人的私密活动；</w:t>
      </w:r>
    </w:p>
    <w:p w14:paraId="7C8EFD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（四）拍摄、窥视他人身体的私密部位；</w:t>
      </w:r>
    </w:p>
    <w:p w14:paraId="14B02A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（五）处理他人的私密信息；</w:t>
      </w:r>
    </w:p>
    <w:p w14:paraId="456567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（六）以其他方式侵害他人的隐私权。</w:t>
      </w:r>
    </w:p>
    <w:p w14:paraId="5E42C8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第一千零三十四条　自然人的个人信息受法律保护。</w:t>
      </w:r>
    </w:p>
    <w:p w14:paraId="430ABB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个人信息是以电子或者其他方式记录的能够单独或者与其他信息结合识别</w:t>
      </w:r>
      <w:r>
        <w:rPr>
          <w:rFonts w:ascii="宋体" w:eastAsia="宋体" w:hAnsi="宋体" w:cs="宋体" w:hint="eastAsia"/>
          <w:sz w:val="24"/>
        </w:rPr>
        <w:lastRenderedPageBreak/>
        <w:t>特定自然人的各种信息，包括自然人的姓名、出生日期、身份证件号码、生物识别信息、住址、电话号码、电子邮箱、健康信息、行踪信息等。</w:t>
      </w:r>
    </w:p>
    <w:p w14:paraId="0DD8C6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个人信息中的私密信息，适用有关隐私权的规定；没有规定的，适用有关个人信息保护的规定。</w:t>
      </w:r>
    </w:p>
    <w:p w14:paraId="503473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第一千零三十五条　处理个人信息的，应当遵循合法、正当、必要原则，不得过度处理，并符合下列条件：</w:t>
      </w:r>
    </w:p>
    <w:p w14:paraId="0748FE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（一）征得该自然人或者其监护人同意，但是法律、行政法规另有规定的除外；</w:t>
      </w:r>
    </w:p>
    <w:p w14:paraId="1658D4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（二）公开处理信息的规则；</w:t>
      </w:r>
    </w:p>
    <w:p w14:paraId="68D00A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（三）明示处理信息的目的、方式和范围；</w:t>
      </w:r>
    </w:p>
    <w:p w14:paraId="10280A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（四）不违反法律、行政法规的规定和双方的约定。</w:t>
      </w:r>
    </w:p>
    <w:p w14:paraId="6B3745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个人信息的处理包括个人信息的收集、存储、使用、加工、传输、提供、公开等。</w:t>
      </w:r>
    </w:p>
    <w:p w14:paraId="426FCD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第一千零三十六条　处理个人信息，有下列情形之一的，行为人不承担民事责任：</w:t>
      </w:r>
    </w:p>
    <w:p w14:paraId="563526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（一）在该自然人或者其监护人同意的范围内合理实施的行为；</w:t>
      </w:r>
    </w:p>
    <w:p w14:paraId="5013D2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（二）合理处理该自然人自行公开的或者其他已经合法公开的信息，但是该自然人明确拒绝或者处理该信息侵害其重大利益的除外；</w:t>
      </w:r>
    </w:p>
    <w:p w14:paraId="237E46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（三）为维护公共利益或者该自然人合法权益，合理实施的其他行为。</w:t>
      </w:r>
    </w:p>
    <w:p w14:paraId="3E53F4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第一千零三十七条　自然人可以依法向信息处理者查阅或者复制其个人信息；发现信息有错误的，有权提出异议并请求及时采取更正等必要措施。</w:t>
      </w:r>
    </w:p>
    <w:p w14:paraId="35CE9D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自然人发现信息处理者违反法律、行政法规的规定或者双方的约定处理其个人信息的，有权请求信息处理者及时删除。</w:t>
      </w:r>
    </w:p>
    <w:p w14:paraId="528139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第一千零三十八条　信息处理者不得泄露或者篡改其收集、存储的个人信息；未经自然人同意，不得向他人非法提供其个人信息，但是经过加工无法识别特定</w:t>
      </w:r>
      <w:r>
        <w:rPr>
          <w:rFonts w:ascii="宋体" w:eastAsia="宋体" w:hAnsi="宋体" w:cs="宋体" w:hint="eastAsia"/>
          <w:sz w:val="24"/>
        </w:rPr>
        <w:lastRenderedPageBreak/>
        <w:t>个人且不能复原的除外。</w:t>
      </w:r>
    </w:p>
    <w:p w14:paraId="4283BB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信息处理者应当采取技术措施和其他必要措施，确保其收集、存储的个人信息安全，防止信息泄露、篡改、丢失；发生或者可能发生个人信息泄露、篡改、丢失的，应当及时采取补救措施，按照规定告知自然人并向有关主管部门报告。</w:t>
      </w:r>
    </w:p>
    <w:p w14:paraId="52C56E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第一千零三十九条　国家机关、承担行政职能的法定机构及其工作人员对于履行职责过程中知悉的自然人的隐私和个人信息，应当予以保密，不得泄露或者向他人非法提供。</w:t>
      </w:r>
    </w:p>
    <w:p w14:paraId="7B2C99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第五编　婚姻家庭</w:t>
      </w:r>
    </w:p>
    <w:p w14:paraId="79148E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一般规定</w:t>
      </w:r>
    </w:p>
    <w:p w14:paraId="24B860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第一千零四十条　本编调整因婚姻家庭产生的民事关系。</w:t>
      </w:r>
    </w:p>
    <w:p w14:paraId="506ABB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第一千零四十一条　婚姻家庭受国家保护。</w:t>
      </w:r>
    </w:p>
    <w:p w14:paraId="299ED3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实行婚姻自由、</w:t>
      </w:r>
      <w:proofErr w:type="gramStart"/>
      <w:r>
        <w:rPr>
          <w:rFonts w:ascii="宋体" w:eastAsia="宋体" w:hAnsi="宋体" w:cs="宋体" w:hint="eastAsia"/>
          <w:sz w:val="24"/>
        </w:rPr>
        <w:t>一</w:t>
      </w:r>
      <w:proofErr w:type="gramEnd"/>
      <w:r>
        <w:rPr>
          <w:rFonts w:ascii="宋体" w:eastAsia="宋体" w:hAnsi="宋体" w:cs="宋体" w:hint="eastAsia"/>
          <w:sz w:val="24"/>
        </w:rPr>
        <w:t>夫一妻、男女平等的婚姻制度。</w:t>
      </w:r>
    </w:p>
    <w:p w14:paraId="4D20FC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保护妇女、未成年人、老年人、残疾人的合法权益。</w:t>
      </w:r>
    </w:p>
    <w:p w14:paraId="05968F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第一千零四十二条　禁止包办、买卖婚姻和其他干涉婚姻自由的行为。禁止借婚姻索取财物。</w:t>
      </w:r>
    </w:p>
    <w:p w14:paraId="7C123C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禁止重婚。禁止有配偶者与他人同居。</w:t>
      </w:r>
    </w:p>
    <w:p w14:paraId="6298BF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禁止家庭暴力。禁止家庭成员间的虐待和遗弃。</w:t>
      </w:r>
    </w:p>
    <w:p w14:paraId="18F207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第一千零四十三条　家庭应当树立优良家风，弘扬家庭美德，重视家庭文明建设。</w:t>
      </w:r>
    </w:p>
    <w:p w14:paraId="181507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夫妻应当互相忠实，互相尊重，互相关爱；家庭成员应当敬老爱幼，互相帮助，维护平等、和睦、文明的婚姻家庭关系。</w:t>
      </w:r>
    </w:p>
    <w:p w14:paraId="79DE8C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第一千零四十四条　收养应当遵循最有利于被收养人的原则，保障被收养人和收养人的合法权益。</w:t>
      </w:r>
    </w:p>
    <w:p w14:paraId="69C9B6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禁止借收养名义买卖未成年人。</w:t>
      </w:r>
    </w:p>
    <w:p w14:paraId="7A5DD6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第一千零四十五条　亲属包括配偶、血亲和姻亲。</w:t>
      </w:r>
    </w:p>
    <w:p w14:paraId="7CF323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配偶、父母、子女、兄弟姐妹、祖父母、外祖父母、孙子女、外孙子女为近亲属。</w:t>
      </w:r>
    </w:p>
    <w:p w14:paraId="16A717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配偶、父母、子女和其他共同生活的近亲属为家庭成员。</w:t>
      </w:r>
    </w:p>
    <w:p w14:paraId="2339EC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结婚</w:t>
      </w:r>
    </w:p>
    <w:p w14:paraId="00324C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第一千零四十六条　结婚应当男女双方完全自愿，禁止任何一方对另一方加以强迫，禁止任何组织或者个人加以干涉。</w:t>
      </w:r>
    </w:p>
    <w:p w14:paraId="24BFFD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第一千零四十七条　结婚年龄，男不得早于二十二周岁，女不得早于二十周岁。</w:t>
      </w:r>
    </w:p>
    <w:p w14:paraId="746504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第一千零四十八条　直系血亲或者三代以内的旁系血亲禁止结婚。</w:t>
      </w:r>
    </w:p>
    <w:p w14:paraId="626504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第一千零四十九条　要求结婚的男女双方应当亲自到婚姻登记机关申请结婚登记。符合本法规定的，予以登记，发给结婚证。完成结婚登记，即确立婚姻关系。未办理结婚登记的，应当补办登记。</w:t>
      </w:r>
    </w:p>
    <w:p w14:paraId="587157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第一千零五十条　登记结婚后，按照男女双方约定，女方可以成为男方家庭的成员，男方可以成为女方家庭的成员。</w:t>
      </w:r>
    </w:p>
    <w:p w14:paraId="0F2992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第一千零五十一条　有下列情形之一的，婚姻无效：</w:t>
      </w:r>
    </w:p>
    <w:p w14:paraId="48E4BF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（一）重婚；</w:t>
      </w:r>
    </w:p>
    <w:p w14:paraId="0A93EE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（二）有禁止结婚的亲属关系；</w:t>
      </w:r>
    </w:p>
    <w:p w14:paraId="6821B8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（三）未到法定婚龄。</w:t>
      </w:r>
    </w:p>
    <w:p w14:paraId="70B3DA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第一千零五十二条　因胁迫结婚的，受胁迫的一方可以向人民法院请求撤销婚姻。</w:t>
      </w:r>
    </w:p>
    <w:p w14:paraId="3ECDFE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请求撤销婚姻的，应当自胁迫行为终止之日起一年内提出。</w:t>
      </w:r>
    </w:p>
    <w:p w14:paraId="7F9AFC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被非法限制人身自由的当事人请求撤销婚姻的，应当自恢复人身自由之日起一年内提出。</w:t>
      </w:r>
    </w:p>
    <w:p w14:paraId="77DD28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第一千零五十三条　一方患有重大疾病的，应当在结婚登记前如实告知另一方；</w:t>
      </w:r>
      <w:proofErr w:type="gramStart"/>
      <w:r>
        <w:rPr>
          <w:rFonts w:ascii="宋体" w:eastAsia="宋体" w:hAnsi="宋体" w:cs="宋体" w:hint="eastAsia"/>
          <w:sz w:val="24"/>
        </w:rPr>
        <w:t>不</w:t>
      </w:r>
      <w:proofErr w:type="gramEnd"/>
      <w:r>
        <w:rPr>
          <w:rFonts w:ascii="宋体" w:eastAsia="宋体" w:hAnsi="宋体" w:cs="宋体" w:hint="eastAsia"/>
          <w:sz w:val="24"/>
        </w:rPr>
        <w:t>如实告知的，另一方可以向人民法院请求撤销婚姻。</w:t>
      </w:r>
    </w:p>
    <w:p w14:paraId="7A5A6B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请求撤销婚姻的，应当自知道或者应当知道撤销事由之日起一年内提出。</w:t>
      </w:r>
    </w:p>
    <w:p w14:paraId="79CDDB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第一千零五十四条　无效的或者被撤销的婚姻自</w:t>
      </w:r>
      <w:proofErr w:type="gramStart"/>
      <w:r>
        <w:rPr>
          <w:rFonts w:ascii="宋体" w:eastAsia="宋体" w:hAnsi="宋体" w:cs="宋体" w:hint="eastAsia"/>
          <w:sz w:val="24"/>
        </w:rPr>
        <w:t>始没有</w:t>
      </w:r>
      <w:proofErr w:type="gramEnd"/>
      <w:r>
        <w:rPr>
          <w:rFonts w:ascii="宋体" w:eastAsia="宋体" w:hAnsi="宋体" w:cs="宋体" w:hint="eastAsia"/>
          <w:sz w:val="24"/>
        </w:rPr>
        <w:t>法律约束力，当事人不具有夫妻的权利和义务。同居期间所得的财产，由当事人协议处理；协议不成的，由人民法院根据照顾无过错方的原则判决。对重婚导致的无效婚姻的财产处理，不得侵害合法婚姻当事人的财产权益。当事人所生的子女，适用本法关于父母子女的规定。</w:t>
      </w:r>
    </w:p>
    <w:p w14:paraId="696FCA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婚姻无效或者被撤销的，无过错方有权请求损害赔偿。</w:t>
      </w:r>
    </w:p>
    <w:p w14:paraId="00BEBC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家庭关系</w:t>
      </w:r>
    </w:p>
    <w:p w14:paraId="3051F4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夫妻关系</w:t>
      </w:r>
    </w:p>
    <w:p w14:paraId="531824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第一千零五十五条　夫妻在婚姻家庭中地位平等。</w:t>
      </w:r>
    </w:p>
    <w:p w14:paraId="604E2D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第一千零五十六条　夫妻双方都有各自使用自己姓名的权利。</w:t>
      </w:r>
    </w:p>
    <w:p w14:paraId="323DC1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第一千零五十七条　夫妻双方都有参加生产、工作、学习和社会活动的自由，一方不得对另一方加以限制或者干涉。</w:t>
      </w:r>
    </w:p>
    <w:p w14:paraId="063B89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第一千零五十八条　夫妻双方平等享有对未成年子女抚养、教育和保护的权利，共同承担对未成年子女抚养、教育和保护的义务。</w:t>
      </w:r>
    </w:p>
    <w:p w14:paraId="351004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第一千零五十九条　夫妻有相互扶养的义务。</w:t>
      </w:r>
    </w:p>
    <w:p w14:paraId="428C69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需要扶养的一方，在另一方不履行扶养义务时，有要求其给付扶养费的权利。</w:t>
      </w:r>
    </w:p>
    <w:p w14:paraId="1FC859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第一千零六十条　夫妻一方因家庭日常生活需要而实施的民事法律行为，对夫妻双方发生效力，但是夫妻一方与相对人另有约定的除外。</w:t>
      </w:r>
    </w:p>
    <w:p w14:paraId="641E6A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夫妻之间对一方可以实施的民事法律行为范围的限制，不得对抗善意相对人。</w:t>
      </w:r>
    </w:p>
    <w:p w14:paraId="7DE3CD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第一千零六十一条　夫妻有相互继承遗产的权利。</w:t>
      </w:r>
    </w:p>
    <w:p w14:paraId="275A0A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第一千零六十二条　夫妻在婚姻关系存续期间所得的下列财产，为夫妻的共</w:t>
      </w:r>
      <w:r>
        <w:rPr>
          <w:rFonts w:ascii="宋体" w:eastAsia="宋体" w:hAnsi="宋体" w:cs="宋体" w:hint="eastAsia"/>
          <w:sz w:val="24"/>
        </w:rPr>
        <w:lastRenderedPageBreak/>
        <w:t>同财产，归夫妻共同所有：</w:t>
      </w:r>
    </w:p>
    <w:p w14:paraId="444489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（一）工资、奖金、劳务报酬；</w:t>
      </w:r>
    </w:p>
    <w:p w14:paraId="1461C5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（二）生产、经营、投资的收益；</w:t>
      </w:r>
    </w:p>
    <w:p w14:paraId="05EE26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（三）知识产权的收益；</w:t>
      </w:r>
    </w:p>
    <w:p w14:paraId="1C3AC0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（四）继承或者受赠的财产，但是本法第一千零六十三条第三项规定的除外；</w:t>
      </w:r>
    </w:p>
    <w:p w14:paraId="15040E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（五）其他应当</w:t>
      </w:r>
      <w:proofErr w:type="gramStart"/>
      <w:r>
        <w:rPr>
          <w:rFonts w:ascii="宋体" w:eastAsia="宋体" w:hAnsi="宋体" w:cs="宋体" w:hint="eastAsia"/>
          <w:sz w:val="24"/>
        </w:rPr>
        <w:t>归共同</w:t>
      </w:r>
      <w:proofErr w:type="gramEnd"/>
      <w:r>
        <w:rPr>
          <w:rFonts w:ascii="宋体" w:eastAsia="宋体" w:hAnsi="宋体" w:cs="宋体" w:hint="eastAsia"/>
          <w:sz w:val="24"/>
        </w:rPr>
        <w:t>所有的财产。</w:t>
      </w:r>
    </w:p>
    <w:p w14:paraId="57AE53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夫妻对共同财产，有平等的处理权。</w:t>
      </w:r>
    </w:p>
    <w:p w14:paraId="55D44B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第一千零六十三条　下列财产为夫妻一方的个人财产：</w:t>
      </w:r>
    </w:p>
    <w:p w14:paraId="4C4F54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（一）一方的婚前财产；</w:t>
      </w:r>
    </w:p>
    <w:p w14:paraId="1A6A00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（二）一方因受到人身损害获得的赔偿或者补偿；</w:t>
      </w:r>
    </w:p>
    <w:p w14:paraId="6FB26E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（三）遗嘱或者赠与合同中确定只归一方的财产；</w:t>
      </w:r>
    </w:p>
    <w:p w14:paraId="2B3496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（四）一方专用的生活用品；</w:t>
      </w:r>
    </w:p>
    <w:p w14:paraId="1B6D6C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（五）其他应当归一方的财产。</w:t>
      </w:r>
    </w:p>
    <w:p w14:paraId="4FF6CC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第一千零六十四条　夫妻双方共同签名或者夫妻一方事后追认等共同意思表示所负的债务，以及夫妻一方在婚姻关系存续期间以个人名义为家庭日常生活需要所负的债务，属于夫妻共同债务。</w:t>
      </w:r>
    </w:p>
    <w:p w14:paraId="4A19D9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夫妻一方在婚姻关系存续期间以个人名义超出家庭日常生活需要所负的债务，不属于夫妻共同债务；但是，债权人能够证明该债务用于夫妻共同生活、共同生产经营或者基于夫妻双方共同意思表示的除外。</w:t>
      </w:r>
    </w:p>
    <w:p w14:paraId="5CC7AD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第一千零六十五条　男女双方可以约定婚姻关系存续期间所得的财产以及婚前财产归各自所有、共同所有或者部分各自所有、部分共同所有。约定应当采用书面形式。没有约定或者约定不明确的，适用本法第一千零六十二条、第一千零六十三条的规定。</w:t>
      </w:r>
    </w:p>
    <w:p w14:paraId="734F6D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夫妻对婚姻关系存续期间所得的财产以及婚前财产的约定，对双方具有法律</w:t>
      </w:r>
      <w:r>
        <w:rPr>
          <w:rFonts w:ascii="宋体" w:eastAsia="宋体" w:hAnsi="宋体" w:cs="宋体" w:hint="eastAsia"/>
          <w:sz w:val="24"/>
        </w:rPr>
        <w:lastRenderedPageBreak/>
        <w:t>约束力。</w:t>
      </w:r>
    </w:p>
    <w:p w14:paraId="491F6F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夫妻对婚姻关系存续期间所得的财产约定归各自所有，</w:t>
      </w:r>
      <w:proofErr w:type="gramStart"/>
      <w:r>
        <w:rPr>
          <w:rFonts w:ascii="宋体" w:eastAsia="宋体" w:hAnsi="宋体" w:cs="宋体" w:hint="eastAsia"/>
          <w:sz w:val="24"/>
        </w:rPr>
        <w:t>夫或者妻一方</w:t>
      </w:r>
      <w:proofErr w:type="gramEnd"/>
      <w:r>
        <w:rPr>
          <w:rFonts w:ascii="宋体" w:eastAsia="宋体" w:hAnsi="宋体" w:cs="宋体" w:hint="eastAsia"/>
          <w:sz w:val="24"/>
        </w:rPr>
        <w:t>对外所负的债务，相对人知道该约定的，以</w:t>
      </w:r>
      <w:proofErr w:type="gramStart"/>
      <w:r>
        <w:rPr>
          <w:rFonts w:ascii="宋体" w:eastAsia="宋体" w:hAnsi="宋体" w:cs="宋体" w:hint="eastAsia"/>
          <w:sz w:val="24"/>
        </w:rPr>
        <w:t>夫或者妻一方</w:t>
      </w:r>
      <w:proofErr w:type="gramEnd"/>
      <w:r>
        <w:rPr>
          <w:rFonts w:ascii="宋体" w:eastAsia="宋体" w:hAnsi="宋体" w:cs="宋体" w:hint="eastAsia"/>
          <w:sz w:val="24"/>
        </w:rPr>
        <w:t>的个人财产清偿。</w:t>
      </w:r>
    </w:p>
    <w:p w14:paraId="560417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第一千零六十六条　婚姻关系存续期间，有下列情形之一的，夫妻一方可以向人民法院请求分割共同财产：</w:t>
      </w:r>
    </w:p>
    <w:p w14:paraId="75F519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（一）一方有隐藏、转移、变卖、毁损、挥霍夫妻共同财产或者伪造夫妻共同债务等严重损害夫妻共同财产利益的行为；</w:t>
      </w:r>
    </w:p>
    <w:p w14:paraId="56F348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（二）一方负有法定扶养义务的人患重大疾病需要医治，另一方不同意支付相关医疗费用。</w:t>
      </w:r>
    </w:p>
    <w:p w14:paraId="4E2D0E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父母子女关系和其他近亲属关系</w:t>
      </w:r>
    </w:p>
    <w:p w14:paraId="319DAC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第一千零六十七条　父母不履行抚养义务的，未成年子女或者不能独立生活的成年子女，有要求父母给付抚养费的权利。</w:t>
      </w:r>
    </w:p>
    <w:p w14:paraId="08F2AF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成年子女不履行赡养义务的，缺乏劳动能力或者生活困难的父母，有要求成年子女给付赡养费的权利。</w:t>
      </w:r>
    </w:p>
    <w:p w14:paraId="613E57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第一千零六十八条　父母有教育、保护未成年子女的权利和义务。未成年子女造成他人损害的，父母应当依法承担民事责任。</w:t>
      </w:r>
    </w:p>
    <w:p w14:paraId="2FADE0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第一千零六十九条　子女应当尊重父母的婚姻权利，不得干涉父母离婚、再婚以及婚后的生活。子女对父母的赡养义务，不因父母的婚姻关系变化而终止。</w:t>
      </w:r>
    </w:p>
    <w:p w14:paraId="3C92DC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第一千零七十条　父母和子女有相互继承遗产的权利。</w:t>
      </w:r>
    </w:p>
    <w:p w14:paraId="69106C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第一千零七十一条　非婚生子女享有与婚生子女同等的权利，任何组织或者个人不得加以危害和歧视。</w:t>
      </w:r>
    </w:p>
    <w:p w14:paraId="362840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不直接抚养非婚生子女的生父或者生母，应当负担未成年子女或者不能独立生活的成年子女的抚养费。</w:t>
      </w:r>
    </w:p>
    <w:p w14:paraId="414D2C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第一千零七十二条　继父母与继子女间，不得虐待或者歧视。</w:t>
      </w:r>
    </w:p>
    <w:p w14:paraId="48B449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继父或者继母和受其抚养教育的继子女间的权利义务关系，适用本法关于父</w:t>
      </w:r>
      <w:r>
        <w:rPr>
          <w:rFonts w:ascii="宋体" w:eastAsia="宋体" w:hAnsi="宋体" w:cs="宋体" w:hint="eastAsia"/>
          <w:sz w:val="24"/>
        </w:rPr>
        <w:lastRenderedPageBreak/>
        <w:t>母子女关系的规定。</w:t>
      </w:r>
    </w:p>
    <w:p w14:paraId="47698A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第一千零七十三条　对亲子关系有异议且有正当理由的，</w:t>
      </w:r>
      <w:proofErr w:type="gramStart"/>
      <w:r>
        <w:rPr>
          <w:rFonts w:ascii="宋体" w:eastAsia="宋体" w:hAnsi="宋体" w:cs="宋体" w:hint="eastAsia"/>
          <w:sz w:val="24"/>
        </w:rPr>
        <w:t>父或者母</w:t>
      </w:r>
      <w:proofErr w:type="gramEnd"/>
      <w:r>
        <w:rPr>
          <w:rFonts w:ascii="宋体" w:eastAsia="宋体" w:hAnsi="宋体" w:cs="宋体" w:hint="eastAsia"/>
          <w:sz w:val="24"/>
        </w:rPr>
        <w:t>可以向人民法院提起诉讼，请求确认或者否认亲子关系。</w:t>
      </w:r>
    </w:p>
    <w:p w14:paraId="370015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对亲子关系有异议且有正当理由的，成年子女可以向人民法院提起诉讼，请求确认亲子关系。</w:t>
      </w:r>
    </w:p>
    <w:p w14:paraId="193272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第一千零七十四条　有负担能力的祖父母、外祖父母，对于父母已经死亡或者父母无力抚养的未成年孙子女、外孙子女，有抚养的义务。</w:t>
      </w:r>
    </w:p>
    <w:p w14:paraId="3F4C2B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有负担能力的孙子女、外孙子女，对于子女已经死亡或者子女无力赡养的祖父母、外祖父母，有赡养的义务。</w:t>
      </w:r>
    </w:p>
    <w:p w14:paraId="681BEB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第一千零七十五条　有负担能力的兄、姐，对于父母已经死亡或者父母无力抚养的未成年弟、妹，有扶养的义务。</w:t>
      </w:r>
    </w:p>
    <w:p w14:paraId="1229A1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由兄、姐扶养长大的有负担能力的弟、妹，对于缺乏劳动能力又缺乏生活来源的兄、姐，有扶养的义务。</w:t>
      </w:r>
    </w:p>
    <w:p w14:paraId="6233D3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离婚</w:t>
      </w:r>
    </w:p>
    <w:p w14:paraId="794CBB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第一千零七十六条　夫妻双方自愿离婚的，应当签订书面离婚协议，并亲自到婚姻登记机关申请离婚登记。</w:t>
      </w:r>
    </w:p>
    <w:p w14:paraId="0FB225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离婚协议应当载明双方自愿离婚的意思表示和对子女抚养、财产以及债务处理等事项协商一致的意见。</w:t>
      </w:r>
    </w:p>
    <w:p w14:paraId="4042E5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第一千零七十七条　自婚姻登记机关收到离婚登记申请之日起三十日内，任何一方不愿意离婚的，可以向婚姻登记机关撤回离婚登记申请。</w:t>
      </w:r>
    </w:p>
    <w:p w14:paraId="615F61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前款规定期限届满后三十日内，双方应当亲自到婚姻登记机关申请发给离婚证；未申请的，视为撤回离婚登记申请。</w:t>
      </w:r>
    </w:p>
    <w:p w14:paraId="232721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第一千零七十八条　婚姻登记机关查明双方确实是自愿离婚，并已经对子女抚养、财产以及债务处理等事项协商一致的，予以登记，发给离婚证。</w:t>
      </w:r>
    </w:p>
    <w:p w14:paraId="2F3B0B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第一千零七十九条　夫妻一方要求离婚的，可以由有关组织进行调解或者直</w:t>
      </w:r>
      <w:r>
        <w:rPr>
          <w:rFonts w:ascii="宋体" w:eastAsia="宋体" w:hAnsi="宋体" w:cs="宋体" w:hint="eastAsia"/>
          <w:sz w:val="24"/>
        </w:rPr>
        <w:lastRenderedPageBreak/>
        <w:t>接向人民法院提起离婚诉讼。</w:t>
      </w:r>
    </w:p>
    <w:p w14:paraId="0734F5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人民法院审理离婚案件，应当进行调解；如果感情确已破裂，调解无效的，应当准予离婚。</w:t>
      </w:r>
    </w:p>
    <w:p w14:paraId="15B585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有下列情形之一，调解无效的，应当准予离婚：</w:t>
      </w:r>
    </w:p>
    <w:p w14:paraId="6FC845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（一）重婚或者与他人同居；</w:t>
      </w:r>
    </w:p>
    <w:p w14:paraId="711C27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（二）实施家庭暴力或者虐待、遗弃家庭成员；</w:t>
      </w:r>
    </w:p>
    <w:p w14:paraId="602965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（三）有赌博、吸毒等恶习屡教不改；</w:t>
      </w:r>
    </w:p>
    <w:p w14:paraId="2F1AEB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（四）因感情不和分居满二年；</w:t>
      </w:r>
    </w:p>
    <w:p w14:paraId="36B92A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（五）其他导致夫妻感情破裂的情形。</w:t>
      </w:r>
    </w:p>
    <w:p w14:paraId="78A1EC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一方被宣告失踪，另一方提起离婚诉讼的，应当准予离婚。</w:t>
      </w:r>
    </w:p>
    <w:p w14:paraId="7709AA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经人民法院判决不准离婚后，双方又分居满一年，一方再次提起离婚诉讼的，应当准予离婚。</w:t>
      </w:r>
    </w:p>
    <w:p w14:paraId="48ECB7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第一千零八十条　完成离婚登记，或者离婚判决书、调解书生效，即解除婚姻关系。</w:t>
      </w:r>
    </w:p>
    <w:p w14:paraId="3C45B4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第一千零八十一条　现役军人的配偶要求离婚，应当征得军人同意，但是军人一方有重大过错的除外。</w:t>
      </w:r>
    </w:p>
    <w:p w14:paraId="59184B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第一千零八十二条　女方在怀孕期间、分娩后一年内或者终止妊娠后六个月内，男方不得提出离婚；但是，女方提出离婚或者人民法院认为确有必要受理男方离婚请求的除外。</w:t>
      </w:r>
    </w:p>
    <w:p w14:paraId="142100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第一千零八十三条　离婚后，男女双方自愿恢复婚姻关系的，应当到婚姻登记机关重新进行结婚登记。</w:t>
      </w:r>
    </w:p>
    <w:p w14:paraId="512929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第一千零八十四条　父母与子女间的关系，不因父母离婚而消除。离婚后，子女无论由</w:t>
      </w:r>
      <w:proofErr w:type="gramStart"/>
      <w:r>
        <w:rPr>
          <w:rFonts w:ascii="宋体" w:eastAsia="宋体" w:hAnsi="宋体" w:cs="宋体" w:hint="eastAsia"/>
          <w:sz w:val="24"/>
        </w:rPr>
        <w:t>父或者母</w:t>
      </w:r>
      <w:proofErr w:type="gramEnd"/>
      <w:r>
        <w:rPr>
          <w:rFonts w:ascii="宋体" w:eastAsia="宋体" w:hAnsi="宋体" w:cs="宋体" w:hint="eastAsia"/>
          <w:sz w:val="24"/>
        </w:rPr>
        <w:t>直接抚养，仍是父母双方的子女。</w:t>
      </w:r>
    </w:p>
    <w:p w14:paraId="333333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离婚后，父母对于子女仍有抚养、教育、保护的权利和义务。</w:t>
      </w:r>
    </w:p>
    <w:p w14:paraId="4E4672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离婚后，不满两周岁的子女，以由母亲直接抚养为原则。已满两周岁的子女，父母双方对抚养问题协议不成的，由人民法院根据双方的具体情况，按照最有利于未成年子女的原则判决。子女已满八周岁的，应当尊重其真实意愿。</w:t>
      </w:r>
    </w:p>
    <w:p w14:paraId="7FABC0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第一千零八十五条　离婚后，子女由一方直接抚养的，另一方应当负担部分或者全部抚养费。负担费用的多少和期限的长短，由双方协议；协议不成的，由人民法院判决。</w:t>
      </w:r>
    </w:p>
    <w:p w14:paraId="7B162E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前款规定的协议或者判决，不妨碍子女在必要时向父母任何一方提出超过协议或者判决原定数额的合理要求。</w:t>
      </w:r>
    </w:p>
    <w:p w14:paraId="1D0C5A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第一千零八十六条　离婚后，不直接抚养子女的</w:t>
      </w:r>
      <w:proofErr w:type="gramStart"/>
      <w:r>
        <w:rPr>
          <w:rFonts w:ascii="宋体" w:eastAsia="宋体" w:hAnsi="宋体" w:cs="宋体" w:hint="eastAsia"/>
          <w:sz w:val="24"/>
        </w:rPr>
        <w:t>父或者母</w:t>
      </w:r>
      <w:proofErr w:type="gramEnd"/>
      <w:r>
        <w:rPr>
          <w:rFonts w:ascii="宋体" w:eastAsia="宋体" w:hAnsi="宋体" w:cs="宋体" w:hint="eastAsia"/>
          <w:sz w:val="24"/>
        </w:rPr>
        <w:t>，有探望子女的权利，另一方有协助的义务。</w:t>
      </w:r>
    </w:p>
    <w:p w14:paraId="7E0B4A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行使探望权利的方式、时间由当事人协议；协议不成的，由人民法院判决。</w:t>
      </w:r>
    </w:p>
    <w:p w14:paraId="122DE36F"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父或者母</w:t>
      </w:r>
      <w:proofErr w:type="gramEnd"/>
      <w:r>
        <w:rPr>
          <w:rFonts w:ascii="宋体" w:eastAsia="宋体" w:hAnsi="宋体" w:cs="宋体" w:hint="eastAsia"/>
          <w:sz w:val="24"/>
        </w:rPr>
        <w:t>探望子女，不利于子女身心健康的，由人民法院依法中止探望；中止的事由消失后，应当恢复探望。</w:t>
      </w:r>
    </w:p>
    <w:p w14:paraId="057AD8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第一千零八十七条　离婚时，夫妻的共同财产由双方协议处理；协议不成的，由人民法院根据财产的具体情况，按照照顾子女、女方和无过错方权益的原则判决。</w:t>
      </w:r>
    </w:p>
    <w:p w14:paraId="54C492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w:t>
      </w:r>
      <w:proofErr w:type="gramStart"/>
      <w:r>
        <w:rPr>
          <w:rFonts w:ascii="宋体" w:eastAsia="宋体" w:hAnsi="宋体" w:cs="宋体" w:hint="eastAsia"/>
          <w:sz w:val="24"/>
        </w:rPr>
        <w:t>夫或者妻</w:t>
      </w:r>
      <w:proofErr w:type="gramEnd"/>
      <w:r>
        <w:rPr>
          <w:rFonts w:ascii="宋体" w:eastAsia="宋体" w:hAnsi="宋体" w:cs="宋体" w:hint="eastAsia"/>
          <w:sz w:val="24"/>
        </w:rPr>
        <w:t>在家庭土地承包经营中享有的权益等，应当依法予以保护。</w:t>
      </w:r>
    </w:p>
    <w:p w14:paraId="143492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第一千零八十八条　夫妻一方因抚育子女、照料老年人、协助另一方工作等负担较多义务的，离婚时有权向另一方请求补偿，另一方应当给予补偿。具体办法由双方协议；协议不成的，由人民法院判决。</w:t>
      </w:r>
    </w:p>
    <w:p w14:paraId="3FDA02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第一千零八十九条　离婚时，夫妻共同债务应当共同偿还。共同财产不足清偿或者财产归各自所有的，由双方协议清偿；协议不成的，由人民法院判决。</w:t>
      </w:r>
    </w:p>
    <w:p w14:paraId="299BDD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第一千零九十条　离婚时，如果一方生活困难，有负担能力的另一方应当给予适当帮助。具体办法由双方协议；协议不成的，由人民法院判决。</w:t>
      </w:r>
    </w:p>
    <w:p w14:paraId="5B7FD4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第一千零九十一条　有下列情形之一，导致离婚的，无过错方有权请求损害赔偿：</w:t>
      </w:r>
    </w:p>
    <w:p w14:paraId="520AAF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（一）重婚；</w:t>
      </w:r>
    </w:p>
    <w:p w14:paraId="7F04E9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（二）与他人同居；</w:t>
      </w:r>
    </w:p>
    <w:p w14:paraId="7A7FFA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（三）实施家庭暴力；</w:t>
      </w:r>
    </w:p>
    <w:p w14:paraId="1ABE75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（四）虐待、遗弃家庭成员；</w:t>
      </w:r>
    </w:p>
    <w:p w14:paraId="179F9A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（五）有其他重大过错。</w:t>
      </w:r>
    </w:p>
    <w:p w14:paraId="610265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第一千零九十二条　夫妻一方隐藏、转移、变卖、毁损、挥霍夫妻共同财产，或者伪造夫妻共同债务企图侵占另一方财产的，在离婚分割夫妻共同财产时，对该方可以少分或者不分。离婚后，另一方发现有上述行为的，可以向人民法院提起诉讼，请求再次分割夫妻共同财产。</w:t>
      </w:r>
    </w:p>
    <w:p w14:paraId="340E97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收养</w:t>
      </w:r>
    </w:p>
    <w:p w14:paraId="2EC7F9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收养关系的成立</w:t>
      </w:r>
    </w:p>
    <w:p w14:paraId="48CD6F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第一千零九十三条　下列未成年人，可以被收养：</w:t>
      </w:r>
    </w:p>
    <w:p w14:paraId="0C29CB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（一）丧失父母的孤儿；</w:t>
      </w:r>
    </w:p>
    <w:p w14:paraId="3A7359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（二）查找不到生父母的未成年人；</w:t>
      </w:r>
    </w:p>
    <w:p w14:paraId="764EF5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（三）生父母有特殊困难无力抚养的子女。</w:t>
      </w:r>
    </w:p>
    <w:p w14:paraId="4E2D26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第一千零九十四条　下列个人、组织可以作送养人：</w:t>
      </w:r>
    </w:p>
    <w:p w14:paraId="351BEE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（一）孤儿的监护人；</w:t>
      </w:r>
    </w:p>
    <w:p w14:paraId="0BA0D3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（二）儿童福利机构；</w:t>
      </w:r>
    </w:p>
    <w:p w14:paraId="33CE1A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（三）有特殊困难无力抚养子女的生父母。</w:t>
      </w:r>
    </w:p>
    <w:p w14:paraId="04CA4D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第一千零九十五条　未成年人的父母均不具备完全民事行为能力且可能严重危害该未成年人的，该未成年人的监护人可以将其送养。</w:t>
      </w:r>
    </w:p>
    <w:p w14:paraId="6010B1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第一千零九十六条　监护人送养孤儿的，应当征得有抚养义务的人同意。有抚养义务的人不同意送养、监护人不愿意继续履行监护职责的，应当依照本法第一编的规定另行确定监护人。</w:t>
      </w:r>
    </w:p>
    <w:p w14:paraId="7B891F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第一千零九十七条　生父母送养子女，应当双方共同送养。生父母一方不明或者查找不到的，可以单方送养。</w:t>
      </w:r>
    </w:p>
    <w:p w14:paraId="569BED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第一千零九十八条　收养人应当同时具备下列条件：</w:t>
      </w:r>
    </w:p>
    <w:p w14:paraId="36E66B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（一）无子女或者只有一名子女；</w:t>
      </w:r>
    </w:p>
    <w:p w14:paraId="40B708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（二）有抚养、教育和保护被收养人的能力；</w:t>
      </w:r>
    </w:p>
    <w:p w14:paraId="48C96D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（三）未患有在医学上认为不应当收养子女的疾病；</w:t>
      </w:r>
    </w:p>
    <w:p w14:paraId="7270D4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（四）无不利于被收养人健康成长的违法犯罪记录；</w:t>
      </w:r>
    </w:p>
    <w:p w14:paraId="6DA6E1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（五）年满三十周岁。</w:t>
      </w:r>
    </w:p>
    <w:p w14:paraId="362E2F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第一千零九十九条　收养三代以内旁系同辈血亲的子女，可以不受本法第一千零九十三条第三项、第一千零九十四条第三项和第一千一百零二条规定的限制。</w:t>
      </w:r>
    </w:p>
    <w:p w14:paraId="24E226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华侨收养三代以内旁系同辈血亲的子女，还可以不受本法第一千零九十八条第一项规定的限制。</w:t>
      </w:r>
    </w:p>
    <w:p w14:paraId="12E19D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第一千一百条　无子女的收养人可以收养两名子女；有子女的收养人只能收养一名子女。</w:t>
      </w:r>
    </w:p>
    <w:p w14:paraId="74689D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收养孤儿、残疾未成年人或者儿童福利机构抚养的查找不到生父母的未成年人，可以不受前款和本法第一千零九十八条第一项规定的限制。</w:t>
      </w:r>
    </w:p>
    <w:p w14:paraId="6C77AE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第一千一百零一条　有配偶者收养子女，应当夫妻共同收养。</w:t>
      </w:r>
    </w:p>
    <w:p w14:paraId="46704A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第一千一百零二条　无配偶者收养异性子女的，收养人与被收养人的年龄应当相差四十周岁以上。</w:t>
      </w:r>
    </w:p>
    <w:p w14:paraId="5CDCD9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第一千一百零三条　继父或者继母经继子女的生父母同意，可以收养继子女，并可以不受本法第一千零九十三条第三项、第一千零九十四条第三项、第一千零九十八条和第一千一百条第一款规定的限制。</w:t>
      </w:r>
    </w:p>
    <w:p w14:paraId="1F81BD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第一千一百零四条　收养人收养与送养人送养，应当双方自愿。收养八周岁以上未成年人的，应当征得被收养人的同意。</w:t>
      </w:r>
    </w:p>
    <w:p w14:paraId="4F525E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第一千一百零五条　收养应当向县级以上人民政府民政部门登记。收养关系自登记之日起成立。</w:t>
      </w:r>
    </w:p>
    <w:p w14:paraId="2610C8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收养查找不到生父母的未成年人的，办理登记的民政部门应当在登记前予以公告。</w:t>
      </w:r>
    </w:p>
    <w:p w14:paraId="6CF9C8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收养关系当事人愿意签订收养协议的，可以签订收养协议。</w:t>
      </w:r>
    </w:p>
    <w:p w14:paraId="459749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收养关系当事人各方或者一方要求办理收养公证的，应当办理收养公证。</w:t>
      </w:r>
    </w:p>
    <w:p w14:paraId="57EFDA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县级以上人民政府民政部门应当依法进行收养评估。</w:t>
      </w:r>
    </w:p>
    <w:p w14:paraId="279228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第一千一百零六条　收养关系成立后，公安机关应当按照国家有关规定为被收养人办理户口登记。</w:t>
      </w:r>
    </w:p>
    <w:p w14:paraId="2D1DE2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第一千一百零七条　孤儿或者生父母无力抚养的子女，可以由生父母的亲属、朋友抚养；抚养人与被抚养人的关系不适用本章规定。</w:t>
      </w:r>
    </w:p>
    <w:p w14:paraId="6E92D9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第一千一百零八条　配偶一方死亡，另一方送养未成年子女的，死亡一方的父母有优先抚养的权利。</w:t>
      </w:r>
    </w:p>
    <w:p w14:paraId="12A8DD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第一千一百零九条　外国人依法可以在中华人民共和国收养子女。</w:t>
      </w:r>
    </w:p>
    <w:p w14:paraId="733380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外国人在中华人民共和国收养子女，应当经其所在国主管机关依照该国法律审查同意。收养人应当提供由其所在国有权机构出具的有关其年龄、婚姻、职业、财产、健康、有无受过刑事处罚等状况的证明材料，并与送养人签订书面协议，亲自向省、自治区、直辖市人民政府民政部门登记。</w:t>
      </w:r>
    </w:p>
    <w:p w14:paraId="19C442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前款规定的证明材料应当经收养人所在国外交机关或者外交机关授权的机构认证，并经中华人民共和国驻该国使领馆认证，但是国家另有规定的除外。</w:t>
      </w:r>
    </w:p>
    <w:p w14:paraId="194732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第一千一百一十条　收养人、送养人要求保守收养秘密的，其他人应当尊重其意愿，不得泄露。</w:t>
      </w:r>
    </w:p>
    <w:p w14:paraId="5B755D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收养的效力</w:t>
      </w:r>
    </w:p>
    <w:p w14:paraId="409BA4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第一千一百一十一条　自收养关系成立之日起，养父母与养子女间的权利义务关系，适用本法关于父母子女关系的规定；养子女与养父母的近亲属间的权利</w:t>
      </w:r>
      <w:r>
        <w:rPr>
          <w:rFonts w:ascii="宋体" w:eastAsia="宋体" w:hAnsi="宋体" w:cs="宋体" w:hint="eastAsia"/>
          <w:sz w:val="24"/>
        </w:rPr>
        <w:lastRenderedPageBreak/>
        <w:t>义务关系，适用本法关于子女与父母的近亲属关系的规定。</w:t>
      </w:r>
    </w:p>
    <w:p w14:paraId="2DF0DA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养子女与生父母以及其他近亲属间的权利义务关系，因收养关系的成立而消除。</w:t>
      </w:r>
    </w:p>
    <w:p w14:paraId="0BEA8E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第一千一百一十二条　养子女可以随养父或者养母的姓氏，经当事人协商一致，也可以保留原姓氏。</w:t>
      </w:r>
    </w:p>
    <w:p w14:paraId="405B34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第一千一百一十三条　有本法第一编关于民事法律行为无效规定情形或者违反本编规定的收养行为无效。</w:t>
      </w:r>
    </w:p>
    <w:p w14:paraId="05EE42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无效的收养行为自</w:t>
      </w:r>
      <w:proofErr w:type="gramStart"/>
      <w:r>
        <w:rPr>
          <w:rFonts w:ascii="宋体" w:eastAsia="宋体" w:hAnsi="宋体" w:cs="宋体" w:hint="eastAsia"/>
          <w:sz w:val="24"/>
        </w:rPr>
        <w:t>始没有</w:t>
      </w:r>
      <w:proofErr w:type="gramEnd"/>
      <w:r>
        <w:rPr>
          <w:rFonts w:ascii="宋体" w:eastAsia="宋体" w:hAnsi="宋体" w:cs="宋体" w:hint="eastAsia"/>
          <w:sz w:val="24"/>
        </w:rPr>
        <w:t>法律约束力。</w:t>
      </w:r>
    </w:p>
    <w:p w14:paraId="2077F8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第三节　收养关系的解除</w:t>
      </w:r>
    </w:p>
    <w:p w14:paraId="3594F9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第一千一百一十四条　收养人在被收养人成年以前，不得解除收养关系，但是收养人、送养人双方协议解除的除外。养子女八周岁以上的，应当征得本人同意。</w:t>
      </w:r>
    </w:p>
    <w:p w14:paraId="2F2B21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收养人不履行抚养义务，有虐待、遗弃等侵害未成年养子女合法权益行为的，送养人有权要求解除养父母与养子女间的收养关系。送养人、收养人不能达成解除收养关系协议的，可以向人民法院提起诉讼。</w:t>
      </w:r>
    </w:p>
    <w:p w14:paraId="24A00C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第一千一百一十五条　养父母与成年养子女关系恶化、无法共同生活的，可以协议解除收养关系。不能达成协议的，可以向人民法院提起诉讼。</w:t>
      </w:r>
    </w:p>
    <w:p w14:paraId="2B02B7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第一千一百一十六条　当事人协议解除收养关系的，应当到民政部门办理解除收养关系登记。</w:t>
      </w:r>
    </w:p>
    <w:p w14:paraId="225541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第一千一百一十七条　收养关系解除后，养子女与养父母以及其他近亲属间的权利义务关系即行消除，与生父母以及其他近亲属间的权利义务关系自行恢复。但是，成年养子女与生父母以及其他近亲属间的权利义务关系是否恢复，可以协商确定。</w:t>
      </w:r>
    </w:p>
    <w:p w14:paraId="3BC37F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第一千一百一十八条　收养关系解除后，经养父母抚养的成年养子女，对缺乏劳动能力又缺乏生活来源的养父母，应当给付生活费。因养子女成年后虐待、遗弃养父母而解除收养关系的，养父母可以要求养子女补偿收养期间支出的抚养</w:t>
      </w:r>
      <w:r>
        <w:rPr>
          <w:rFonts w:ascii="宋体" w:eastAsia="宋体" w:hAnsi="宋体" w:cs="宋体" w:hint="eastAsia"/>
          <w:sz w:val="24"/>
        </w:rPr>
        <w:lastRenderedPageBreak/>
        <w:t>费。</w:t>
      </w:r>
    </w:p>
    <w:p w14:paraId="560D8B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生父母要求解除收养关系的，养父母可以要求生父母适当补偿收养期间支出的抚养费；但是，因养父母虐待、遗弃养子女而解除收养关系的除外。</w:t>
      </w:r>
    </w:p>
    <w:p w14:paraId="60B3EA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第六编　继承</w:t>
      </w:r>
    </w:p>
    <w:p w14:paraId="7126C0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一般规定</w:t>
      </w:r>
    </w:p>
    <w:p w14:paraId="76BE53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第一千一百一十九条　本编调整因继承产生的民事关系。</w:t>
      </w:r>
    </w:p>
    <w:p w14:paraId="7EA0F0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第一千一百二十条　国家保护自然人的继承权。</w:t>
      </w:r>
    </w:p>
    <w:p w14:paraId="7F2BDE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第一千一百二十一条　继承从被继承人死亡时开始。</w:t>
      </w:r>
    </w:p>
    <w:p w14:paraId="5113CA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相互有继承关系的数人在同一事件中死亡，难以确定死亡时间的，推定没有其他继承人的人先死亡。都有其他继承人，辈份不同的，推定长辈先死亡；辈份相同的，推定同时死亡，相互不发生继承。</w:t>
      </w:r>
    </w:p>
    <w:p w14:paraId="7F3CC3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第一千一百二十二条　遗产是自然人死亡时遗留的个人合法财产。</w:t>
      </w:r>
    </w:p>
    <w:p w14:paraId="592F60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依照法律规定或者根据其性质不得继承的遗产，不得继承。</w:t>
      </w:r>
    </w:p>
    <w:p w14:paraId="09995C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第一千一百二十三条　继承开始后，按照法定继承办理；有遗嘱的，按照遗嘱继承或者遗赠办理；有遗赠扶养协议的，按照协议办理。</w:t>
      </w:r>
    </w:p>
    <w:p w14:paraId="5B89AC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第一千一百二十四条　继承开始后，继承人放弃继承的，应当在遗产处理前，以书面形式</w:t>
      </w:r>
      <w:proofErr w:type="gramStart"/>
      <w:r>
        <w:rPr>
          <w:rFonts w:ascii="宋体" w:eastAsia="宋体" w:hAnsi="宋体" w:cs="宋体" w:hint="eastAsia"/>
          <w:sz w:val="24"/>
        </w:rPr>
        <w:t>作出</w:t>
      </w:r>
      <w:proofErr w:type="gramEnd"/>
      <w:r>
        <w:rPr>
          <w:rFonts w:ascii="宋体" w:eastAsia="宋体" w:hAnsi="宋体" w:cs="宋体" w:hint="eastAsia"/>
          <w:sz w:val="24"/>
        </w:rPr>
        <w:t>放弃继承的表示；没有表示的，视为接受继承。</w:t>
      </w:r>
    </w:p>
    <w:p w14:paraId="4BB3C1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受遗赠人应当在知道受遗赠后六十日内，</w:t>
      </w:r>
      <w:proofErr w:type="gramStart"/>
      <w:r>
        <w:rPr>
          <w:rFonts w:ascii="宋体" w:eastAsia="宋体" w:hAnsi="宋体" w:cs="宋体" w:hint="eastAsia"/>
          <w:sz w:val="24"/>
        </w:rPr>
        <w:t>作出</w:t>
      </w:r>
      <w:proofErr w:type="gramEnd"/>
      <w:r>
        <w:rPr>
          <w:rFonts w:ascii="宋体" w:eastAsia="宋体" w:hAnsi="宋体" w:cs="宋体" w:hint="eastAsia"/>
          <w:sz w:val="24"/>
        </w:rPr>
        <w:t>接受或者放弃受遗赠的表示；到期没有表示的，视为放弃受遗赠。</w:t>
      </w:r>
    </w:p>
    <w:p w14:paraId="4A15D6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第一千一百二十五条　继承人有下列行为之一的，丧失继承权：</w:t>
      </w:r>
    </w:p>
    <w:p w14:paraId="42DC86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（一）故意杀害被继承人；</w:t>
      </w:r>
    </w:p>
    <w:p w14:paraId="211AF5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（二）为争夺遗产而杀害其他继承人；</w:t>
      </w:r>
    </w:p>
    <w:p w14:paraId="223C87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（三）遗弃被继承人，或者虐待被继承人情节严重；</w:t>
      </w:r>
    </w:p>
    <w:p w14:paraId="073875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（四）伪造、篡改、隐匿或者销毁遗嘱，情节严重；</w:t>
      </w:r>
    </w:p>
    <w:p w14:paraId="1C0E20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（五）以欺诈、胁迫手段迫使或者妨碍被继承人设立、变更或者撤回遗嘱，情节严重。</w:t>
      </w:r>
    </w:p>
    <w:p w14:paraId="6509AA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继承人有前款第三项至第五项行为，确有悔改表现，被继承人表示宽恕或者事后在遗嘱中将其列为继承人的，该继承人不丧失继承权。</w:t>
      </w:r>
    </w:p>
    <w:p w14:paraId="3EEE30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受遗赠人有本条第一款规定行为的，丧失受遗赠权。</w:t>
      </w:r>
    </w:p>
    <w:p w14:paraId="52B4E9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法定继承</w:t>
      </w:r>
    </w:p>
    <w:p w14:paraId="01805A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第一千一百二十六条　继承权男女平等。</w:t>
      </w:r>
    </w:p>
    <w:p w14:paraId="341932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第一千一百二十七条　遗产按照下列顺序继承：</w:t>
      </w:r>
    </w:p>
    <w:p w14:paraId="45A126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（一）第一顺序：配偶、子女、父母；</w:t>
      </w:r>
    </w:p>
    <w:p w14:paraId="523FF7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（二）第二顺序：兄弟姐妹、祖父母、外祖父母。</w:t>
      </w:r>
    </w:p>
    <w:p w14:paraId="7AFDF4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继承开始后，由第一顺序继承人继承，第二顺序继承人不继承；没有第一顺序继承人继承的，由第二顺序继承人继承。</w:t>
      </w:r>
    </w:p>
    <w:p w14:paraId="7B8F06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本编所称子女，包括婚生子女、非婚生子女、养子女和有扶养关系的继子女。</w:t>
      </w:r>
    </w:p>
    <w:p w14:paraId="38FCF7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本编所称父母，包括生父母、养父母和有扶养关系的继父母。</w:t>
      </w:r>
    </w:p>
    <w:p w14:paraId="5BC1BD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本编所称兄弟姐妹，包括同父母的兄弟姐妹、同父异母或者同母异父的兄弟姐妹、养兄弟姐妹、有扶养关系的继兄弟姐妹。</w:t>
      </w:r>
    </w:p>
    <w:p w14:paraId="3292EA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第一千一百二十八条　被继承人的子女先于被继承人死亡的，由被继承人的子女的直系晚辈血亲代位继承。</w:t>
      </w:r>
    </w:p>
    <w:p w14:paraId="494777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被继承人的兄弟姐妹先于被继承人死亡的，由被继承人的兄弟姐妹的子女代位继承。</w:t>
      </w:r>
    </w:p>
    <w:p w14:paraId="55C00A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代位继承人一般只能继承被代位继承人有权继承的遗产份额。</w:t>
      </w:r>
    </w:p>
    <w:p w14:paraId="436434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第一千一百二十九条　丧偶儿媳对公婆，丧偶女婿对岳父母，尽了主要赡养义务的，作为第一顺序继承人。</w:t>
      </w:r>
    </w:p>
    <w:p w14:paraId="763287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第一千一百三十条　同一顺序继承人继承遗产的份额，一般应当均等。</w:t>
      </w:r>
    </w:p>
    <w:p w14:paraId="0B965A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对生活有特殊困难又缺乏劳动能力的继承人，分配遗产时，应当予以照顾。</w:t>
      </w:r>
    </w:p>
    <w:p w14:paraId="22266F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对被继承人尽了主要扶养义务或者与被继承人共同生活的继承人，分配遗产时，可以多分。</w:t>
      </w:r>
    </w:p>
    <w:p w14:paraId="378F38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有扶养能力和有扶养条件的继承人，不尽扶养义务的，分配遗产时，应当不分或者少分。</w:t>
      </w:r>
    </w:p>
    <w:p w14:paraId="0C6D80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继承人协商同意的，也可以不均等。</w:t>
      </w:r>
    </w:p>
    <w:p w14:paraId="5FEF85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第一千一百三十一条　对继承人以外的依靠被继承人扶养的人，或者继承人以外的对被继承人扶养较多的人，可以分给适当的遗产。</w:t>
      </w:r>
    </w:p>
    <w:p w14:paraId="02F2D8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第一千一百三十二条　继承人应当本着互谅互让、和睦团结的精神，协商处理继承问题。遗产分割的时间、办法和份额，由继承人协商确定；协商不成的，可以由人民调解委员会调解或者向人民法院提起诉讼。</w:t>
      </w:r>
    </w:p>
    <w:p w14:paraId="396A7D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遗嘱继承和遗赠</w:t>
      </w:r>
    </w:p>
    <w:p w14:paraId="45510D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第一千一百三十三条　自然人可以依照本法规定立遗嘱处分个人财产，并可以指定遗嘱执行人。</w:t>
      </w:r>
    </w:p>
    <w:p w14:paraId="516DA2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自然人可以立遗嘱将个人财产指定由法定继承人中的一人或者数人继承。</w:t>
      </w:r>
    </w:p>
    <w:p w14:paraId="7606BE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自然人可以立遗嘱将个人财产赠与国家、集体或者法定继承人以外的组织、个人。</w:t>
      </w:r>
    </w:p>
    <w:p w14:paraId="7BCA3E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自然人可以依法设立遗嘱信托。</w:t>
      </w:r>
    </w:p>
    <w:p w14:paraId="18B9B1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第一千一百三十四条　自书遗嘱由遗嘱人亲笔书写，签名，注明年、月、日。</w:t>
      </w:r>
    </w:p>
    <w:p w14:paraId="26DBBF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第一千一百三十五条　代书遗嘱应当有两个以上见证人在场见证，由其中一人代书，并由遗嘱人、代书人和其他见证人签名，注明年、月、日。</w:t>
      </w:r>
    </w:p>
    <w:p w14:paraId="575D44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第一千一百三十六条　打印遗嘱应当有两个以上见证人在场见证。遗嘱人和见证人应当在遗嘱每一页签名，注明年、月、日。</w:t>
      </w:r>
    </w:p>
    <w:p w14:paraId="3014F9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第一千一百三十七条　以录音录像形式立的遗嘱，应当有两个以上见证人在场见证。遗嘱人和见证人应当在录音录像中记录其姓名或者肖像，以及年、月、</w:t>
      </w:r>
      <w:r>
        <w:rPr>
          <w:rFonts w:ascii="宋体" w:eastAsia="宋体" w:hAnsi="宋体" w:cs="宋体" w:hint="eastAsia"/>
          <w:sz w:val="24"/>
        </w:rPr>
        <w:lastRenderedPageBreak/>
        <w:t>日。</w:t>
      </w:r>
    </w:p>
    <w:p w14:paraId="2FBC5E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第一千一百三十八条　遗嘱人在危急情况下，可以立口头遗嘱。口头遗嘱应当有两个以上见证人在场见证。危急情况消除后，遗嘱人能够以书面或者录音录像形式立遗嘱的，所立的口头遗嘱无效。</w:t>
      </w:r>
    </w:p>
    <w:p w14:paraId="68874A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第一千一百三十九条　公证遗嘱由遗嘱人经公证机构办理。</w:t>
      </w:r>
    </w:p>
    <w:p w14:paraId="293F7F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第一千一百四十条　下列人员不能作为遗嘱见证人：</w:t>
      </w:r>
    </w:p>
    <w:p w14:paraId="040B69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（一）无民事行为能力人、限制民事行为能力人以及其他不具有见证能力的人；</w:t>
      </w:r>
    </w:p>
    <w:p w14:paraId="44D68F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（二）继承人、受遗赠人；</w:t>
      </w:r>
    </w:p>
    <w:p w14:paraId="76404C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（三）与继承人、受遗赠人有利害关系的人。</w:t>
      </w:r>
    </w:p>
    <w:p w14:paraId="1BC974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第一千一百四十一条　遗嘱应当为缺乏劳动能力又没有生活来源的继承人保留必要的遗产份额。</w:t>
      </w:r>
    </w:p>
    <w:p w14:paraId="1A7B47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第一千一百四十二条　遗嘱人可以撤回、变更自己所立的遗嘱。</w:t>
      </w:r>
    </w:p>
    <w:p w14:paraId="06695F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立遗嘱后，遗嘱人实施与遗嘱内容相反的民事法律行为的，视为对遗嘱相关内容的撤回。</w:t>
      </w:r>
    </w:p>
    <w:p w14:paraId="137173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立有数份遗嘱，内容相抵触的，以最后的遗嘱为准。</w:t>
      </w:r>
    </w:p>
    <w:p w14:paraId="026DE0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第一千一百四十三条　无民事行为能力人或者限制民事行为能力人所立的遗嘱无效。</w:t>
      </w:r>
    </w:p>
    <w:p w14:paraId="4C58AE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遗嘱必须表示遗嘱人的真实意思，受欺诈、胁迫所立的遗嘱无效。</w:t>
      </w:r>
    </w:p>
    <w:p w14:paraId="01347F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伪造的遗嘱无效。</w:t>
      </w:r>
    </w:p>
    <w:p w14:paraId="56179E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遗嘱被篡改的，篡改的内容无效。</w:t>
      </w:r>
    </w:p>
    <w:p w14:paraId="632C96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第一千一百四十四条　遗嘱继承或者遗赠附有义务的，继承人或者受遗赠人应当履行义务。没有正当理由不履行义务的，经利害关系人或者有关组织请求，人民法院可以取消其接受附义务部分遗产的权利。</w:t>
      </w:r>
    </w:p>
    <w:p w14:paraId="40A6AF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第四章　遗产的处理</w:t>
      </w:r>
    </w:p>
    <w:p w14:paraId="559F24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第一千一百四十五条　继承开始后，遗嘱执行人为遗产管理人；没有遗嘱执行人的，继承人应当及时推选遗产管理人；继承人未推选的，由继承人共同担任遗产管理人；没有继承人或者继承人均放弃继承的，由被继承人生前住所地的民政部门或者村民委员会担任遗产管理人。</w:t>
      </w:r>
    </w:p>
    <w:p w14:paraId="5558E5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第一千一百四十六条　对遗产管理人的确定有争议的，利害关系人可以向人民法院申请指定遗产管理人。</w:t>
      </w:r>
    </w:p>
    <w:p w14:paraId="4E684E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第一千一百四十七条　遗产管理人应当履行下列职责：</w:t>
      </w:r>
    </w:p>
    <w:p w14:paraId="129605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（一）清理遗产并制作遗产清单；</w:t>
      </w:r>
    </w:p>
    <w:p w14:paraId="20660D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（二）向继承人报告遗产情况；</w:t>
      </w:r>
    </w:p>
    <w:p w14:paraId="063226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（三）采取必要措施防止遗产毁损、灭失；</w:t>
      </w:r>
    </w:p>
    <w:p w14:paraId="4D00B1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（四）处理被继承人的债权债务；</w:t>
      </w:r>
    </w:p>
    <w:p w14:paraId="2EB696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（五）按照遗嘱或者依照法律规定分割遗产；</w:t>
      </w:r>
    </w:p>
    <w:p w14:paraId="2DC62D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（六）实施与管理遗产有关的其他必要行为。</w:t>
      </w:r>
    </w:p>
    <w:p w14:paraId="26CD18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第一千一百四十八条　遗产管理人应当依法履行职责，因故意或者重大过失造成继承人、受遗赠人、债权人损害的，应当承担民事责任。</w:t>
      </w:r>
    </w:p>
    <w:p w14:paraId="25361B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第一千一百四十九条　遗产管理人可以依照法律规定或者按照约定获得报酬。</w:t>
      </w:r>
    </w:p>
    <w:p w14:paraId="27DAF5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第一千一百五十条　继承开始后，知道被继承人死亡的继承人应当及时通知其他继承人和遗嘱执行人。继承人中无人知道被继承人死亡或者知道被继承人死亡而不能通知的，由被继承人生前所在单位或者住所地的居民委员会、村民委员会负责通知。</w:t>
      </w:r>
    </w:p>
    <w:p w14:paraId="16126A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第一千一百五十一条　存有遗产的人，应当妥善保管遗产，任何组织或者个人不得侵吞或者争抢。</w:t>
      </w:r>
    </w:p>
    <w:p w14:paraId="5B8390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第一千一百五十二条　继承开始后，继承人于遗产分割前死亡，并没有放弃</w:t>
      </w:r>
      <w:r>
        <w:rPr>
          <w:rFonts w:ascii="宋体" w:eastAsia="宋体" w:hAnsi="宋体" w:cs="宋体" w:hint="eastAsia"/>
          <w:sz w:val="24"/>
        </w:rPr>
        <w:lastRenderedPageBreak/>
        <w:t>继承的，该继承人应当继承的遗产转给其继承人，但是遗嘱另有安排的除外。</w:t>
      </w:r>
    </w:p>
    <w:p w14:paraId="61433B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第一千一百五十三条　夫妻共同所有的财产，除有约定的外，遗产分割时，应当先将共同所有的财产的一半分出为配偶所有，其余的为被继承人的遗产。</w:t>
      </w:r>
    </w:p>
    <w:p w14:paraId="6B5633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遗产在家庭共有财产之中的，遗产分割时，应当先分出他人的财产。</w:t>
      </w:r>
    </w:p>
    <w:p w14:paraId="65043C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第一千一百五十四条　有下列情形之一的，遗产中的有关部分按照法定继承办理：</w:t>
      </w:r>
    </w:p>
    <w:p w14:paraId="6E9009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（一）遗嘱继承人放弃继承或者受遗赠人放弃受遗赠；</w:t>
      </w:r>
    </w:p>
    <w:p w14:paraId="26D3F6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（二）遗嘱继承人丧失继承权或者受遗赠人丧失受遗赠权；</w:t>
      </w:r>
    </w:p>
    <w:p w14:paraId="2CAE0D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（三）遗嘱继承人、受遗赠人先于遗嘱人死亡或者终止；</w:t>
      </w:r>
    </w:p>
    <w:p w14:paraId="2C47C0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（四）遗嘱无效部分所涉及的遗产；</w:t>
      </w:r>
    </w:p>
    <w:p w14:paraId="57A1D4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（五）遗嘱未处分的遗产。</w:t>
      </w:r>
    </w:p>
    <w:p w14:paraId="765892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第一千一百五十五条　遗产分割时，应当保留胎儿的继承份额。胎儿娩出时是死体的，保留的份额按照法定继承办理。</w:t>
      </w:r>
    </w:p>
    <w:p w14:paraId="3EFA72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第一千一百五十六条　遗产分割应当有利于生产和生活需要，不损害遗产的效用。</w:t>
      </w:r>
    </w:p>
    <w:p w14:paraId="28FC06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不宜分割的遗产，可以采取折价、适当补偿或者共有等方法处理。</w:t>
      </w:r>
    </w:p>
    <w:p w14:paraId="67807C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第一千一百五十七条　夫妻一方死亡后另一方再婚的，有权处分所继承的财产，任何组织或者个人不得干涉。</w:t>
      </w:r>
    </w:p>
    <w:p w14:paraId="473931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第一千一百五十八条　自然人可以与继承人以外的组织或者个人签订遗赠扶养协议。按照协议，该组织或者个人承担该自然人生养死葬的义务，享有受遗赠的权利。</w:t>
      </w:r>
    </w:p>
    <w:p w14:paraId="782845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第一千一百五十九条　分割遗产，应当清偿被继承人依法应当缴纳的税款和债务；但是，应当为缺乏劳动能力又没有生活来源的继承人保留必要的遗产。</w:t>
      </w:r>
    </w:p>
    <w:p w14:paraId="3C07FB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第一千一百六十条　无人继承又无人受遗赠的遗产，归国家所有，用于公益</w:t>
      </w:r>
      <w:r>
        <w:rPr>
          <w:rFonts w:ascii="宋体" w:eastAsia="宋体" w:hAnsi="宋体" w:cs="宋体" w:hint="eastAsia"/>
          <w:sz w:val="24"/>
        </w:rPr>
        <w:lastRenderedPageBreak/>
        <w:t>事业；死者生前是集体所有制组织成员的，归所在集体所有制组织所有。</w:t>
      </w:r>
    </w:p>
    <w:p w14:paraId="194A9B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第一千一百六十一条　继承人以所得遗产实际价值为限清偿被继承人依法应当缴纳的税款和债务。超过遗产实际价值部分，继承人自愿偿还的不在此限。</w:t>
      </w:r>
    </w:p>
    <w:p w14:paraId="5E2B36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继承人放弃继承的，对被继承人依法应当缴纳的税款和债务可以不负清偿责任。</w:t>
      </w:r>
    </w:p>
    <w:p w14:paraId="3AD526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第一千一百六十二条　执行遗赠不得妨碍清偿遗赠人依法应当缴纳的税款和债务。</w:t>
      </w:r>
    </w:p>
    <w:p w14:paraId="1E34FF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第一千一百六十三条　既有法定继承又有遗嘱继承、遗赠的，由法定继承人清偿被继承人依法应当缴纳的税款和债务；超过法定继承遗产实际价值部分，由遗嘱继承人和受遗赠人按比例以所得遗产清偿。</w:t>
      </w:r>
    </w:p>
    <w:p w14:paraId="7241BE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第七编　侵权责任</w:t>
      </w:r>
    </w:p>
    <w:p w14:paraId="5F2AC4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一般规定</w:t>
      </w:r>
    </w:p>
    <w:p w14:paraId="06CA0C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第一千一百六十四条　本编调整因侵害民事权益产生的民事关系。</w:t>
      </w:r>
    </w:p>
    <w:p w14:paraId="105CF0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第一千一百六十五条　行为人因过错侵害他人民事权益造成损害的，应当承担侵权责任。</w:t>
      </w:r>
    </w:p>
    <w:p w14:paraId="588333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依照法律规定推定行为人有过错，其不能证明自己没有过错的，应当承担侵权责任。</w:t>
      </w:r>
    </w:p>
    <w:p w14:paraId="3C577B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第一千一百六十六条　行为人造成他人民事权益损害，不论行为人有无过错，法律规定应当承担侵权责任的，依照其规定。</w:t>
      </w:r>
    </w:p>
    <w:p w14:paraId="0335B7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第一千一百六十七条　侵权行为危及他人人身、财产安全的，被侵权人有权请求侵权人承担停止侵害、排除妨碍、消除危险等侵权责任。</w:t>
      </w:r>
    </w:p>
    <w:p w14:paraId="3EC99F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第一千一百六十八条　二人以上共同实施侵权行为，造成他人损害的，应当承担连带责任。</w:t>
      </w:r>
    </w:p>
    <w:p w14:paraId="5808C8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第一千一百六十九条　教唆、帮助他人实施侵权行为的，应当与行为人承担连带责任。</w:t>
      </w:r>
    </w:p>
    <w:p w14:paraId="63FBD8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教唆、帮助无民事行为能力人、限制民事行为能力人实施侵权行为的，应当承担侵权责任；该无民事行为能力人、限制民事行为能力人的监护人未尽到监护职责的，应当承担相应的责任。</w:t>
      </w:r>
    </w:p>
    <w:p w14:paraId="4FB626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第一千一百七十条　二人以上实施危及他人人身、财产安全的行为，其中一人或者数人的行为造成他人损害，能够确定具体侵权人的，由侵权人承担责任；不能确定具体侵权人的，行为人承担连带责任。</w:t>
      </w:r>
    </w:p>
    <w:p w14:paraId="19FD0D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第一千一百七十一条　二人以上分别实施侵权行为造成同一损害，每个人的侵权行为都足以造成全部损害的，行为人承担连带责任。</w:t>
      </w:r>
    </w:p>
    <w:p w14:paraId="1BEA8A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第一千一百七十二条　二人以上分别实施侵权行为造成同一损害，能够确定责任大小的，各自承担相应的责任；难以确定责任大小的，平均承担责任。</w:t>
      </w:r>
    </w:p>
    <w:p w14:paraId="0FD90E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第一千一百七十三条　被侵权人对同一损害的发生或者扩大有过错的，可以减轻侵权人的责任。</w:t>
      </w:r>
    </w:p>
    <w:p w14:paraId="14FD45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第一千一百七十四条　损害是因受害人故意造成的，行为人不承担责任。</w:t>
      </w:r>
    </w:p>
    <w:p w14:paraId="535BF5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第一千一百七十五条　损害是因第三人造成的，第三人应当承担侵权责任。</w:t>
      </w:r>
    </w:p>
    <w:p w14:paraId="09E255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第一千一百七十六条　自愿参加具有一定风险的文体活动，因其他参加者的行为受到损害的，受害人不得请求其他参加者承担侵权责任；但是，其他参加者对损害的发生有故意或者重大过失的除外。</w:t>
      </w:r>
    </w:p>
    <w:p w14:paraId="4AFF63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活动组织者的责任适用本法第一千一百九十八条至第一千二百零一条的规定。</w:t>
      </w:r>
    </w:p>
    <w:p w14:paraId="42A6DD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第一千一百七十七条　合法权益受到侵害，情况紧迫且不能及时获得国家机关保护，</w:t>
      </w:r>
      <w:proofErr w:type="gramStart"/>
      <w:r>
        <w:rPr>
          <w:rFonts w:ascii="宋体" w:eastAsia="宋体" w:hAnsi="宋体" w:cs="宋体" w:hint="eastAsia"/>
          <w:sz w:val="24"/>
        </w:rPr>
        <w:t>不</w:t>
      </w:r>
      <w:proofErr w:type="gramEnd"/>
      <w:r>
        <w:rPr>
          <w:rFonts w:ascii="宋体" w:eastAsia="宋体" w:hAnsi="宋体" w:cs="宋体" w:hint="eastAsia"/>
          <w:sz w:val="24"/>
        </w:rPr>
        <w:t>立即采取措施将使其合法权益受到难以弥补的损害的，受害人可以在保护自己合法权益的必要范围内采取扣留侵权人的财物等合理措施；但是，应当立即请求有关国家机关处理。</w:t>
      </w:r>
    </w:p>
    <w:p w14:paraId="169E2D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受害人采取的措施不当造成他人损害的，应当承担侵权责任。</w:t>
      </w:r>
    </w:p>
    <w:p w14:paraId="4D5434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第一千一百七十八条　本法和其他法律对不承担责任或者减轻责任的情形另有规定的，依照其规定。</w:t>
      </w:r>
    </w:p>
    <w:p w14:paraId="325D28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第二章　损害赔偿</w:t>
      </w:r>
    </w:p>
    <w:p w14:paraId="3AF2C0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第一千一百七十九条　侵害他人造成人身损害的，应当赔偿医疗费、护理费、交通费、营养费、住院伙食补助费等为治疗和康复支出的合理费用，以及因误工减少的收入。造成残疾的，还应当赔偿辅助器具费和残疾赔偿金；造成死亡的，还应当赔偿丧葬费和死亡赔偿金。</w:t>
      </w:r>
    </w:p>
    <w:p w14:paraId="0DC8FC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第一千一百八十条　因同一侵权行为造成多人死亡的，可以以相同数额确定死亡赔偿金。</w:t>
      </w:r>
    </w:p>
    <w:p w14:paraId="727A7E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第一千一百八十一条　被侵权人死亡的，其近亲属有权请求侵权人承担侵权责任。被侵权人为组织，该组织分立、合并的，承继权利的组织有权请求侵权人承担侵权责任。</w:t>
      </w:r>
    </w:p>
    <w:p w14:paraId="6066FB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被侵权人死亡的，支付被侵权人医疗费、丧葬费等合理费用的人有权请求侵权人赔偿费用，但是侵权人已经支付该费用的除外。</w:t>
      </w:r>
    </w:p>
    <w:p w14:paraId="69D097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第一千一百八十二条　侵害他人人身权益造成财产损失的，按照被侵权人因此受到的损失或者侵权人因此获得的利益赔偿；被侵权人因此受到的损失以及侵权人因此获得的利益难以确定，被侵权人和侵权人就赔偿数额协商不一致，向人民法院提起诉讼的，由人民法院根据实际情况确定赔偿数额。</w:t>
      </w:r>
    </w:p>
    <w:p w14:paraId="02610E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第一千一百八十三条　侵害自然人人身权益造成严重精神损害的，被侵权人有权请求精神损害赔偿。</w:t>
      </w:r>
    </w:p>
    <w:p w14:paraId="606E8A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因故意或者重大过失侵害自然人具有人身意义的特定物造成严重精神损害的，被侵权人有权请求精神损害赔偿。</w:t>
      </w:r>
    </w:p>
    <w:p w14:paraId="0BC215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第一千一百八十四条　侵害他人财产的，财产损失按照损失发生时的市场价格或者其他合理方式计算。</w:t>
      </w:r>
    </w:p>
    <w:p w14:paraId="2FC0AB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第一千一百八十五条　故意侵害他人知识产权，情节严重的，被侵权人有权请求相应的惩罚性赔偿。</w:t>
      </w:r>
    </w:p>
    <w:p w14:paraId="0D9021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第一千一百八十六条　受害人和行为人对损害的发生都没有过错的，依照法律的规定由双方分担损失。</w:t>
      </w:r>
    </w:p>
    <w:p w14:paraId="6D7431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第一千一百八十七条　损害发生后，当事人可以协商赔偿费用的支付方式。协商不一致的，赔偿费用应当一次性支付；一次性支付确有困难的，可以分期支付，但是被侵权人有权请求提供相应的担保。</w:t>
      </w:r>
    </w:p>
    <w:p w14:paraId="1DA9AE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责任主体的特殊规定</w:t>
      </w:r>
    </w:p>
    <w:p w14:paraId="1186D6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第一千一百八十八条　无民事行为能力人、限制民事行为能力人造成他人损害的，由监护人承担侵权责任。监护人尽到监护职责的，可以减轻其侵权责任。</w:t>
      </w:r>
    </w:p>
    <w:p w14:paraId="7CD46C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有财产的无民事行为能力人、限制民事行为能力人造成他人损害的，从本人财产中支付赔偿费用；不足部分，由监护人赔偿。</w:t>
      </w:r>
    </w:p>
    <w:p w14:paraId="7C5500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第一千一百八十九条　无民事行为能力人、限制民事行为能力人造成他人损害，监护人将监护职责委托给他人的，监护人应当承担侵权责任；受托人有过错的，承担相应的责任。</w:t>
      </w:r>
    </w:p>
    <w:p w14:paraId="640750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第一千一百九十条　完全民事行为能力人对自己的行为暂时没有意识或者失去控制造成他人损害有过错的，应当承担侵权责任；没有过错的，根据行为人的经济状况对受害人适当补偿。</w:t>
      </w:r>
    </w:p>
    <w:p w14:paraId="07A62B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完全民事行为能力人因醉酒、滥用麻醉药品或者精神药品对自己的行为暂时没有意识或者失去控制造成他人损害的，应当承担侵权责任。</w:t>
      </w:r>
    </w:p>
    <w:p w14:paraId="0CE9A5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第一千一百九十一条　用人单位的工作人员因执行工作任务造成他人损害的，由用人单位承担侵权责任。用人单位承担侵权责任后，可以向有故意或者重大过失的工作人员追偿。</w:t>
      </w:r>
    </w:p>
    <w:p w14:paraId="7A7DA6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劳务派遣期间，被派遣的工作人员因执行工作任务造成他人损害的，由接受劳务派遣的用工单位承担侵权责任；劳务派遣单位有过错的，承担相应的责任。</w:t>
      </w:r>
    </w:p>
    <w:p w14:paraId="417B18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第一千一百九十二条　个人之间形成劳务关系，提供劳务一方因劳务造成他人损害的，由接受劳务一方承担侵权责任。接受劳务一方承担侵权责任后，可以向有故意或者重大过失的提供劳务一方追偿。提供劳务一方因劳务受到损害的，根据双方各自的过错承担相应的责任。</w:t>
      </w:r>
    </w:p>
    <w:p w14:paraId="2A6093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提供劳务期间，因第三人的行为造成提供劳务一方损害的，提供劳务一方有</w:t>
      </w:r>
      <w:r>
        <w:rPr>
          <w:rFonts w:ascii="宋体" w:eastAsia="宋体" w:hAnsi="宋体" w:cs="宋体" w:hint="eastAsia"/>
          <w:sz w:val="24"/>
        </w:rPr>
        <w:lastRenderedPageBreak/>
        <w:t>权请求第三人承担侵权责任，也有权请求接受劳务一方给予补偿。接受劳务一方补偿后，可以向第三人追偿。</w:t>
      </w:r>
    </w:p>
    <w:p w14:paraId="55F7FE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第一千一百九十三条　承揽人在完成工作过程中造成第三人损害或者自己损害的，</w:t>
      </w:r>
      <w:proofErr w:type="gramStart"/>
      <w:r>
        <w:rPr>
          <w:rFonts w:ascii="宋体" w:eastAsia="宋体" w:hAnsi="宋体" w:cs="宋体" w:hint="eastAsia"/>
          <w:sz w:val="24"/>
        </w:rPr>
        <w:t>定作</w:t>
      </w:r>
      <w:proofErr w:type="gramEnd"/>
      <w:r>
        <w:rPr>
          <w:rFonts w:ascii="宋体" w:eastAsia="宋体" w:hAnsi="宋体" w:cs="宋体" w:hint="eastAsia"/>
          <w:sz w:val="24"/>
        </w:rPr>
        <w:t>人不承担侵权责任。但是，</w:t>
      </w:r>
      <w:proofErr w:type="gramStart"/>
      <w:r>
        <w:rPr>
          <w:rFonts w:ascii="宋体" w:eastAsia="宋体" w:hAnsi="宋体" w:cs="宋体" w:hint="eastAsia"/>
          <w:sz w:val="24"/>
        </w:rPr>
        <w:t>定作</w:t>
      </w:r>
      <w:proofErr w:type="gramEnd"/>
      <w:r>
        <w:rPr>
          <w:rFonts w:ascii="宋体" w:eastAsia="宋体" w:hAnsi="宋体" w:cs="宋体" w:hint="eastAsia"/>
          <w:sz w:val="24"/>
        </w:rPr>
        <w:t>人对</w:t>
      </w:r>
      <w:proofErr w:type="gramStart"/>
      <w:r>
        <w:rPr>
          <w:rFonts w:ascii="宋体" w:eastAsia="宋体" w:hAnsi="宋体" w:cs="宋体" w:hint="eastAsia"/>
          <w:sz w:val="24"/>
        </w:rPr>
        <w:t>定作</w:t>
      </w:r>
      <w:proofErr w:type="gramEnd"/>
      <w:r>
        <w:rPr>
          <w:rFonts w:ascii="宋体" w:eastAsia="宋体" w:hAnsi="宋体" w:cs="宋体" w:hint="eastAsia"/>
          <w:sz w:val="24"/>
        </w:rPr>
        <w:t>、指示或者选任有过错的，应当承担相应的责任。</w:t>
      </w:r>
    </w:p>
    <w:p w14:paraId="25E575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第一千一百九十四条　网络用户、网络服务提供者利用网络侵害他人民事权益的，应当承担侵权责任。法律另有规定的，依照其规定。</w:t>
      </w:r>
    </w:p>
    <w:p w14:paraId="6ECB09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第一千一百九十五条　网络用户利用网络服务实施侵权行为的，权利人有权通知网络服务提供者采取删除、屏蔽、断开链接等必要措施。通知应当包括构成侵权的初步证据及权利人的真实身份信息。</w:t>
      </w:r>
    </w:p>
    <w:p w14:paraId="7E3706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网络服务提供者接到通知后，应当及时将该通知转送相关网络用户，并根据构成侵权的初步证据和服务类型采取必要措施；未及时采取必要措施的，对损害的扩大部分与该网络用户承担连带责任。</w:t>
      </w:r>
    </w:p>
    <w:p w14:paraId="201287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权利人因错误通知造成网络用户或者网络服务提供者损害的，应当承担侵权责任。法律另有规定的，依照其规定。</w:t>
      </w:r>
    </w:p>
    <w:p w14:paraId="01EC95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第一千一百九十六条　网络用户接到转送的通知后，可以向网络服务提供者提交不存在侵权行为的声明。声明应当包括不存在侵权行为的初步证据及网络用户的真实身份信息。</w:t>
      </w:r>
    </w:p>
    <w:p w14:paraId="6C2C4C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网络服务提供者接到声明后，应当将该声明转送发出通知的权利人，并告知其可以向有关部门投诉或者向人民法院提起诉讼。网络服务提供者在转送声明到达权利人后的合理期限内，未收到权利人已经投诉或者提起诉讼通知的，应当及时终止所采取的措施。</w:t>
      </w:r>
    </w:p>
    <w:p w14:paraId="7A8B8A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第一千一百九十七条　网络服务提供者知道或者应当知道网络用户利用其网络服务侵害他人民事权益，未采取必要措施的，与该网络用户承担连带责任。</w:t>
      </w:r>
    </w:p>
    <w:p w14:paraId="564C3C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第一千一百九十八条　宾馆、商场、银行、车站、机场、体育场馆、娱乐场所等经营场所、公共场所的经营者、管理者或者群众性活动的组织者，未尽到安</w:t>
      </w:r>
      <w:r>
        <w:rPr>
          <w:rFonts w:ascii="宋体" w:eastAsia="宋体" w:hAnsi="宋体" w:cs="宋体" w:hint="eastAsia"/>
          <w:sz w:val="24"/>
        </w:rPr>
        <w:lastRenderedPageBreak/>
        <w:t>全保障义务，造成他人损害的，应当承担侵权责任。</w:t>
      </w:r>
    </w:p>
    <w:p w14:paraId="45C037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因第三人的行为造成他人损害的，由第三人承担侵权责任；经营者、管理者或者组织者未尽到安全保障义务的，承担相应的补充责任。经营者、管理者或者组织者承担补充责任后，可以向第三人追偿。</w:t>
      </w:r>
    </w:p>
    <w:p w14:paraId="7A20D8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第一千一百九十九条　无民事行为能力人在幼儿园、学校或者其他教育机构学习、生活期间受到人身损害的，幼儿园、学校或者其他教育机构应当承担侵权责任；但是，能够证明尽到教育、管理职责的，不承担侵权责任。</w:t>
      </w:r>
    </w:p>
    <w:p w14:paraId="592CAE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第一千二百条　限制民事行为能力人在学校或者其他教育机构学习、生活期间受到人身损害，学校或者其他教育机构未尽到教育、管理职责的，应当承担侵权责任。</w:t>
      </w:r>
    </w:p>
    <w:p w14:paraId="221CA2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第一千二百零一条　无民事行为能力人或者限制民事行为能力人在幼儿园、学校或者其他教育机构学习、生活期间，受到幼儿园、学校或者其他教育机构以外的第三人人身损害的，由第三人承担侵权责任；幼儿园、学校或者其他教育机构未尽到管理职责的，承担相应的补充责任。幼儿园、学校或者其他教育机构承担补充责任后，可以向第三人追偿。</w:t>
      </w:r>
    </w:p>
    <w:p w14:paraId="3F94BF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产品责任</w:t>
      </w:r>
    </w:p>
    <w:p w14:paraId="48859D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第一千二百零二条　因产品存在缺陷造成他人损害的，生产者应当承担侵权责任。</w:t>
      </w:r>
    </w:p>
    <w:p w14:paraId="48FBEF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第一千二百零三条　因产品存在缺陷造成他人损害的，被侵权人可以向产品的生产者请求赔偿，也可以向产品的销售者请求赔偿。</w:t>
      </w:r>
    </w:p>
    <w:p w14:paraId="042BFA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产品缺陷由生产者造成的，销售者赔偿后，有权向生产者追偿。因销售者的过错使产品存在缺陷的，生产者赔偿后，有权向销售者追偿。</w:t>
      </w:r>
    </w:p>
    <w:p w14:paraId="263E3D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第一千二百零四条　因运输者、仓储者等第三人的过错使产品存在缺陷，造成他人损害的，产品的生产者、销售者赔偿后，有权向第三人追偿。</w:t>
      </w:r>
    </w:p>
    <w:p w14:paraId="3CD7F2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第一千二百零五条　因产品缺陷危及他人人身、财产安全的，被侵权人有权请求生产者、销售者承担停止侵害、排除妨碍、消除危险等侵权责任。</w:t>
      </w:r>
    </w:p>
    <w:p w14:paraId="43856A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第一千二百零六条　产品投入流通后发现存在缺陷的，生产者、销售者应当及时采取停止销售、警示、召回等补救措施；未及时采取补救措施或者补救措施不力造成损害扩大的，对扩大的损害也应当承担侵权责任。</w:t>
      </w:r>
    </w:p>
    <w:p w14:paraId="7052BA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依据前款规定采取召回措施的，生产者、销售者应当负担被侵权人因此支出的必要费用。</w:t>
      </w:r>
    </w:p>
    <w:p w14:paraId="30D4A3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第一千二百零七条　明知产品存在缺陷仍然生产、销售，或者没有依据前条规定采取有效补救措施，造成他人死亡或者健康严重损害的，被侵权人有权请求相应的惩罚性赔偿。</w:t>
      </w:r>
    </w:p>
    <w:p w14:paraId="6891A1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机动车交通事故责任</w:t>
      </w:r>
    </w:p>
    <w:p w14:paraId="35DC15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第一千二百零八条　机动车发生交通事故造成损害的，依照道路交通安全法律和本法的有关规定承担赔偿责任。</w:t>
      </w:r>
    </w:p>
    <w:p w14:paraId="5736E4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第一千二百零九条　因租赁、借用等情形机动车所有人、管理人与使用人不是同一人时，发生交通事故造成损害，属于该机动车一方责任的，由机动车使用人承担赔偿责任；机动车所有人、管理人对损害的发生有过错的，承担相应的赔偿责任。</w:t>
      </w:r>
    </w:p>
    <w:p w14:paraId="6FECF8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第一千二百一十条　当事人之间已经以买卖或者其他方式转让并交付机动车但是未办理登记，发生交通事故造成损害，属于该机动车一方责任的，由受让人承担赔偿责任。</w:t>
      </w:r>
    </w:p>
    <w:p w14:paraId="710E0E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第一千二百一十一条　以挂靠形式从事道路运输经营活动的机动车，发生交通事故造成损害，属于该机动车一方责任的，由挂靠人和被挂靠人承担连带责任。</w:t>
      </w:r>
    </w:p>
    <w:p w14:paraId="435E4A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第一千二百一十二条　未经允许驾驶他人机动车，发生交通事故造成损害，属于该机动车一方责任的，由机动车使用人承担赔偿责任；机动车所有人、管理人对损害的发生有过错的，承担相应的赔偿责任，但是本章另有规定的除外。</w:t>
      </w:r>
    </w:p>
    <w:p w14:paraId="136191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第一千二百一十三条　机动车发生交通事故造成损害，属于该机动车一方责任的，先由承保机动车强制保险的保险人在强制保险责任限额范围内予以赔偿；不足部分，由承保机动车商业保险的保险人按照保险合同的约定予以赔偿；仍然</w:t>
      </w:r>
      <w:r>
        <w:rPr>
          <w:rFonts w:ascii="宋体" w:eastAsia="宋体" w:hAnsi="宋体" w:cs="宋体" w:hint="eastAsia"/>
          <w:sz w:val="24"/>
        </w:rPr>
        <w:lastRenderedPageBreak/>
        <w:t>不足或者没有投保机动车商业保险的，由侵权人赔偿。</w:t>
      </w:r>
    </w:p>
    <w:p w14:paraId="210856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第一千二百一十四条　以买卖或者其他方式转让拼装或者已经达到报废标准的机动车，发生交通事故造成损害的，由转让人和受让人承担连带责任。</w:t>
      </w:r>
    </w:p>
    <w:p w14:paraId="57D944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第一千二百一十五条　盗窃、抢劫或者抢夺的机动车发生交通事故造成损害的，由盗窃人、抢劫人或者抢夺人承担赔偿责任。盗窃人、抢劫人或者抢夺人与机动车使用人不是同一人，发生交通事故造成损害，属于该机动车一方责任的，由盗窃人、抢劫人或者抢夺人与机动车使用人承担连带责任。</w:t>
      </w:r>
    </w:p>
    <w:p w14:paraId="45299D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保险人在机动车强制保险责任限额范围内垫付抢救费用的，有权向交通事故责任人追偿。</w:t>
      </w:r>
    </w:p>
    <w:p w14:paraId="689254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第一千二百一十六条　机动车驾驶人发生交通事故后逃逸，该机动车参加强制保险的，由保险人在机动车强制保险责任限额范围内予以赔偿；机动车不明、该机动车未参加强制保险或者抢救费用超过机动车强制保险责任限额，需要支付被侵权人人身伤亡的抢救、丧葬等费用的，由道路交通事故社会救助基金垫付。道路交通事故社会救助基金垫付后，其管理机构有权向交通事故责任人追偿。</w:t>
      </w:r>
    </w:p>
    <w:p w14:paraId="50CC38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第一千二百一十七条　非营运机动车发生交通事故造成无偿搭乘人损害，属于该机动车一方责任的，应当减轻其赔偿责任，但是机动车使用人有故意或者重大过失的除外。</w:t>
      </w:r>
    </w:p>
    <w:p w14:paraId="45A831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医疗损害责任</w:t>
      </w:r>
    </w:p>
    <w:p w14:paraId="607AFD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第一千二百一十八条　患者在诊疗活动中受到损害，医疗机构或者其医务人员有过错的，由医疗机构承担赔偿责任。</w:t>
      </w:r>
    </w:p>
    <w:p w14:paraId="695BF8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第一千二百一十九条　医务人员在诊疗活动中应当向患者说明病情和医疗措施。需要实施手术、特殊检查、特殊治疗的，医务人员应当及时向患者具体说明医疗风险、替代医疗方案等情况，并取得其明确同意；不能或者不宜向患者说明的，应当向患者的近亲属说明，并取得其明确同意。</w:t>
      </w:r>
    </w:p>
    <w:p w14:paraId="084EDC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医务人员未尽到前款义务，造成患者损害的，医疗机构应当承担赔偿责任。</w:t>
      </w:r>
    </w:p>
    <w:p w14:paraId="546953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第一千二百二十条　因抢救生命垂危的患者等紧急情况，不能取得患者或者</w:t>
      </w:r>
      <w:r>
        <w:rPr>
          <w:rFonts w:ascii="宋体" w:eastAsia="宋体" w:hAnsi="宋体" w:cs="宋体" w:hint="eastAsia"/>
          <w:sz w:val="24"/>
        </w:rPr>
        <w:lastRenderedPageBreak/>
        <w:t>其近亲属意见的，经医疗机构负责人或者授权的负责人批准，可以立即实施相应的医疗措施。</w:t>
      </w:r>
    </w:p>
    <w:p w14:paraId="67A6BC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第一千二百二十一条　医务人员在诊疗活动中未尽到与当时的医疗水平相应的诊疗义务，造成患者损害的，医疗机构应当承担赔偿责任。</w:t>
      </w:r>
    </w:p>
    <w:p w14:paraId="02ABBD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第一千二百二十二条　患者在诊疗活动中受到损害，有下列情形之一的，推定医疗机构有过错：</w:t>
      </w:r>
    </w:p>
    <w:p w14:paraId="119851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（一）违反法律、行政法规、规章以及其他有关诊疗规范的规定；</w:t>
      </w:r>
    </w:p>
    <w:p w14:paraId="1B8C57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（二）隐匿或者拒绝提供与纠纷有关的病历资料；</w:t>
      </w:r>
    </w:p>
    <w:p w14:paraId="72170E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（三）遗失、伪造、篡改或者违法销毁病历资料。</w:t>
      </w:r>
    </w:p>
    <w:p w14:paraId="799301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第一千二百二十三条　因药品、消毒产品、医疗器械的缺陷，或者输入不合格的血液造成患者损害的，患者可以向药品上市许可持有人、生产者、血液提供机构请求赔偿，也可以向医疗机构请求赔偿。患者向医疗机构请求赔偿的，医疗机构赔偿后，有权向负有责任的药品上市许可持有人、生产者、血液提供机构追偿。</w:t>
      </w:r>
    </w:p>
    <w:p w14:paraId="17BA4C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第一千二百二十四条　患者在诊疗活动中受到损害，有下列情形之一的，医疗机构不承担赔偿责任：</w:t>
      </w:r>
    </w:p>
    <w:p w14:paraId="6114C7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（一）患者或者其近亲属不配合医疗机构进行符合诊疗规范的诊疗；</w:t>
      </w:r>
    </w:p>
    <w:p w14:paraId="7528ED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（二）医务人员在抢救生命垂危的患者等紧急情况下已经尽到合理诊疗义务；</w:t>
      </w:r>
    </w:p>
    <w:p w14:paraId="3E1AC2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（三）限于当时的医疗水平难以诊疗。</w:t>
      </w:r>
    </w:p>
    <w:p w14:paraId="23B592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前款第一项情形中，医疗机构或者其医务人员也有过错的，应当承担相应的赔偿责任。</w:t>
      </w:r>
    </w:p>
    <w:p w14:paraId="07CDE1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第一千二百二十五条　医疗机构及其医务人员应当按照规定填写并妥善保管住院志、医嘱单、检验报告、手术及麻醉记录、病理资料、护理记录等病历资料。</w:t>
      </w:r>
    </w:p>
    <w:p w14:paraId="0049E3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患者要求查阅、复制前款规定的病历资料的，医疗机构应当及时提供。</w:t>
      </w:r>
    </w:p>
    <w:p w14:paraId="2DAE4C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第一千二百二十六条　医疗机构及其医务人员应当对患者的隐私和个人信息保密。泄露患者的隐私和个人信息，或者未经患者同意公开其病历资料的，应当承担侵权责任。</w:t>
      </w:r>
    </w:p>
    <w:p w14:paraId="12CC53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第一千二百二十七条　医疗机构及其医务人员不得违反诊疗规范实施不必要的检查。</w:t>
      </w:r>
    </w:p>
    <w:p w14:paraId="43BBFD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第一千二百二十八条　医疗机构及其医务人员的合法权益受法律保护。</w:t>
      </w:r>
    </w:p>
    <w:p w14:paraId="1DEF07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干扰医疗秩序，妨碍医务人员工作、生活，侵害医务人员合法权益的，应当依法承担法律责任。</w:t>
      </w:r>
    </w:p>
    <w:p w14:paraId="75EF05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环境污染和生态破坏责任</w:t>
      </w:r>
    </w:p>
    <w:p w14:paraId="6DABF5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第一千二百二十九条　因污染环境、破坏生态造成他人损害的，侵权人应当承担侵权责任。</w:t>
      </w:r>
    </w:p>
    <w:p w14:paraId="78E5D5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第一千二百三十条　因污染环境、破坏生态发生纠纷，行为人应当就法律规定的不承担责任或者减轻责任的情形及其行为与损害之间不存在因果关系承担举证责任。</w:t>
      </w:r>
    </w:p>
    <w:p w14:paraId="243AD7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第一千二百三十一条　两个以上侵权人污染环境、破坏生态的，承担责任的大小，根据污染物的种类、浓度、排放量，破坏生态的方式、范围、程度，以及行为对损害后果所起的作用等因素确定。</w:t>
      </w:r>
    </w:p>
    <w:p w14:paraId="006CF5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第一千二百三十二条　侵权人违反法律规定故意污染环境、破坏生态造成严重后果的，被侵权人有权请求相应的惩罚性赔偿。</w:t>
      </w:r>
    </w:p>
    <w:p w14:paraId="6F1E73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第一千二百三十三条　因第三人的过错污染环境、破坏生态的，被侵权人可以向侵权人请求赔偿，也可以向第三人请求赔偿。侵权人赔偿后，有权向第三人追偿。</w:t>
      </w:r>
    </w:p>
    <w:p w14:paraId="7E3ACC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第一千二百三十四条　违反国家规定造成生态环境损害，生态环境能够修复的，国家规定的机关或者法律规定的组织有权请求侵权人在合理期限内承担修复责任。侵权人在期限内未修复的，国家规定的机关或者法律规定的组织可以自行或者委托他人进行修复，所需费用由侵权人负担。</w:t>
      </w:r>
    </w:p>
    <w:p w14:paraId="30D5B2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第一千二百三十五条　违反国家规定造成生态环境损害的，国家规定的机关或者法律规定的组织有权请求侵权人赔偿下列损失和费用：</w:t>
      </w:r>
    </w:p>
    <w:p w14:paraId="114061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（一）生态环境受到损害至修复完成期间服务功能丧失导致的损失；</w:t>
      </w:r>
    </w:p>
    <w:p w14:paraId="6DED85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（二）生态环境功能永久性损害造成的损失；</w:t>
      </w:r>
    </w:p>
    <w:p w14:paraId="4C2276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（三）生态环境损害调查、鉴定评估等费用；</w:t>
      </w:r>
    </w:p>
    <w:p w14:paraId="61229F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（四）清除污染、修复生态环境费用；</w:t>
      </w:r>
    </w:p>
    <w:p w14:paraId="0850BE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（五）防止损害的发生和扩大所支出的合理费用。</w:t>
      </w:r>
    </w:p>
    <w:p w14:paraId="1CAAA2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第八章　高度危险责任</w:t>
      </w:r>
    </w:p>
    <w:p w14:paraId="593477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第一千二百三十六条　从事高度危险作业造成他人损害的，应当承担侵权责任。</w:t>
      </w:r>
    </w:p>
    <w:p w14:paraId="4CCCD7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第一千二百三十七条　民用核设施或者运入运出核设施的核材料发生核事故造成他人损害的，民用核设施的营运单位应当承担侵权责任；但是，能够证明损害是因战争、武装冲突、暴乱等情形或者受害人故意造成的，不承担责任。</w:t>
      </w:r>
    </w:p>
    <w:p w14:paraId="6986A1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第一千二百三十八条　民用航空</w:t>
      </w:r>
      <w:proofErr w:type="gramStart"/>
      <w:r>
        <w:rPr>
          <w:rFonts w:ascii="宋体" w:eastAsia="宋体" w:hAnsi="宋体" w:cs="宋体" w:hint="eastAsia"/>
          <w:sz w:val="24"/>
        </w:rPr>
        <w:t>器造成</w:t>
      </w:r>
      <w:proofErr w:type="gramEnd"/>
      <w:r>
        <w:rPr>
          <w:rFonts w:ascii="宋体" w:eastAsia="宋体" w:hAnsi="宋体" w:cs="宋体" w:hint="eastAsia"/>
          <w:sz w:val="24"/>
        </w:rPr>
        <w:t>他人损害的，民用航空器的经营者应当承担侵权责任；但是，能够证明损害是因受害人故意造成的，不承担责任。</w:t>
      </w:r>
    </w:p>
    <w:p w14:paraId="6CFB46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第一千二百三十九条　占有或者使用易燃、易爆、剧毒、高放射性、强腐蚀性、高致病性等高度危险物造成他人损害的，占有人或者使用人应当承担侵权责任；但是，能够证明损害是因受害人故意或者不可抗力造成的，不承担责任。被侵权人对损害的发生有重大过失的，可以减轻占有人或者使用人的责任。</w:t>
      </w:r>
    </w:p>
    <w:p w14:paraId="7ECEE8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第一千二百四十条　从事高空、高压、地下挖掘活动或者使用高速轨道运输工具造成他人损害的，经营者应当承担侵权责任；但是，能够证明损害是因受害人故意或者不可抗力造成的，不承担责任。被侵权人对损害的发生有重大过失的，可以减轻经营者的责任。</w:t>
      </w:r>
    </w:p>
    <w:p w14:paraId="62BAE0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第一千二百四十一条　遗失、抛弃高度危险物造成他人损害的，由所有人承担侵权责任。所有人将高度危险物交由他人管理的，由管理人承担侵权责任；所</w:t>
      </w:r>
      <w:r>
        <w:rPr>
          <w:rFonts w:ascii="宋体" w:eastAsia="宋体" w:hAnsi="宋体" w:cs="宋体" w:hint="eastAsia"/>
          <w:sz w:val="24"/>
        </w:rPr>
        <w:lastRenderedPageBreak/>
        <w:t>有人有过错的，与管理人承担连带责任。</w:t>
      </w:r>
    </w:p>
    <w:p w14:paraId="364372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第一千二百四十二条　非法占有高度危险物造成他人损害的，由非法占有人承担侵权责任。所有人、管理人不能证明对防止非法占有尽到高度注意义务的，与非法占有人承担连带责任。</w:t>
      </w:r>
    </w:p>
    <w:p w14:paraId="548D91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第一千二百四十三条　未经许可进入高度危险活动区域或者高度危险物存放区域受到损害，管理人能够证明已经采取足够安全措施并尽到充分警示义务的，可以减轻或者不承担责任。</w:t>
      </w:r>
    </w:p>
    <w:p w14:paraId="561AF5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第一千二百四十四条　承担高度危险责任，法律规定赔偿限额的，依照其规定，但是行为人有故意或者重大过失的除外。</w:t>
      </w:r>
    </w:p>
    <w:p w14:paraId="6341D8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第九章　饲养动物损害责任</w:t>
      </w:r>
    </w:p>
    <w:p w14:paraId="7029E8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第一千二百四十五条　饲养的动物造成他人损害的，动物饲养人或者管理人应当承担侵权责任；但是，能够证明损害是因被侵权人故意或者重大过失造成的，可以不承担或者减轻责任。</w:t>
      </w:r>
    </w:p>
    <w:p w14:paraId="12D8FC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第一千二百四十六条　违反管理规定，未对动物采取安全措施造成他人损害的，动物饲养人或者管理人应当承担侵权责任；但是，能够证明损害是因被侵权人故意造成的，可以减轻责任。</w:t>
      </w:r>
    </w:p>
    <w:p w14:paraId="2967FD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第一千二百四十七条　禁止饲养的烈性犬等危险动物造成他人损害的，动物饲养人或者管理人应当承担侵权责任。</w:t>
      </w:r>
    </w:p>
    <w:p w14:paraId="158432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第一千二百四十八条　动物园的动物造成他人损害的，动物园应当承担侵权责任；但是，能够证明尽到管理职责的，不承担侵权责任。</w:t>
      </w:r>
    </w:p>
    <w:p w14:paraId="0B9EB3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第一千二百四十九条　遗弃、逃逸的动物在遗弃、逃逸期间造成他人损害的，由动物原饲养人或者管理人承担侵权责任。</w:t>
      </w:r>
    </w:p>
    <w:p w14:paraId="625630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第一千二百五十条　因第三人的过错致使动物造成他人损害的，被侵权人可以向动物饲养人或者管理人请求赔偿，也可以向第三人请求赔偿。动物饲养人或者管理人赔偿后，有权向第三人追偿。</w:t>
      </w:r>
    </w:p>
    <w:p w14:paraId="1F84A3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第一千二百五十一条　饲养动物应当遵守法律法规，尊重社会公德，不得妨</w:t>
      </w:r>
      <w:r>
        <w:rPr>
          <w:rFonts w:ascii="宋体" w:eastAsia="宋体" w:hAnsi="宋体" w:cs="宋体" w:hint="eastAsia"/>
          <w:sz w:val="24"/>
        </w:rPr>
        <w:lastRenderedPageBreak/>
        <w:t>碍他人生活。</w:t>
      </w:r>
    </w:p>
    <w:p w14:paraId="3E71A5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第十章　建筑物和物件损害责任</w:t>
      </w:r>
    </w:p>
    <w:p w14:paraId="28F5CA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第一千二百五十二条　建筑物、构筑物或者其他设施倒塌、塌陷造成他人损害的，由建设单位与施工单位承担连带责任，但是建设单位与施工单位能够证明不存在质量缺陷的除外。建设单位、施工单位赔偿后，有其他责任人的，有权向其他责任人追偿。</w:t>
      </w:r>
    </w:p>
    <w:p w14:paraId="7877FC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因所有人、管理人、使用人或者第三人的原因，建筑物、构筑物或者其他设施倒塌、塌陷造成他人损害的，由所有人、管理人、使用人或者第三人承担侵权责任。</w:t>
      </w:r>
    </w:p>
    <w:p w14:paraId="2E1EE9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第一千二百五十三条　建筑物、构筑物或者其他设施及其搁置物、悬挂物发生脱落、坠落造成他人损害，所有人、管理人或者使用人不能证明自己没有过错的，应当承担侵权责任。所有人、管理人或者使用人赔偿后，有其他责任人的，有权向其他责任人追偿。</w:t>
      </w:r>
    </w:p>
    <w:p w14:paraId="72EF0C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第一千二百五十四条　禁止从建筑物中抛掷物品。从建筑物中抛掷物品或者从建筑物上坠落的物品造成他人损害的，由侵权人依法承担侵权责任；经调查难以确定具体侵权人的，除能够证明自己不是侵权人的外，</w:t>
      </w:r>
      <w:proofErr w:type="gramStart"/>
      <w:r>
        <w:rPr>
          <w:rFonts w:ascii="宋体" w:eastAsia="宋体" w:hAnsi="宋体" w:cs="宋体" w:hint="eastAsia"/>
          <w:sz w:val="24"/>
        </w:rPr>
        <w:t>由可能</w:t>
      </w:r>
      <w:proofErr w:type="gramEnd"/>
      <w:r>
        <w:rPr>
          <w:rFonts w:ascii="宋体" w:eastAsia="宋体" w:hAnsi="宋体" w:cs="宋体" w:hint="eastAsia"/>
          <w:sz w:val="24"/>
        </w:rPr>
        <w:t>加害的建筑物使用人给予补偿。可能加害的建筑物使用人补偿后，有权向侵权人追偿。</w:t>
      </w:r>
    </w:p>
    <w:p w14:paraId="57BD03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物业服务企业等建筑物管理人应当采取必要的安全保障措施防止前款规定情形的发生；未采取必要的安全保障措施的，应当依法承担未履行安全保障义务的侵权责任。</w:t>
      </w:r>
    </w:p>
    <w:p w14:paraId="094969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发生本条第一款规定的情形的，公安等机关应当依法及时调查，查清责任人。</w:t>
      </w:r>
    </w:p>
    <w:p w14:paraId="60682D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第一千二百五十五条　堆放物倒塌、滚落或者滑落造成他人损害，堆放人不能证明自己没有过错的，应当承担侵权责任。</w:t>
      </w:r>
    </w:p>
    <w:p w14:paraId="17B3BE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第一千二百五十六条　在公共道路上堆放、倾倒、遗撒妨碍通行的物品造成他人损害的，由行为人承担侵权责任。公共道路管理人不能证明已经尽到清理、防护、警示等义务的，应当承担相应的责任。</w:t>
      </w:r>
    </w:p>
    <w:p w14:paraId="659CC7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第一千二百五十七条　因林木折断、倾倒或者果实坠落等造成他人损害，林木的所有人或者管理人不能证明自己没有过错的，应当承担侵权责任。</w:t>
      </w:r>
    </w:p>
    <w:p w14:paraId="4A9EF9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第一千二百五十八条　在公共场所或者道路上挖掘、修缮安装地下设施等造成他人损害，施工人不能证明已经设置明显标志和采取安全措施的，应当承担侵权责任。</w:t>
      </w:r>
    </w:p>
    <w:p w14:paraId="4FC664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窨井等地下设施造成他人损害，管理人不能证明尽到管理职责的，应当承担侵权责任。</w:t>
      </w:r>
    </w:p>
    <w:p w14:paraId="08FF2D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附则</w:t>
      </w:r>
    </w:p>
    <w:p w14:paraId="407AD4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第一千二百五十九条　民法所称的“以上”、“以下”、“以内”、“届满”，包括本数；所称的“不满”、“超过”、“以外”，不包括本数。</w:t>
      </w:r>
    </w:p>
    <w:p w14:paraId="434345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第一千二百六十条　本法自2021年1月1日起施行。《中华人民共和国婚姻法》、《中华人民共和国继承法》、《中华人民共和国民法通则》、《中华人民共和国收养法》、《中华人民共和国担保法》、《中华人民共和国合同法》、《中华人民共和国物权法》、《中华人民共和国侵权责任法》、《中华人民共和国民法总则》同时废止。</w:t>
      </w:r>
    </w:p>
    <w:p w14:paraId="06DF1D99"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387F3167"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3.《中华人民共和国专利法(2020修正)》</w:t>
      </w:r>
    </w:p>
    <w:p w14:paraId="029706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发文机构：全国人大常委会    文号：中华人民共和国主席令第55号</w:t>
      </w:r>
    </w:p>
    <w:p w14:paraId="76DF2E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（1984年3月12日第六届全国人民代表大会常务委员会第四次会议通过 根据1992年9月4日第七届全国人民代表大会常务委员会第二十七次会议《关于修改〈中华人民共和国专利法〉的决定》第一次修正 根据2000年8月25日第九届全国人民代表大会常务委员会第十七次会议《关于修改〈中华人民共和国专利法〉的决定》第二次修正 根据2008年12月27日第十一届全国人民代表大会常务委员会第六次会议《关于修改〈中华人民共和国专利法〉的决定》第三次修正 根据2020年10月17日第十三届全国人民代表大会常务委员会第二十二次会议《关于修改＜中华人民共和国专利法＞的决定》第四次修正）</w:t>
      </w:r>
    </w:p>
    <w:p w14:paraId="6B1879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250437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为了保护专利权人的合法权益，鼓励发明创造，推动发明创造的应用，提高创新能力，促进科学技术进步和经济社会发展，制定本法。</w:t>
      </w:r>
    </w:p>
    <w:p w14:paraId="2DC5DD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本法所称的发明创造是指发明、实用新型和外观设计。</w:t>
      </w:r>
    </w:p>
    <w:p w14:paraId="1AE129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发明，是指对产品、方法或者其改进所提出的新的技术方案。</w:t>
      </w:r>
    </w:p>
    <w:p w14:paraId="4AF05C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实用新型，是指对产品的形状、构造或者其结合所提出的适于实用的新的技术方案。</w:t>
      </w:r>
    </w:p>
    <w:p w14:paraId="021745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外观设计，是指对产品的整体或者局部的形状、图案或者其结合以及色彩与形状、图案的结合所</w:t>
      </w:r>
      <w:proofErr w:type="gramStart"/>
      <w:r>
        <w:rPr>
          <w:rFonts w:ascii="宋体" w:eastAsia="宋体" w:hAnsi="宋体" w:cs="宋体" w:hint="eastAsia"/>
          <w:sz w:val="24"/>
        </w:rPr>
        <w:t>作出</w:t>
      </w:r>
      <w:proofErr w:type="gramEnd"/>
      <w:r>
        <w:rPr>
          <w:rFonts w:ascii="宋体" w:eastAsia="宋体" w:hAnsi="宋体" w:cs="宋体" w:hint="eastAsia"/>
          <w:sz w:val="24"/>
        </w:rPr>
        <w:t>的富有美感并适于工业应用的新设计。</w:t>
      </w:r>
    </w:p>
    <w:p w14:paraId="51E163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国务院专利行政部门负责管理全国的专利工作；统一受理和审查专利申请，依法授予专利权。</w:t>
      </w:r>
    </w:p>
    <w:p w14:paraId="4EA54D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省、自治区、直辖市人民政府管理专利工作的部门负责本行政区域内的专利管理工作。</w:t>
      </w:r>
    </w:p>
    <w:p w14:paraId="368A99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申请专利的发明创造涉及国家安全或者重大利益需要保密的，按照国家有关规定办理。</w:t>
      </w:r>
    </w:p>
    <w:p w14:paraId="7E1FA9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第五条　对违反法律、社会公德或者妨害公共利益的发明创造，不授予专利权。</w:t>
      </w:r>
    </w:p>
    <w:p w14:paraId="1FC5AC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对违反法律、行政法规的规定获取或者利用遗传资源，并依赖该遗传资源完成的发明创造，不授予专利权。</w:t>
      </w:r>
    </w:p>
    <w:p w14:paraId="7D6F03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执行本单位的任务或者主要是利用本单位的物质技术条件所完成的发明创造为职务发明创造。职务发明创造申请专利的权利属于该单位，申请被批准后，该单位为专利权人。该单位可以依法处置其职务发明创造申请专利的权利和专利权，促进相关发明创造的实施和运用。</w:t>
      </w:r>
    </w:p>
    <w:p w14:paraId="26F27B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非职务发明创造，申请专利的权利属于发明人或者设计人；申请被批准后，该发明人或者设计人为专利权人。</w:t>
      </w:r>
    </w:p>
    <w:p w14:paraId="3F8968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利用本单位的物质技术条件所完成的发明创造，单位与发明人或者设计人订有合同，对申请专利的权利和专利权的归属</w:t>
      </w:r>
      <w:proofErr w:type="gramStart"/>
      <w:r>
        <w:rPr>
          <w:rFonts w:ascii="宋体" w:eastAsia="宋体" w:hAnsi="宋体" w:cs="宋体" w:hint="eastAsia"/>
          <w:sz w:val="24"/>
        </w:rPr>
        <w:t>作出</w:t>
      </w:r>
      <w:proofErr w:type="gramEnd"/>
      <w:r>
        <w:rPr>
          <w:rFonts w:ascii="宋体" w:eastAsia="宋体" w:hAnsi="宋体" w:cs="宋体" w:hint="eastAsia"/>
          <w:sz w:val="24"/>
        </w:rPr>
        <w:t>约定的，从其约定。</w:t>
      </w:r>
    </w:p>
    <w:p w14:paraId="157507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对发明人或者设计人的非职务发明创造专利申请，任何单位或者个人不得压制。</w:t>
      </w:r>
    </w:p>
    <w:p w14:paraId="459D87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两个以上单位或者个人合作完成的发明创造、一个单位或者个人接受其他单位或者个人委托所完成的发明创造，除另有协议的以外，申请专利的权利属于完成或者共同完成的单位或者个人；申请被批准后，申请的单位或者</w:t>
      </w:r>
      <w:proofErr w:type="gramStart"/>
      <w:r>
        <w:rPr>
          <w:rFonts w:ascii="宋体" w:eastAsia="宋体" w:hAnsi="宋体" w:cs="宋体" w:hint="eastAsia"/>
          <w:sz w:val="24"/>
        </w:rPr>
        <w:t>个</w:t>
      </w:r>
      <w:proofErr w:type="gramEnd"/>
      <w:r>
        <w:rPr>
          <w:rFonts w:ascii="宋体" w:eastAsia="宋体" w:hAnsi="宋体" w:cs="宋体" w:hint="eastAsia"/>
          <w:sz w:val="24"/>
        </w:rPr>
        <w:t>人为专利权人。</w:t>
      </w:r>
    </w:p>
    <w:p w14:paraId="477433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同样的发明创造只能授予一项专利权。但是，同一申请人同日对同样的发明创造</w:t>
      </w:r>
      <w:proofErr w:type="gramStart"/>
      <w:r>
        <w:rPr>
          <w:rFonts w:ascii="宋体" w:eastAsia="宋体" w:hAnsi="宋体" w:cs="宋体" w:hint="eastAsia"/>
          <w:sz w:val="24"/>
        </w:rPr>
        <w:t>既申请</w:t>
      </w:r>
      <w:proofErr w:type="gramEnd"/>
      <w:r>
        <w:rPr>
          <w:rFonts w:ascii="宋体" w:eastAsia="宋体" w:hAnsi="宋体" w:cs="宋体" w:hint="eastAsia"/>
          <w:sz w:val="24"/>
        </w:rPr>
        <w:t>实用新型专利又申请发明专利，先获得的实用新型专利权尚未终止，且申请人声明放弃该实用新型专利权的，可以授予发明专利权。</w:t>
      </w:r>
    </w:p>
    <w:p w14:paraId="4FEECC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两个以上的申请人分别就同样的发明创造申请专利的，专利权授予最先申请的人。</w:t>
      </w:r>
    </w:p>
    <w:p w14:paraId="173409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专利申请权和专利权可以转让。</w:t>
      </w:r>
    </w:p>
    <w:p w14:paraId="424C08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中国单位或者个人向外国人、外国企业或者外国其他组织转让专利申请权或者专利权的，应当依照有关法律、行政法规的规定办理手续。</w:t>
      </w:r>
    </w:p>
    <w:p w14:paraId="79E063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转让专利申请权或者专利权的，当事人应当订立书面合同，并向国务院专利行政部门登记，由国务院专利行政部门予以公告。专利申请权或者专利权的转让自登记之日起生效。</w:t>
      </w:r>
    </w:p>
    <w:p w14:paraId="304D88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发明和实用新型专利权被授予后，除本法另有规定的以外，任何单位或者个人未经专利权人许可，都不得实施其专利，即不得为生产经营目的制造、使用、许诺销售、销售、进口其专利产品，或者使用其专利方法以及使用、许诺销售、销售、进口依照该专利方法直接获得的产品。</w:t>
      </w:r>
    </w:p>
    <w:p w14:paraId="298299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外观设计专利权被授予后，任何单位或者个人未经专利权人许可，都不得实施其专利，即不得为生产经营目的制造、许诺销售、销售、进口其外观设计专利产品。</w:t>
      </w:r>
    </w:p>
    <w:p w14:paraId="125874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任何单位或者个人实施他人专利的，应当与专利权人订立实施许可合同，向专利权人支付专利使用费。被许可人无权允许合同规定以外的任何单位或者个人实施该专利。</w:t>
      </w:r>
    </w:p>
    <w:p w14:paraId="667F72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发明专利申请公布后，申请人可以要求实施其发明的单位或者个人支付适当的费用。</w:t>
      </w:r>
    </w:p>
    <w:p w14:paraId="426B7C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专利申请权或者专利权的共有人对权利的行使有约定的，从其约定。没有约定的，共有人可以单独实施或者以普通许可方式许可他人实施该专利；许可他人实施该专利的，收取的使用费应当在共有人之间分配。</w:t>
      </w:r>
    </w:p>
    <w:p w14:paraId="3082C9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除前款规定的情形外，行使共有的专利申请权或者专利权应当取得全体共有人的同意。</w:t>
      </w:r>
    </w:p>
    <w:p w14:paraId="247078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被授予专利权的单位应当对职务发明创造的发明人或者设计人给予奖励；发明创造专利实施后，根据其推广应用的范围和取得的经济效益，对发明人或者设计人给予合理的报酬。</w:t>
      </w:r>
    </w:p>
    <w:p w14:paraId="09C684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国家鼓励被授予专利权的单位实行产权激励，采取股权、期权、分红等方式，使发明人或者设计人合理分享创新收益。</w:t>
      </w:r>
    </w:p>
    <w:p w14:paraId="1FCC0D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发明人或者设计人有权在专利文件中写明自己是发明人或者设</w:t>
      </w:r>
      <w:r>
        <w:rPr>
          <w:rFonts w:ascii="宋体" w:eastAsia="宋体" w:hAnsi="宋体" w:cs="宋体" w:hint="eastAsia"/>
          <w:sz w:val="24"/>
        </w:rPr>
        <w:lastRenderedPageBreak/>
        <w:t>计人。</w:t>
      </w:r>
    </w:p>
    <w:p w14:paraId="721D6C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专利权人有权在其专利产品或者该产品的包装上标明专利标识。</w:t>
      </w:r>
    </w:p>
    <w:p w14:paraId="6DEAE1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在中国没有经常居所或者营业所的外国人、外国企业或者外国其他组织在中国申请专利的，依照其所属国同中国签订的协议或者共同参加的国际条约，或者依照互惠原则，根据本法办理。</w:t>
      </w:r>
    </w:p>
    <w:p w14:paraId="66D60E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在中国没有经常居所或者营业所的外国人、外国企业或者外国其他组织在中国申请专利和办理其他专利事务的，应当委托依法设立的专利代理机构办理。</w:t>
      </w:r>
    </w:p>
    <w:p w14:paraId="3D0854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中国单位或者个人在国内申请专利和办理其他专利事务的，可以委托依法设立的专利代理机构办理。</w:t>
      </w:r>
    </w:p>
    <w:p w14:paraId="03A70B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专利代理机构应当遵守法律、行政法规，按照被代理人的委托办理专利申请或者其他专利事务；对被代理人发明创造的内容，</w:t>
      </w:r>
      <w:proofErr w:type="gramStart"/>
      <w:r>
        <w:rPr>
          <w:rFonts w:ascii="宋体" w:eastAsia="宋体" w:hAnsi="宋体" w:cs="宋体" w:hint="eastAsia"/>
          <w:sz w:val="24"/>
        </w:rPr>
        <w:t>除专利</w:t>
      </w:r>
      <w:proofErr w:type="gramEnd"/>
      <w:r>
        <w:rPr>
          <w:rFonts w:ascii="宋体" w:eastAsia="宋体" w:hAnsi="宋体" w:cs="宋体" w:hint="eastAsia"/>
          <w:sz w:val="24"/>
        </w:rPr>
        <w:t>申请已经公布或者公告的以外，负有保密责任。专利代理机构的具体管理办法由国务院规定。</w:t>
      </w:r>
    </w:p>
    <w:p w14:paraId="3A7FAC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任何单位或者个人将在中国完成的发明或者实用新型向外国申请专利的，应当事先报经国务院专利行政部门进行保密审查。保密审查的程序、期限等按照国务院的规定执行。</w:t>
      </w:r>
    </w:p>
    <w:p w14:paraId="4F01DF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中国单位或者个人可以根据中华人民共和国参加的有关国际条约提出专利国际申请。申请人提出专利国际申请的，应当遵守前款规定。</w:t>
      </w:r>
    </w:p>
    <w:p w14:paraId="15EB60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国务院专利行政部门依照中华人民共和国参加的有关国际条约、本法和国务院有关规定处理专利国际申请。</w:t>
      </w:r>
    </w:p>
    <w:p w14:paraId="01E699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对违反本条第一款规定向外国申请专利的发明或者实用新型，在中国申请专利的，不授予专利权。</w:t>
      </w:r>
    </w:p>
    <w:p w14:paraId="069C2A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申请专利和行使专利权应当遵循诚实信用原则。不得滥用专利权损害公共利益或者他人合法权益。</w:t>
      </w:r>
    </w:p>
    <w:p w14:paraId="300631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滥用专利权，排除或者限制竞争，构成垄断行为的，依照《中华人民共和国反垄断法》处理。</w:t>
      </w:r>
    </w:p>
    <w:p w14:paraId="78A236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第二十一条　国务院专利行政部门应当按照客观、公正、准确、及时的要求，依法处理有关专利的申请和请求。</w:t>
      </w:r>
    </w:p>
    <w:p w14:paraId="021EBF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国务院专利行政部门应当加强专利信息公共服务体系建设，完整、准确、及时发布专利信息，提供专利基础数据，定期出版专利公报，促进专利信息传播与利用。</w:t>
      </w:r>
    </w:p>
    <w:p w14:paraId="70A23D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在专利申请公布或者公告前，国务院专利行政部门的工作人员及有关人员对其内容负有保密责任。</w:t>
      </w:r>
    </w:p>
    <w:p w14:paraId="1B2E36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授予专利权的条件</w:t>
      </w:r>
    </w:p>
    <w:p w14:paraId="56E3B9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授予专利权的发明和实用新型，应当具备新颖性、创造性和实用性。</w:t>
      </w:r>
    </w:p>
    <w:p w14:paraId="79458B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新颖性，是指该发明或者实用</w:t>
      </w:r>
      <w:proofErr w:type="gramStart"/>
      <w:r>
        <w:rPr>
          <w:rFonts w:ascii="宋体" w:eastAsia="宋体" w:hAnsi="宋体" w:cs="宋体" w:hint="eastAsia"/>
          <w:sz w:val="24"/>
        </w:rPr>
        <w:t>新型不</w:t>
      </w:r>
      <w:proofErr w:type="gramEnd"/>
      <w:r>
        <w:rPr>
          <w:rFonts w:ascii="宋体" w:eastAsia="宋体" w:hAnsi="宋体" w:cs="宋体" w:hint="eastAsia"/>
          <w:sz w:val="24"/>
        </w:rPr>
        <w:t>属于现有技术；也没有任何单位或者个人就同样的发明或者实用新型在申请日以前向国务院专利行政部门提出过申请，并记载在申请日以后公布的专利申请文件或者公告的专利文件中。</w:t>
      </w:r>
    </w:p>
    <w:p w14:paraId="7BFB5A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创造性，是指与现有技术相比，该发明具有突出的实质性特点和显著的进步，该实用新型具有实质性特点和进步。</w:t>
      </w:r>
    </w:p>
    <w:p w14:paraId="74C176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实用性，是指该发明或者实用新型能够制造或者使用，并且能够产生积极效果。</w:t>
      </w:r>
    </w:p>
    <w:p w14:paraId="3CF5A4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本法所称现有技术，是指申请日以前在国内外为公众所知的技术。</w:t>
      </w:r>
    </w:p>
    <w:p w14:paraId="36B698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授予专利权的外观设计，应当不属于现有设计；也没有任何单位或者个人就同样的外观设计在申请日以前向国务院专利行政部门提出过申请，并记载在申请日以后公告的专利文件中。</w:t>
      </w:r>
    </w:p>
    <w:p w14:paraId="15FF9A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授予专利权的外观设计与现有设计或者现有设计特征的组合相比，应当具有明显区别。</w:t>
      </w:r>
    </w:p>
    <w:p w14:paraId="09D4FA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授予专利权的外观设计不得与他人在申请日以前已经取得的合法权利相冲突。</w:t>
      </w:r>
    </w:p>
    <w:p w14:paraId="4AA960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本法所称现有设计，是指申请日以前在国内外为公众所知的设计。</w:t>
      </w:r>
    </w:p>
    <w:p w14:paraId="5ED6DC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申请专利的发明创造在申请日以前六个月内，有下列情形之一的，不丧失新颖性：</w:t>
      </w:r>
    </w:p>
    <w:p w14:paraId="73D68F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（一）在国家出现紧急状态或者非常情况时，为公共利益目的首次公开的；</w:t>
      </w:r>
    </w:p>
    <w:p w14:paraId="094113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（二）在中国政府主办或者承认的国际展览会上首次展出的；</w:t>
      </w:r>
    </w:p>
    <w:p w14:paraId="20A79C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（三）在规定的学术会议或者技术会议上首次发表的；</w:t>
      </w:r>
    </w:p>
    <w:p w14:paraId="59226C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（四）他人未经申请人同意而泄露其内容的。</w:t>
      </w:r>
    </w:p>
    <w:p w14:paraId="18A124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对下列各项，不授予专利权：</w:t>
      </w:r>
    </w:p>
    <w:p w14:paraId="78FB95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（一）科学发现；</w:t>
      </w:r>
    </w:p>
    <w:p w14:paraId="669DEB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（二）智力活动的规则和方法；</w:t>
      </w:r>
    </w:p>
    <w:p w14:paraId="535B8C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（三）疾病的诊断和治疗方法；</w:t>
      </w:r>
    </w:p>
    <w:p w14:paraId="7A2CE7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（四）动物和植物品种；</w:t>
      </w:r>
    </w:p>
    <w:p w14:paraId="27B15C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（五）原子核变换方法以及用原子核变换方法获得的物质；</w:t>
      </w:r>
    </w:p>
    <w:p w14:paraId="5A3BF5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（六）对平面印刷品的图案、色彩或者二者的结合</w:t>
      </w:r>
      <w:proofErr w:type="gramStart"/>
      <w:r>
        <w:rPr>
          <w:rFonts w:ascii="宋体" w:eastAsia="宋体" w:hAnsi="宋体" w:cs="宋体" w:hint="eastAsia"/>
          <w:sz w:val="24"/>
        </w:rPr>
        <w:t>作出</w:t>
      </w:r>
      <w:proofErr w:type="gramEnd"/>
      <w:r>
        <w:rPr>
          <w:rFonts w:ascii="宋体" w:eastAsia="宋体" w:hAnsi="宋体" w:cs="宋体" w:hint="eastAsia"/>
          <w:sz w:val="24"/>
        </w:rPr>
        <w:t>的主要起标识作用的设计。</w:t>
      </w:r>
    </w:p>
    <w:p w14:paraId="493DFF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对前款第（四）项所列产品的生产方法，可以依照本法规定授予专利权。</w:t>
      </w:r>
    </w:p>
    <w:p w14:paraId="6A7D20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专利的申请</w:t>
      </w:r>
    </w:p>
    <w:p w14:paraId="5D499E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申请发明或者实用新型专利的，应当提交请求书、说明书及其摘要和权利要求书等文件。</w:t>
      </w:r>
    </w:p>
    <w:p w14:paraId="6C43D1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请求书应当写明发明或者实用新型的名称，发明人的姓名，申请人姓名或者名称、地址，以及其他事项。</w:t>
      </w:r>
    </w:p>
    <w:p w14:paraId="00C20A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说明书应当对发明或者实用新型</w:t>
      </w:r>
      <w:proofErr w:type="gramStart"/>
      <w:r>
        <w:rPr>
          <w:rFonts w:ascii="宋体" w:eastAsia="宋体" w:hAnsi="宋体" w:cs="宋体" w:hint="eastAsia"/>
          <w:sz w:val="24"/>
        </w:rPr>
        <w:t>作出</w:t>
      </w:r>
      <w:proofErr w:type="gramEnd"/>
      <w:r>
        <w:rPr>
          <w:rFonts w:ascii="宋体" w:eastAsia="宋体" w:hAnsi="宋体" w:cs="宋体" w:hint="eastAsia"/>
          <w:sz w:val="24"/>
        </w:rPr>
        <w:t>清楚、完整的说明，以所属技术领域的技术人员能够实现为准；必要的时候，应当有附图。摘要应当简要说明发明或者实用新型的技术要点。</w:t>
      </w:r>
    </w:p>
    <w:p w14:paraId="2F106D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权利要求书应当以说明书为依据，清楚、简要地限定要求专利保护的范围。</w:t>
      </w:r>
    </w:p>
    <w:p w14:paraId="243E0F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依赖遗传资源完成的发明创造，申请人应当在专利申请文件中说明该遗传资源的直接来源和原始来源；申请人无法说明原始来源的，应当陈述理由。</w:t>
      </w:r>
    </w:p>
    <w:p w14:paraId="7BDE94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申请外观设计专利的，应当提交请求书、该外观设计的图片或者照片以及对该外观设计的简要说明等文件。</w:t>
      </w:r>
    </w:p>
    <w:p w14:paraId="24FF03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申请人提交的有关图片或者照片应当清楚地显示要求专利保护的产品的外观设计。</w:t>
      </w:r>
    </w:p>
    <w:p w14:paraId="662F8C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国务院专利行政部门收到专利申请文件之日为申请日。如果申请文件是邮寄的，以寄出的邮戳日为申请日。</w:t>
      </w:r>
    </w:p>
    <w:p w14:paraId="491AB7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申请人自发明或者实用新型在外国第一次提出专利申请之日起十二个月内，或者自外观设计在外国第一次提出专利申请之日起六个月内，又在中国就相同主题提出专利申请的，依照该外国同中国签订的协议或者共同参加的国际条约，或者依照相互承认优先权的原则，可以享有优先权。</w:t>
      </w:r>
    </w:p>
    <w:p w14:paraId="2106A7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申请人自发明或者实用新型在中国第一次提出专利申请之日起十二个月内，或者自外观设计在中国第一次提出专利申请之日起六个月内，又向国务院专利行政部门就相同主题提出专利申请的，可以享有优先权。</w:t>
      </w:r>
    </w:p>
    <w:p w14:paraId="175664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申请人要求发明、实用新型专利优先权的，应当在申请的时候提出书面声明，并且在第一次提出申请之日起十六个月内，提交第一次提出的专利申请文件的副本。</w:t>
      </w:r>
    </w:p>
    <w:p w14:paraId="686B95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申请人要求外观设计专利优先权的，应当在申请的时候提出书面声明，并且在三个月内提交第一次提出的专利申请文件的副本。</w:t>
      </w:r>
    </w:p>
    <w:p w14:paraId="02614C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申请人未提出书面声明或者逾期未提交专利申请文件副本的，视为未要求优先权。</w:t>
      </w:r>
    </w:p>
    <w:p w14:paraId="69BEB9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一件发明或者实用新型专利申请应当限于一项发明或者实用新型。属于一个总的发明构思的两项以上的发明或者实用新型，可以作为一件申请提出。</w:t>
      </w:r>
    </w:p>
    <w:p w14:paraId="54E73E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一件外观设计专利申请应当限于一项外观设计。同一产品两项以上的相似外观设计，或者用于同一类别并且成套出售或者使用的产品的两项以上外观设计，可以作为一件申请提出。</w:t>
      </w:r>
    </w:p>
    <w:p w14:paraId="46466B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申请人可以在被授予专利权之前随时撤回其专利申请。</w:t>
      </w:r>
    </w:p>
    <w:p w14:paraId="168871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申请人可以对其专利申请文件进行修改，但是，对发明和实用新型专利申请文件的修改不得超出原说明书和权利要求书记载的范围，对外观设计专利申请文件的修改不得超出原图片或者照片表示的范围。</w:t>
      </w:r>
    </w:p>
    <w:p w14:paraId="0B85BA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专利申请的审查和批准</w:t>
      </w:r>
    </w:p>
    <w:p w14:paraId="2462D4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国务院专利行政部门收到发明专利申请后，经初步审查认为符合本法要求的，自申请日起满十八个月，即行公布。国务院专利行政部门可以根据申请人的请求早日公布其申请。</w:t>
      </w:r>
    </w:p>
    <w:p w14:paraId="7E7C17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发明专利申请自申请日起三年内，国务院专利行政部门可以根据申请人随时提出的请求，对其申请进行实质审查；申请人无正当理由逾期不请求实质审查的，该申请即被视为撤回。</w:t>
      </w:r>
    </w:p>
    <w:p w14:paraId="79A3B1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国务院专利行政部门认为必要的时候，可以自行对发明专利申请进行实质审查。</w:t>
      </w:r>
    </w:p>
    <w:p w14:paraId="17D72A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发明专利的申请人请求实质审查的时候，应当提交在申请日前与其发明有关的参考资料。</w:t>
      </w:r>
    </w:p>
    <w:p w14:paraId="348461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发明专利已经在外国提出过申请的，国务院专利行政部门可以要求申请人在指定期限内提交该国为审查其申请进行检索的资料或者审查结果的资料；无正当理由逾期不提交的，该申请即被视为撤回。</w:t>
      </w:r>
    </w:p>
    <w:p w14:paraId="559D89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国务院专利行政部门对发明专利申请进行实质审查后，认为不符合本法规定的，应当通知申请人，要求其在指定的期限内陈述意见，或者对其申请进行修改；无正当理由逾期不答复的，该申请即被视为撤回。</w:t>
      </w:r>
    </w:p>
    <w:p w14:paraId="179D97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发明专利申请经申请人陈述意见或者进行修改后，国务院专利行政部门仍然认为不符合本法规定的，应当予以驳回。</w:t>
      </w:r>
    </w:p>
    <w:p w14:paraId="13C9BC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第三十九条　发明专利申请经实质审查没有发现驳回理由的，由国务院专利行政部门</w:t>
      </w:r>
      <w:proofErr w:type="gramStart"/>
      <w:r>
        <w:rPr>
          <w:rFonts w:ascii="宋体" w:eastAsia="宋体" w:hAnsi="宋体" w:cs="宋体" w:hint="eastAsia"/>
          <w:sz w:val="24"/>
        </w:rPr>
        <w:t>作出</w:t>
      </w:r>
      <w:proofErr w:type="gramEnd"/>
      <w:r>
        <w:rPr>
          <w:rFonts w:ascii="宋体" w:eastAsia="宋体" w:hAnsi="宋体" w:cs="宋体" w:hint="eastAsia"/>
          <w:sz w:val="24"/>
        </w:rPr>
        <w:t>授予发明专利权的决定，发给发明专利证书，同时予以登记和公告。发明专利权自公告之日起生效。</w:t>
      </w:r>
    </w:p>
    <w:p w14:paraId="3D4F75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实用新型和外观设计专利申请经初步审查没有发现驳回理由的，由国务院专利行政部门</w:t>
      </w:r>
      <w:proofErr w:type="gramStart"/>
      <w:r>
        <w:rPr>
          <w:rFonts w:ascii="宋体" w:eastAsia="宋体" w:hAnsi="宋体" w:cs="宋体" w:hint="eastAsia"/>
          <w:sz w:val="24"/>
        </w:rPr>
        <w:t>作出</w:t>
      </w:r>
      <w:proofErr w:type="gramEnd"/>
      <w:r>
        <w:rPr>
          <w:rFonts w:ascii="宋体" w:eastAsia="宋体" w:hAnsi="宋体" w:cs="宋体" w:hint="eastAsia"/>
          <w:sz w:val="24"/>
        </w:rPr>
        <w:t>授予实用新型专利权或者外观设计专利权的决定，发给相应的专利证书，同时予以登记和公告。实用新型专利权和外观设计专利权自公告之日起生效。</w:t>
      </w:r>
    </w:p>
    <w:p w14:paraId="2C5799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专利申请人对国务院专利行政部门驳回申请的决定不服的，可以自收到通知之日起三个月内向国务院专利行政部门请求复审。国务院专利行政部门复审后，</w:t>
      </w:r>
      <w:proofErr w:type="gramStart"/>
      <w:r>
        <w:rPr>
          <w:rFonts w:ascii="宋体" w:eastAsia="宋体" w:hAnsi="宋体" w:cs="宋体" w:hint="eastAsia"/>
          <w:sz w:val="24"/>
        </w:rPr>
        <w:t>作出</w:t>
      </w:r>
      <w:proofErr w:type="gramEnd"/>
      <w:r>
        <w:rPr>
          <w:rFonts w:ascii="宋体" w:eastAsia="宋体" w:hAnsi="宋体" w:cs="宋体" w:hint="eastAsia"/>
          <w:sz w:val="24"/>
        </w:rPr>
        <w:t>决定，并通知专利申请人。</w:t>
      </w:r>
    </w:p>
    <w:p w14:paraId="37B90B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专利申请人对国务院专利行政部门的复审决定不服的，可以自收到通知之日起三个月内向人民法院起诉。</w:t>
      </w:r>
    </w:p>
    <w:p w14:paraId="50EA49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专利权的期限、终止和无效</w:t>
      </w:r>
    </w:p>
    <w:p w14:paraId="4707AC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发明专利权的期限为二十年，实用新型专利权的期限为十年，外观设计专利权的期限为十五年，均自申请日起计算。</w:t>
      </w:r>
    </w:p>
    <w:p w14:paraId="0C625B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自发明专利申请日起满四年，且自实质审查请求之日起满三年后授予发明专利权的，国务院专利行政部门应专利权人的请求，就发明专利在授权过程中的不合理延迟给予专利权期限补偿，但由申请人引起的不合理延迟除外。</w:t>
      </w:r>
    </w:p>
    <w:p w14:paraId="346019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为补偿新药上市</w:t>
      </w:r>
      <w:proofErr w:type="gramStart"/>
      <w:r>
        <w:rPr>
          <w:rFonts w:ascii="宋体" w:eastAsia="宋体" w:hAnsi="宋体" w:cs="宋体" w:hint="eastAsia"/>
          <w:sz w:val="24"/>
        </w:rPr>
        <w:t>审评审批</w:t>
      </w:r>
      <w:proofErr w:type="gramEnd"/>
      <w:r>
        <w:rPr>
          <w:rFonts w:ascii="宋体" w:eastAsia="宋体" w:hAnsi="宋体" w:cs="宋体" w:hint="eastAsia"/>
          <w:sz w:val="24"/>
        </w:rPr>
        <w:t>占用的时间，对在中国获得上市许可的新药相关发明专利，国务院专利行政部门应专利权人的请求给予专利权期限补偿。补偿期限不超过五年，新药批准上市后总有效专利权期限不超过十四年。</w:t>
      </w:r>
    </w:p>
    <w:p w14:paraId="65BD45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专利权人应当自被授予专利权的当年开始缴纳年费。</w:t>
      </w:r>
    </w:p>
    <w:p w14:paraId="290F73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有下列情形之一的，专利权在期限届满前终止：</w:t>
      </w:r>
    </w:p>
    <w:p w14:paraId="50CBAC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（一）没有按照规定缴纳年费的；</w:t>
      </w:r>
    </w:p>
    <w:p w14:paraId="309F18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（二）专利权人以书面声明放弃其专利权的。</w:t>
      </w:r>
    </w:p>
    <w:p w14:paraId="6272A4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专利权在期限届满前终止的，由国务院专利行政部门登记和公告。</w:t>
      </w:r>
    </w:p>
    <w:p w14:paraId="632EB3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自国务院专利行政部门公告授予专利权之日起，任何单位或者个人认为该专利权的授予不符合本法有关规定的，可以请求国务院专利行政部门宣告该专利权无效。</w:t>
      </w:r>
    </w:p>
    <w:p w14:paraId="119F88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国务院专利行政部门对宣告专利权无效的请求应当及时审查和</w:t>
      </w:r>
      <w:proofErr w:type="gramStart"/>
      <w:r>
        <w:rPr>
          <w:rFonts w:ascii="宋体" w:eastAsia="宋体" w:hAnsi="宋体" w:cs="宋体" w:hint="eastAsia"/>
          <w:sz w:val="24"/>
        </w:rPr>
        <w:t>作出</w:t>
      </w:r>
      <w:proofErr w:type="gramEnd"/>
      <w:r>
        <w:rPr>
          <w:rFonts w:ascii="宋体" w:eastAsia="宋体" w:hAnsi="宋体" w:cs="宋体" w:hint="eastAsia"/>
          <w:sz w:val="24"/>
        </w:rPr>
        <w:t>决定，并通知请求人和专利权人。宣告专利权无效的决定，由国务院专利行政部门登记和公告。</w:t>
      </w:r>
    </w:p>
    <w:p w14:paraId="3038E0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对国务院专利行政部门宣告专利权无效或者维持专利权的决定不服的，可以自收到通知之日起三个月内向人民法院起诉。人民法院应当通知无效宣告请求程序的对方当事人作为第三人参加诉讼。</w:t>
      </w:r>
    </w:p>
    <w:p w14:paraId="10FEC0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宣告无效的专利权视为自始即不存在。</w:t>
      </w:r>
    </w:p>
    <w:p w14:paraId="1828E7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宣告专利权无效的决定，对在宣告专利权无效前人民法院</w:t>
      </w:r>
      <w:proofErr w:type="gramStart"/>
      <w:r>
        <w:rPr>
          <w:rFonts w:ascii="宋体" w:eastAsia="宋体" w:hAnsi="宋体" w:cs="宋体" w:hint="eastAsia"/>
          <w:sz w:val="24"/>
        </w:rPr>
        <w:t>作出</w:t>
      </w:r>
      <w:proofErr w:type="gramEnd"/>
      <w:r>
        <w:rPr>
          <w:rFonts w:ascii="宋体" w:eastAsia="宋体" w:hAnsi="宋体" w:cs="宋体" w:hint="eastAsia"/>
          <w:sz w:val="24"/>
        </w:rPr>
        <w:t>并已执行的专利侵权的判决、调解书，已经履行或者强制执行的专利侵权纠纷处理决定，以及已经履行的专利实施许可合同和专利权转让合同，不具有追溯力。但是因专利权人的恶意给他人造成的损失，应当给予赔偿。</w:t>
      </w:r>
    </w:p>
    <w:p w14:paraId="744B7A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依照前款规定</w:t>
      </w:r>
      <w:proofErr w:type="gramStart"/>
      <w:r>
        <w:rPr>
          <w:rFonts w:ascii="宋体" w:eastAsia="宋体" w:hAnsi="宋体" w:cs="宋体" w:hint="eastAsia"/>
          <w:sz w:val="24"/>
        </w:rPr>
        <w:t>不</w:t>
      </w:r>
      <w:proofErr w:type="gramEnd"/>
      <w:r>
        <w:rPr>
          <w:rFonts w:ascii="宋体" w:eastAsia="宋体" w:hAnsi="宋体" w:cs="宋体" w:hint="eastAsia"/>
          <w:sz w:val="24"/>
        </w:rPr>
        <w:t>返还专利侵权赔偿金、专利使用费、专利权转让费，明显违反公平原则的，应当全部或者部分返还。</w:t>
      </w:r>
    </w:p>
    <w:p w14:paraId="0EB337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专利实施的特别许可</w:t>
      </w:r>
    </w:p>
    <w:p w14:paraId="0C58D3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国务院专利行政部门、地方人民政府管理专利工作的部门应当会同同级相关部门采取措施，加强专利公共服务，促进专利实施和运用。</w:t>
      </w:r>
    </w:p>
    <w:p w14:paraId="46C13A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第四十九条　国有企业事业单位的发明专利，对国家利益或者公共利益具有重大意义的，国务院有关主管部门和省、自治区、直辖市人民政府报经国务院批准，可以决定在批准的范围内推广应用，允许指定的单位实施，由实施单位按照国家规定向专利权人支付使用费。</w:t>
      </w:r>
    </w:p>
    <w:p w14:paraId="7DF31B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第五十条　专利权人自愿以书面方式向国务院专利行政部门声明愿意许可任何单位或者个人实施其专利，并明确许可使用费支付方式、标准的，由国务院</w:t>
      </w:r>
      <w:r>
        <w:rPr>
          <w:rFonts w:ascii="宋体" w:eastAsia="宋体" w:hAnsi="宋体" w:cs="宋体" w:hint="eastAsia"/>
          <w:sz w:val="24"/>
        </w:rPr>
        <w:lastRenderedPageBreak/>
        <w:t>专利行政部门予以公告，实行开放许可。就实用新型、外观设计专利提出开放许可声明的，应当提供专利权评价报告。</w:t>
      </w:r>
    </w:p>
    <w:p w14:paraId="726BAA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专利权人撤回开放许可声明的，应当以书面方式提出，并由国务院专利行政部门予以公告。开放许可声明被公告撤回的，不影响在先给予的开放许可的效力。</w:t>
      </w:r>
    </w:p>
    <w:p w14:paraId="2771F9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第五十一条　任何单位或者个人有意愿实施开放许可的专利的，以书面方式通知专利权人，并依照公告的许可使用费支付方式、标准支付许可使用费后，即获得专利实施许可。</w:t>
      </w:r>
    </w:p>
    <w:p w14:paraId="5A6E81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开放许可实施期间，对专利权人缴纳专利年费相应给予减免。</w:t>
      </w:r>
    </w:p>
    <w:p w14:paraId="5C6F20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实行开放许可的专利权人可以与被许可人就许可使用费进行协商后给予普通许可，但不得就该专利给予独占或者排他许可。</w:t>
      </w:r>
    </w:p>
    <w:p w14:paraId="2E475E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第五十二条　当事人就实施开放许可发生纠纷的，由当事人协商解决；不愿协商或者协商不成的，可以请求国务院专利行政部门进行调解，也可以向人民法院起诉。</w:t>
      </w:r>
    </w:p>
    <w:p w14:paraId="02FB9A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第五十三条　有下列情形之一的，国务院专利行政部门根据具备实施条件的单位或者个人的申请，可以给予实施发明专利或者实用新型专利的强制许可：</w:t>
      </w:r>
    </w:p>
    <w:p w14:paraId="095A92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（一）专利权人自专利权被授予之日起满三年，且自提出专利申请之日起满四年，无正当理由未实施或者未充分实施其专利的；</w:t>
      </w:r>
    </w:p>
    <w:p w14:paraId="72A3B0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（二）专利权人行使专利权的行为被依法认定为垄断行为，为消除或者减少该行为对竞争产生的不利影响的。</w:t>
      </w:r>
    </w:p>
    <w:p w14:paraId="0CA529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第五十四条　在国家出现紧急状态或者非常情况时，或者为了公共利益的目的，国务院专利行政部门可以给予实施发明专利或者实用新型专利的强制许可。</w:t>
      </w:r>
    </w:p>
    <w:p w14:paraId="374033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第五十五条　为了公共健康目的，对取得专利权的药品，国务院专利行政部门可以给予制造并将其出口到符合中华人民共和国参加的有关国际条约规定的国家或者地区的强制许可。</w:t>
      </w:r>
    </w:p>
    <w:p w14:paraId="350378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第五十六条　一项取得专利权的发明或者实用新型比前已经取得专利权的发明或者实用新型具有显著经济意义的重大技术进步，其实施又有赖于前一发明</w:t>
      </w:r>
      <w:r>
        <w:rPr>
          <w:rFonts w:ascii="宋体" w:eastAsia="宋体" w:hAnsi="宋体" w:cs="宋体" w:hint="eastAsia"/>
          <w:sz w:val="24"/>
        </w:rPr>
        <w:lastRenderedPageBreak/>
        <w:t>或者实用新型的实施的，国务院专利行政部门根据后一专利权人的申请，可以给予实施前一发明或者实用新型的强制许可。</w:t>
      </w:r>
    </w:p>
    <w:p w14:paraId="61398F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在依照前款规定给予实施强制许可的情形下，国务院专利行政部门根据前一专利权人的申请，也可以给予实施后一发明或者实用新型的强制许可。</w:t>
      </w:r>
    </w:p>
    <w:p w14:paraId="783903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第五十七条　强制许可涉及的发明创造为半导体技术的，其实施限于公共利益的目的和本法第五十三条第（二）项规定的情形。</w:t>
      </w:r>
    </w:p>
    <w:p w14:paraId="3E53DE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第五十八条　除依照本法第五十三条第（二）项、第五十五条规定给予的强制许可外，强制许可的实施应当主要为了供应国内市场。</w:t>
      </w:r>
    </w:p>
    <w:p w14:paraId="328098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第五十九条　依照本法第五十三条第（一）项、第五十六条规定申请强制许可的单位或者个人应当提供证据，证明其以合理的条件请求专利权人许可其实施专利，但未能在合理的时间内获得许可。</w:t>
      </w:r>
    </w:p>
    <w:p w14:paraId="0A6773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第六十条　国务院专利行政部门</w:t>
      </w:r>
      <w:proofErr w:type="gramStart"/>
      <w:r>
        <w:rPr>
          <w:rFonts w:ascii="宋体" w:eastAsia="宋体" w:hAnsi="宋体" w:cs="宋体" w:hint="eastAsia"/>
          <w:sz w:val="24"/>
        </w:rPr>
        <w:t>作出</w:t>
      </w:r>
      <w:proofErr w:type="gramEnd"/>
      <w:r>
        <w:rPr>
          <w:rFonts w:ascii="宋体" w:eastAsia="宋体" w:hAnsi="宋体" w:cs="宋体" w:hint="eastAsia"/>
          <w:sz w:val="24"/>
        </w:rPr>
        <w:t>的给予实施强制许可的决定，应当及时通知专利权人，并予以登记和公告。</w:t>
      </w:r>
    </w:p>
    <w:p w14:paraId="3DC1A3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给予实施强制许可的决定，应当根据强制许可的理由规定实施的范围和时间。强制许可的理由消除并不再发生时，国务院专利行政部门应当根据专利权人的请求，经审查后作出终止实施强制许可的决定。</w:t>
      </w:r>
    </w:p>
    <w:p w14:paraId="489EFB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第六十一条　取得实施强制许可的单位或者个人不享有独占的实施权，并且无权允许他人实施。</w:t>
      </w:r>
    </w:p>
    <w:p w14:paraId="162BCF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第六十二条　取得实施强制许可的单位或者个人应当付给专利权人合理的使用费，或者依照中华人民共和国参加的有关国际条约的规定处理使用费问题。付给使用费的，其数额由双方协商；双方不能达成协议的，由国务院专利行政部门裁决。</w:t>
      </w:r>
    </w:p>
    <w:p w14:paraId="29BFC1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第六十三条　专利权人对国务院专利行政部门关于实施强制许可的决定不服的，专利权人和取得实施强制许可的单位或者个人对国务院专利行政部门关于实施强制许可的使用费的裁决不服的，可以自收到通知之日起三个月内向人民法院起诉。</w:t>
      </w:r>
    </w:p>
    <w:p w14:paraId="3C5C64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第七章　专利权的保护</w:t>
      </w:r>
    </w:p>
    <w:p w14:paraId="3F9529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第六十四条　发明或者实用新型专利权的保护范围以其权利要求的内容为准，说明书及附图可以用于解释权利要求的内容。</w:t>
      </w:r>
    </w:p>
    <w:p w14:paraId="58764E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外观设计专利权的保护范围以表示在图片或者照片中的该产品的外观设计为准，简要说明可以用于解释图片或者照片所表示的该产品的外观设计。</w:t>
      </w:r>
    </w:p>
    <w:p w14:paraId="4DA1EF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第六十五条　未经专利权人许可，实施其专利，即侵犯其专利权，引起纠纷的，由当事人协商解决；不愿协商或者协商不成的，专利权人或者利害关系人可以向人民法院起诉，也可以请求管理专利工作的部门处理。管理专利工作的部门处理时，认定侵权行为成立的，可以责令侵权人立即停止侵权行为，当事人不服的，可以自收到处理通知之日起十五日内依照《中华人民共和国行政诉讼法》向人民法院起诉；侵权人期满不起诉又不停止侵权行为的，管理专利工作的部门可以申请人民法院强制执行。进行处理的管理专利工作的部门应当事人的请求，可以就侵犯专利权的赔偿数额进行调解；调解不成的，当事人可以依照《中华人民共和国民事诉讼法》向人民法院起诉。</w:t>
      </w:r>
    </w:p>
    <w:p w14:paraId="586C56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第六十六条　专利侵权纠纷涉及新产品制造方法的发明专利的，制造同样产品的单位或者个人应当提供其产品制造方法不同于专利方法的证明。</w:t>
      </w:r>
    </w:p>
    <w:p w14:paraId="4F4F08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专利侵权纠纷涉及实用新型专利或者外观设计专利的，人民法院或者管理专利工作的部门可以要求专利权人或者利害关系人出具由国务院专利行政部门对相关实用新型或者外观设计进行检索、分析和评价后作出的专利权评价报告，作为审理、处理专利侵权纠纷的证据；专利权人、利害关系人或者被控侵权人也可以主动出具专利权评价报告。</w:t>
      </w:r>
    </w:p>
    <w:p w14:paraId="260DB5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第六十七条　在专利侵权纠纷中，被控侵权人有证据证明其实施的技术或者设计属于现有技术或者现有设计的，不构成侵犯专利权。</w:t>
      </w:r>
    </w:p>
    <w:p w14:paraId="770B61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第六十八条　假冒专利的，除依法承担民事责任外，由负责专利执法的部门责令改正并予公告，没收违法所得，可以处违法所得五倍以下的罚款；没有违法所得或者违法所得在五万元以下的，可以处二十五万元以下的罚款；构成犯罪的，依法追究刑事责任。</w:t>
      </w:r>
    </w:p>
    <w:p w14:paraId="0A9B28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第六十九条　负责专利执法的部门根据已经取得的证据，对涉嫌假冒专利行为进行查处时，有权采取下列措施：</w:t>
      </w:r>
    </w:p>
    <w:p w14:paraId="7D7B0D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（一）询问有关当事人，调查与涉嫌违法行为有关的情况；</w:t>
      </w:r>
    </w:p>
    <w:p w14:paraId="74C6E2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（二）对当事人涉嫌违法行为的场所实施现场检查；</w:t>
      </w:r>
    </w:p>
    <w:p w14:paraId="0CFBBD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（三）查阅、复制与涉嫌违法行为有关的合同、发票、账簿以及其他有关资料；</w:t>
      </w:r>
    </w:p>
    <w:p w14:paraId="3096C6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（四）检查与涉嫌违法行为有关的产品；</w:t>
      </w:r>
    </w:p>
    <w:p w14:paraId="233F00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（五）对有证据证明是假冒专利的产品，可以查封或者扣押。</w:t>
      </w:r>
    </w:p>
    <w:p w14:paraId="4308C3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管理专利工作的部门应专利权人或者利害关系人的请求处理专利侵权纠纷时，可以采取前款第（一）项、第（二）项、第（四）项所列措施。</w:t>
      </w:r>
    </w:p>
    <w:p w14:paraId="424F9E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负责专利执法的部门、管理专利工作的部门依法行使前两款规定的职权时，当事人应当予以协助、配合，不得拒绝、阻挠。</w:t>
      </w:r>
    </w:p>
    <w:p w14:paraId="0378CA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第七十条　国务院专利行政部门可以应专利权人或者利害关系人的请求处理在全国有重大影响的专利侵权纠纷。</w:t>
      </w:r>
    </w:p>
    <w:p w14:paraId="4C0580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地方人民政府管理专利工作的部门应专利权人或者利害关系人请求处理专利侵权纠纷，对在本行政区域内侵犯其同一专利权的案件可以合并处理；对跨区域侵犯其同一专利权的案件可以请求上级地方人民政府管理专利工作的部门处理。</w:t>
      </w:r>
    </w:p>
    <w:p w14:paraId="0A2687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第七十一条　侵犯专利权的赔偿数额按照权利人因被侵权所受到的实际损失或者侵权人因侵权所获得的利益确定；权利人的损失或者侵权人获得的利益难以确定的，参照该专利许可使用费的倍数合理确定。对故意侵犯专利权，情节严重的，可以在按照上述方法确定数额的一倍以上五倍以下确定赔偿数额。</w:t>
      </w:r>
    </w:p>
    <w:p w14:paraId="03376F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权利人的损失、侵权人获得的利益和专利许可使用费均难以确定的，人民法院可以根据专利权的类型、侵权行为的性质和情节等因素，确定给予三万元以上五百万元以下的赔偿。</w:t>
      </w:r>
    </w:p>
    <w:p w14:paraId="00ADD9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赔偿数额还应当包括权利人为制止侵权行为所支付的合理开支。</w:t>
      </w:r>
    </w:p>
    <w:p w14:paraId="288EAD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为确定赔偿数额，在权利人已经尽力举证，而与侵权行为相关的账簿、资料主要由侵权人掌握的情况下，可以责令侵权人提供与侵权行为相关的账簿、资料；侵权人不提供或者提供虚假的账簿、资料的，人民法院可以参考权利人的主张和提供的证据判定赔偿数额。</w:t>
      </w:r>
    </w:p>
    <w:p w14:paraId="04A0D6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第七十二条　专利权人或者利害关系人有证据证明他人正在实施或者即将实施侵犯专利权、妨碍其实现权利的行为，如不及时制止将会使其合法权益受到难以弥补的损害的，可以在起诉前依法向人民法院申请采取财产保全、责令</w:t>
      </w:r>
      <w:proofErr w:type="gramStart"/>
      <w:r>
        <w:rPr>
          <w:rFonts w:ascii="宋体" w:eastAsia="宋体" w:hAnsi="宋体" w:cs="宋体" w:hint="eastAsia"/>
          <w:sz w:val="24"/>
        </w:rPr>
        <w:t>作出</w:t>
      </w:r>
      <w:proofErr w:type="gramEnd"/>
      <w:r>
        <w:rPr>
          <w:rFonts w:ascii="宋体" w:eastAsia="宋体" w:hAnsi="宋体" w:cs="宋体" w:hint="eastAsia"/>
          <w:sz w:val="24"/>
        </w:rPr>
        <w:t>一定行为或者禁止</w:t>
      </w:r>
      <w:proofErr w:type="gramStart"/>
      <w:r>
        <w:rPr>
          <w:rFonts w:ascii="宋体" w:eastAsia="宋体" w:hAnsi="宋体" w:cs="宋体" w:hint="eastAsia"/>
          <w:sz w:val="24"/>
        </w:rPr>
        <w:t>作出</w:t>
      </w:r>
      <w:proofErr w:type="gramEnd"/>
      <w:r>
        <w:rPr>
          <w:rFonts w:ascii="宋体" w:eastAsia="宋体" w:hAnsi="宋体" w:cs="宋体" w:hint="eastAsia"/>
          <w:sz w:val="24"/>
        </w:rPr>
        <w:t>一定行为的措施。</w:t>
      </w:r>
    </w:p>
    <w:p w14:paraId="294E45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第七十三条　为了制止专利侵权行为，在证据可能灭失或者以后难以取得的情况下，专利权人或者利害关系人可以在起诉前依法向人民法院申请保全证据。</w:t>
      </w:r>
    </w:p>
    <w:p w14:paraId="3AC6C5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第七十四条　侵犯专利权的诉讼时效为三年，自专利权人或者利害关系人知道或者应当知道侵权行为以及侵权人之日起计算。</w:t>
      </w:r>
    </w:p>
    <w:p w14:paraId="7693AC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明专利申请公布后至专利权授予前使用该发明未支付适当使用费的，专利权人要求支付使用费的诉讼时效为三年，自专利权人知道或者应当知道他人使用其发明之日起计算，但是，专利权人于专利权授予之日前即已知道或者应当知道的，自专利权授予之日起计算。</w:t>
      </w:r>
    </w:p>
    <w:p w14:paraId="1A3E7F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第七十五条　有下列情形之一的，</w:t>
      </w:r>
      <w:proofErr w:type="gramStart"/>
      <w:r>
        <w:rPr>
          <w:rFonts w:ascii="宋体" w:eastAsia="宋体" w:hAnsi="宋体" w:cs="宋体" w:hint="eastAsia"/>
          <w:sz w:val="24"/>
        </w:rPr>
        <w:t>不</w:t>
      </w:r>
      <w:proofErr w:type="gramEnd"/>
      <w:r>
        <w:rPr>
          <w:rFonts w:ascii="宋体" w:eastAsia="宋体" w:hAnsi="宋体" w:cs="宋体" w:hint="eastAsia"/>
          <w:sz w:val="24"/>
        </w:rPr>
        <w:t>视为侵犯专利权：</w:t>
      </w:r>
    </w:p>
    <w:p w14:paraId="6ABB5B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（一）专利产品或者依照专利方法直接获得的产品，由专利权人或者经其许可的单位、个人售出后，使用、许诺销售、销售、进口该产品的；</w:t>
      </w:r>
    </w:p>
    <w:p w14:paraId="309F37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（二）在专利申请日前已经制造相同产品、使用相同方法或者已经作好制造、使用的必要准备，并且仅在原有范围内继续制造、使用的；</w:t>
      </w:r>
    </w:p>
    <w:p w14:paraId="672FE9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（三）临时通过中国领陆、领水、领空的外国运输工具，依照其所属国同中国签订的协议或者共同参加的国际条约，或者依照互惠原则，为运输工具自身需要而在其装置和设备中使用有关专利的；</w:t>
      </w:r>
    </w:p>
    <w:p w14:paraId="34177B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（四）专为科学研究和实验而使用有关专利的；</w:t>
      </w:r>
    </w:p>
    <w:p w14:paraId="03E345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（五）为提供行政审批所需要的信息，制造、使用、进口专利药品或者专利医疗器械的，以及专门为其制造、进口专利药品或者专利医疗器械的。</w:t>
      </w:r>
    </w:p>
    <w:p w14:paraId="40F675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第七十六条　药品上市</w:t>
      </w:r>
      <w:proofErr w:type="gramStart"/>
      <w:r>
        <w:rPr>
          <w:rFonts w:ascii="宋体" w:eastAsia="宋体" w:hAnsi="宋体" w:cs="宋体" w:hint="eastAsia"/>
          <w:sz w:val="24"/>
        </w:rPr>
        <w:t>审评审批</w:t>
      </w:r>
      <w:proofErr w:type="gramEnd"/>
      <w:r>
        <w:rPr>
          <w:rFonts w:ascii="宋体" w:eastAsia="宋体" w:hAnsi="宋体" w:cs="宋体" w:hint="eastAsia"/>
          <w:sz w:val="24"/>
        </w:rPr>
        <w:t>过程中，药品上市许可申请人与有关专利权人或者利害关系人，因申请注册的药品相关的专利权产生纠纷的，相关当事人可以向人民法院起诉，请求就申请注册的药品相关技术方案是否落入他人药品专利权保护范围</w:t>
      </w:r>
      <w:proofErr w:type="gramStart"/>
      <w:r>
        <w:rPr>
          <w:rFonts w:ascii="宋体" w:eastAsia="宋体" w:hAnsi="宋体" w:cs="宋体" w:hint="eastAsia"/>
          <w:sz w:val="24"/>
        </w:rPr>
        <w:t>作出</w:t>
      </w:r>
      <w:proofErr w:type="gramEnd"/>
      <w:r>
        <w:rPr>
          <w:rFonts w:ascii="宋体" w:eastAsia="宋体" w:hAnsi="宋体" w:cs="宋体" w:hint="eastAsia"/>
          <w:sz w:val="24"/>
        </w:rPr>
        <w:t>判决。国务院药品监督管理部门在规定的期限内，可以根据人民法院生效裁判</w:t>
      </w:r>
      <w:proofErr w:type="gramStart"/>
      <w:r>
        <w:rPr>
          <w:rFonts w:ascii="宋体" w:eastAsia="宋体" w:hAnsi="宋体" w:cs="宋体" w:hint="eastAsia"/>
          <w:sz w:val="24"/>
        </w:rPr>
        <w:t>作出</w:t>
      </w:r>
      <w:proofErr w:type="gramEnd"/>
      <w:r>
        <w:rPr>
          <w:rFonts w:ascii="宋体" w:eastAsia="宋体" w:hAnsi="宋体" w:cs="宋体" w:hint="eastAsia"/>
          <w:sz w:val="24"/>
        </w:rPr>
        <w:t>是否暂停批准相关药品上市的决定。</w:t>
      </w:r>
    </w:p>
    <w:p w14:paraId="4A0722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药品上市许可申请人与有关专利权人或者利害关系人也可以就申请注册的药品相关的专利权纠纷，向国务院专利行政部门请求行政裁决。</w:t>
      </w:r>
    </w:p>
    <w:p w14:paraId="0EBD58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国务院药品监督管理部门会同国务院专利行政部门制定药品上市许可审批与药品上市许可申请阶段专利权纠纷解决的具体衔接办法，报国务院同意后实施。</w:t>
      </w:r>
    </w:p>
    <w:p w14:paraId="10ED41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第七十七条　为生产经营目的使用、许诺销售或者销售不知道是未经专利权人许可而制造并售出的专利侵权产品，能证明该产品合法来源的，不承担赔偿责任。</w:t>
      </w:r>
    </w:p>
    <w:p w14:paraId="7906A0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第七十八条　违反本法第十九条规定向外国申请专利，泄露国家秘密的，由所在单位或者上级主管机关给予行政处分；构成犯罪的，依法追究刑事责任。</w:t>
      </w:r>
    </w:p>
    <w:p w14:paraId="0E4257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第七十九条　管理专利工作的部门不得参与向社会推荐专利产品等经营活动。</w:t>
      </w:r>
    </w:p>
    <w:p w14:paraId="2218AD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管理专利工作的部门违反前款规定的，由其上级机关或者监察机关责令改正，消除影响，有违法收入的予以没收；情节严重的，对直接负责的主管人员和其他直接责任人员依法给予处分。</w:t>
      </w:r>
    </w:p>
    <w:p w14:paraId="27C7BD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第八十条　从事专利管理工作的国家机关工作人员以及其他有关国家机关工作人员玩忽职守、滥用职权、徇私舞弊，构成犯罪的，依法追究刑事责任；尚不构成犯罪的，依法给予处分。</w:t>
      </w:r>
    </w:p>
    <w:p w14:paraId="34AB09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第八章　附则</w:t>
      </w:r>
    </w:p>
    <w:p w14:paraId="2094DB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第八十一条　向国务院专利行政部门申请专利和办理其他手续，应当按照规</w:t>
      </w:r>
      <w:r>
        <w:rPr>
          <w:rFonts w:ascii="宋体" w:eastAsia="宋体" w:hAnsi="宋体" w:cs="宋体" w:hint="eastAsia"/>
          <w:sz w:val="24"/>
        </w:rPr>
        <w:lastRenderedPageBreak/>
        <w:t>定缴纳费用。</w:t>
      </w:r>
    </w:p>
    <w:p w14:paraId="09B5E6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第八十二条　本法自1985年4月1日起施行。</w:t>
      </w:r>
    </w:p>
    <w:p w14:paraId="22516DF8"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28F493F1" w14:textId="77777777" w:rsidR="00F50CD8" w:rsidRDefault="00000000">
      <w:pPr>
        <w:autoSpaceDE w:val="0"/>
        <w:spacing w:afterLines="50" w:after="156" w:line="360" w:lineRule="auto"/>
        <w:ind w:firstLineChars="200" w:firstLine="482"/>
        <w:outlineLvl w:val="2"/>
        <w:rPr>
          <w:rFonts w:ascii="宋体" w:eastAsia="宋体" w:hAnsi="宋体" w:cs="宋体" w:hint="eastAsia"/>
          <w:b/>
          <w:bCs/>
          <w:sz w:val="24"/>
        </w:rPr>
      </w:pPr>
      <w:r>
        <w:rPr>
          <w:rFonts w:ascii="宋体" w:eastAsia="宋体" w:hAnsi="宋体" w:cs="宋体" w:hint="eastAsia"/>
          <w:b/>
          <w:bCs/>
          <w:sz w:val="24"/>
          <w:lang w:bidi="ar"/>
        </w:rPr>
        <w:lastRenderedPageBreak/>
        <w:t>4.《中华人民共和国刑法（2023修正）》</w:t>
      </w:r>
    </w:p>
    <w:p w14:paraId="49DC5E04" w14:textId="77777777" w:rsidR="00F50CD8" w:rsidRDefault="00000000">
      <w:pPr>
        <w:autoSpaceDE w:val="0"/>
        <w:spacing w:afterLines="50" w:after="156" w:line="360" w:lineRule="auto"/>
        <w:ind w:firstLineChars="200" w:firstLine="480"/>
        <w:outlineLvl w:val="0"/>
        <w:rPr>
          <w:rFonts w:ascii="宋体" w:eastAsia="宋体" w:hAnsi="宋体" w:cs="宋体" w:hint="eastAsia"/>
          <w:sz w:val="24"/>
        </w:rPr>
      </w:pPr>
      <w:r>
        <w:rPr>
          <w:rFonts w:ascii="宋体" w:eastAsia="宋体" w:hAnsi="宋体" w:cs="宋体" w:hint="eastAsia"/>
          <w:sz w:val="24"/>
          <w:lang w:bidi="ar"/>
        </w:rPr>
        <w:t>发文机构：全国人民代表大会    文号：中华人民共和国主席令第66号</w:t>
      </w:r>
    </w:p>
    <w:p w14:paraId="260F94A6" w14:textId="77777777" w:rsidR="00F50CD8" w:rsidRDefault="00000000">
      <w:pPr>
        <w:autoSpaceDE w:val="0"/>
        <w:spacing w:afterLines="50" w:after="156" w:line="360" w:lineRule="auto"/>
        <w:ind w:firstLineChars="200" w:firstLine="480"/>
        <w:rPr>
          <w:rFonts w:ascii="宋体" w:eastAsia="宋体" w:hAnsi="宋体" w:cs="宋体" w:hint="eastAsia"/>
          <w:sz w:val="24"/>
          <w:lang w:bidi="ar"/>
        </w:rPr>
      </w:pPr>
      <w:r>
        <w:rPr>
          <w:rFonts w:ascii="宋体" w:eastAsia="宋体" w:hAnsi="宋体" w:cs="宋体" w:hint="eastAsia"/>
          <w:sz w:val="24"/>
          <w:lang w:bidi="ar"/>
        </w:rPr>
        <w:t>（1979年7月1日第五届全国人民代表大会第二次会议通过 1997年3月14日第八届全国人民代表大会第五次会议修订 根据1998年12月29日第九届全国人民代表大会常务委员会第六次会议通过的《全国人民代表大会常务委员会关于惩治骗购外汇、逃汇和非法买卖外汇犯罪的决定》、1999年12月25日第九届全国人民代表大会常务委员会第十三次会议通过的《中华人民共和国刑法修正案》、2001年8月31日第九届全国人民代表大会常务委员会第二十三次会议通过的《中华人民共和国刑法修正案（二）》、2001年12月29日第九届全国人民代表大会常务委员会第二十五次会议通过的《中华人民共和国刑法修正案（三）》、2002年12月28日第九届全国人民代表大会常务委员会第三十一次会议通过的《中华人民共和国刑法修正案（四）》、2005年2月28日第十届全国人民代表大会常务委员会第十四次会议通过的《中华人民共和国刑法修正案（五）》、2006年6月29日第十届全国人民代表大会常务委员会第二十二次会议通过的《中华人民共和国刑法修正案（六）》、2009年2月28日第十一届全国人民代表大会常务委员会第七次会议通过的《中华人民共和国刑法修正案（七）》、2009年8月27日第十一届全国人民代表大会常务委员会第十次会议通过的《全国人民代表大会常务委员会关于修改部分法律的决定》、2011年2月25日第十一届全国人民代表大会常务委员会第十九次会议通过的《中华人民共和国刑法修正案（八）》、2015年8月29日第十二届全国人民代表大会常务委员会第十六次会议通过的《中华人民共和国刑法修正案（九）》、2017年11月4日第十二届全国人民代表大会常务委员会第三十次会议通过的《中华人民共和国刑法修正案（十）》、2020年12月26日第十三届全国人民代表大会常务委员会第二十四次会议通过的《中华人民共和国刑法修正案（十一）》和2023年12月29日第十四届全国人民代表大会常务委员会第七次会议通过的《中华人民共和国刑法修正案（十一）》修正）。</w:t>
      </w:r>
    </w:p>
    <w:p w14:paraId="3EC66BF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第一编 总则</w:t>
      </w:r>
    </w:p>
    <w:p w14:paraId="5D27A28A" w14:textId="77777777" w:rsidR="00F50CD8" w:rsidRDefault="00000000">
      <w:pPr>
        <w:autoSpaceDE w:val="0"/>
        <w:spacing w:afterLines="50" w:after="156" w:line="360" w:lineRule="auto"/>
        <w:ind w:firstLineChars="200" w:firstLine="480"/>
        <w:outlineLvl w:val="0"/>
        <w:rPr>
          <w:rFonts w:ascii="宋体" w:eastAsia="宋体" w:hAnsi="宋体" w:cs="宋体" w:hint="eastAsia"/>
          <w:sz w:val="24"/>
        </w:rPr>
      </w:pPr>
      <w:r>
        <w:rPr>
          <w:rFonts w:ascii="宋体" w:eastAsia="宋体" w:hAnsi="宋体" w:cs="宋体" w:hint="eastAsia"/>
          <w:sz w:val="24"/>
          <w:lang w:bidi="ar"/>
        </w:rPr>
        <w:lastRenderedPageBreak/>
        <w:t>第一章 刑法的任务、基本原则和适用范围</w:t>
      </w:r>
    </w:p>
    <w:p w14:paraId="5493657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第一条 【立法宗旨】为了惩罚犯罪，保护人民，根据宪法，结合我国同犯罪作斗争的具体经验及实际情况，制定本法。</w:t>
      </w:r>
    </w:p>
    <w:p w14:paraId="35A9790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第二条 【本法任务】中华人民共和国刑法的任务，是用刑罚同一切犯罪行为作斗争，以保卫国家安全，保卫人民民主专政的政权和社会主义制度，保护国有财产和劳动群众集体所有的财产，保护公民私人所有的财产，保护公民的人身权利、民主权利和其他权利，维护社会秩序、经济秩序，保障社会主义建设事业的顺利进行。</w:t>
      </w:r>
    </w:p>
    <w:p w14:paraId="4195BF3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第三条 【罪刑法定】法律明文规定为犯罪行为的，依照法律定罪处刑；法律没有明文规定为犯罪行为的，不得定罪处刑。</w:t>
      </w:r>
    </w:p>
    <w:p w14:paraId="28D666F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第四条 【适用刑法人人平等】对任何人犯罪，在适用法律上一律平等。不允许任何人有超越法律的特权。</w:t>
      </w:r>
    </w:p>
    <w:p w14:paraId="443A045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第五条 【罪责刑相适应】刑罚的轻重，应当与犯罪分子所犯罪行和承担的刑事责任相适应。</w:t>
      </w:r>
    </w:p>
    <w:p w14:paraId="00C4CD2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第六条 【属地管辖权】凡在中华人民共和国领域内犯罪的，除法律有特别规定的以外，都适用本法。</w:t>
      </w:r>
    </w:p>
    <w:p w14:paraId="18FE30D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凡在中华人民共和国船舶或者航空器内犯罪的，也适用本法。</w:t>
      </w:r>
    </w:p>
    <w:p w14:paraId="6AA3CD3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犯罪的行为或者结果有一项发生在中华人民共和国领域内的，就认为是在中华人民共和国领域内犯罪。</w:t>
      </w:r>
    </w:p>
    <w:p w14:paraId="2904B60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第七条 【属人管辖权】中华人民共和国公民在中华人民共和国领域外犯本法规定之罪的，适用本法，但是按本法规定的最高刑为三年以下有期徒刑的，可以不予追究。</w:t>
      </w:r>
    </w:p>
    <w:p w14:paraId="34C7C9B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中华人民共和国国家工作人员和军人在中华人民共和国领域外犯本法规定之罪的，适用本法。</w:t>
      </w:r>
    </w:p>
    <w:p w14:paraId="6F923A8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第八条 【保护管辖权】外国人在中华人民共和国领域外对中华人民共和国国家</w:t>
      </w:r>
      <w:r>
        <w:rPr>
          <w:rFonts w:ascii="宋体" w:eastAsia="宋体" w:hAnsi="宋体" w:cs="宋体" w:hint="eastAsia"/>
          <w:sz w:val="24"/>
          <w:lang w:bidi="ar"/>
        </w:rPr>
        <w:lastRenderedPageBreak/>
        <w:t>或者公民犯罪，而按本法规定的最低刑为三年以上有期徒刑的，可以适用本法，但是按照犯罪地的法律不受处罚的除外。</w:t>
      </w:r>
    </w:p>
    <w:p w14:paraId="57DC776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第九条 【普遍管辖权】对于中华人民共和国缔结或者参加的国际条约所规定的罪行，中华人民共和国在所承担条约义务的范围内行使刑事管辖权的，适用本法。</w:t>
      </w:r>
    </w:p>
    <w:p w14:paraId="3FDE92E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第十条 【对外国刑事判决的消极承认】凡在中华人民共和国领域外犯罪，依照本法应当负刑事责任的，虽然经过外国审判，仍然可以依照本法追究，但是在外国已经受过刑罚处罚的，可以免除或者减轻处罚。</w:t>
      </w:r>
    </w:p>
    <w:p w14:paraId="58B6568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第十一条 【外交代表刑事管辖豁免】享有外交特权和豁免权的外国人的刑事责任，通过外交途径解决。</w:t>
      </w:r>
    </w:p>
    <w:p w14:paraId="66222BC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第十二条 【刑法溯及力】中华人民共和国成立以后本法施行以前的行为，如果当时的法律不认为是犯罪的，适用当时的法律；如果当时的法律认为是犯罪的，依照本法总则第四章第八节的规定应当追诉的，按照当时的法律追究刑事责任，但是如果本法不认为是犯罪或者处刑较轻的，适用本法。</w:t>
      </w:r>
    </w:p>
    <w:p w14:paraId="47F5FD4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本法施行以前，依照当时的法律已经</w:t>
      </w:r>
      <w:proofErr w:type="gramStart"/>
      <w:r>
        <w:rPr>
          <w:rFonts w:ascii="宋体" w:eastAsia="宋体" w:hAnsi="宋体" w:cs="宋体" w:hint="eastAsia"/>
          <w:sz w:val="24"/>
          <w:lang w:bidi="ar"/>
        </w:rPr>
        <w:t>作出</w:t>
      </w:r>
      <w:proofErr w:type="gramEnd"/>
      <w:r>
        <w:rPr>
          <w:rFonts w:ascii="宋体" w:eastAsia="宋体" w:hAnsi="宋体" w:cs="宋体" w:hint="eastAsia"/>
          <w:sz w:val="24"/>
          <w:lang w:bidi="ar"/>
        </w:rPr>
        <w:t>的生效判决，继续有效。</w:t>
      </w:r>
    </w:p>
    <w:p w14:paraId="43028F65" w14:textId="77777777" w:rsidR="00F50CD8" w:rsidRDefault="00000000">
      <w:pPr>
        <w:autoSpaceDE w:val="0"/>
        <w:spacing w:afterLines="50" w:after="156" w:line="360" w:lineRule="auto"/>
        <w:ind w:firstLineChars="200" w:firstLine="480"/>
        <w:outlineLvl w:val="0"/>
        <w:rPr>
          <w:rFonts w:ascii="宋体" w:eastAsia="宋体" w:hAnsi="宋体" w:cs="宋体" w:hint="eastAsia"/>
          <w:sz w:val="24"/>
        </w:rPr>
      </w:pPr>
      <w:r>
        <w:rPr>
          <w:rFonts w:ascii="宋体" w:eastAsia="宋体" w:hAnsi="宋体" w:cs="宋体" w:hint="eastAsia"/>
          <w:sz w:val="24"/>
          <w:lang w:bidi="ar"/>
        </w:rPr>
        <w:t>第二章 犯罪</w:t>
      </w:r>
    </w:p>
    <w:p w14:paraId="5443E02B"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第一节 犯罪和刑事责任</w:t>
      </w:r>
    </w:p>
    <w:p w14:paraId="4AFBC09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第十三条 【犯罪概念】一切危害国家主权、领土完整和安全，分裂国家、颠覆人民民主专政的政权和推翻社会主义制度，破坏社会秩序和经济秩序，侵犯国有财产或者劳动群众集体所有的财产，侵犯公民私人所有的财产，侵犯公民的人身权利、民主权利和其他权利，以及其他危害社会的行为，依照法律应当受刑罚处罚的，都是犯罪，但是情节显著轻微危害不大的，不认为是犯罪。</w:t>
      </w:r>
    </w:p>
    <w:p w14:paraId="37183B1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第十四条 【故意犯罪】明知自己的行为会发生危害社会的结果，并且希望或者放任这种结果发生，因而构成犯罪的，是故意犯罪。</w:t>
      </w:r>
    </w:p>
    <w:p w14:paraId="379EEFB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故意犯罪，应当负刑事责任。</w:t>
      </w:r>
    </w:p>
    <w:p w14:paraId="675E1E1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第十五条 【过失犯罪】应当预见自己的行为可能发生危害社会的结果，因为疏忽大意而没有预见，或者已经预见而轻信能够避免，以致发生这种结果的，是过失犯罪。</w:t>
      </w:r>
    </w:p>
    <w:p w14:paraId="20B5021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过失犯罪，法律有规定的才负刑事责任。</w:t>
      </w:r>
    </w:p>
    <w:p w14:paraId="5B1E0CD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第十六条 【不可抗力和意外事件】行为在客观上虽然造成了损害结果，但是不是出于故意或者过失，而是由于不能抗拒或者不能预见的原因所引起的，不是犯罪。</w:t>
      </w:r>
    </w:p>
    <w:p w14:paraId="2AE0525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第十七条 【刑事责任年龄】已满十六周岁的人犯罪，应当负刑事责任。</w:t>
      </w:r>
    </w:p>
    <w:p w14:paraId="7AC3246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已满十四周岁不满十六周岁的人，犯故意杀人、故意伤害致人重伤或者死亡、强奸、抢劫、贩卖毒品、放火、爆炸、投放危险物质罪的，应当负刑事责任。</w:t>
      </w:r>
    </w:p>
    <w:p w14:paraId="2B584CA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已满十二周岁不满十四周岁的人，犯故意杀人、故意伤害罪，致人死亡或者以特别残忍手段致人重伤造成严重残疾，情节恶劣，经最高人民检察院核准追诉的，应当负刑事责任。</w:t>
      </w:r>
    </w:p>
    <w:p w14:paraId="75805B6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对依照前三款规定追究刑事责任的不满十八周岁的人，应当从轻或者减轻处罚。</w:t>
      </w:r>
    </w:p>
    <w:p w14:paraId="58408BD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因不满十六周岁不予刑事处罚的，责令其父母或者其他监护人加以管教；在必要的时候，依法进行专门矫治教育。</w:t>
      </w:r>
    </w:p>
    <w:p w14:paraId="3F417AC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第十七条之一 【刑事责任年龄】已满七十五周岁的人故意犯罪的，可以从轻或者减轻处罚；过失犯罪的，应当从轻或者减轻处罚。</w:t>
      </w:r>
    </w:p>
    <w:p w14:paraId="4E0F8BD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第十八条 【特殊人员的刑事责任能力】精神病人在不能辨认或者不能控制自己行为的时候造成危害结果，经法定程序鉴定确认的，不负刑事责任，但是应当责令他的家属或者监护人严加看管和医疗；在必要的时候，由政府强制医疗。</w:t>
      </w:r>
    </w:p>
    <w:p w14:paraId="4575953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间歇性的精神病人在精神正常的时候犯罪，应当负刑事责任。</w:t>
      </w:r>
    </w:p>
    <w:p w14:paraId="4AEB644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尚未完全丧失辨认或者控制自己行为能力的精神病人犯罪的，应当负刑事责任，但是可以从轻或者减轻处罚。</w:t>
      </w:r>
    </w:p>
    <w:p w14:paraId="4373FD0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醉酒的人犯罪，应当负刑事责任。</w:t>
      </w:r>
    </w:p>
    <w:p w14:paraId="53BF80B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第十九条 【又聋又哑的人或盲人犯罪的刑事责任】又聋又哑的人或者盲人犯罪，可以从轻、减轻或者免除处罚。</w:t>
      </w:r>
    </w:p>
    <w:p w14:paraId="74BAA22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第二十条 【正当防卫】为了使国家、公共利益、本人或者他人的人身、财产和其他权利免受正在进行的不法侵害，而采取的制止不法侵害的行为，对不法侵害人造成损害的，属于正当防卫，不负刑事责任。</w:t>
      </w:r>
    </w:p>
    <w:p w14:paraId="36EBCE0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正当防卫明显超过必要限度造成重大损害的，应当负刑事责任，但是应当减轻或者免除处罚。</w:t>
      </w:r>
    </w:p>
    <w:p w14:paraId="0F4B687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对正在进行行凶、杀人、抢劫、强奸、绑架以及其他严重危及人身安全的暴力犯罪，采取防卫行为，造成不法侵害人伤亡的，不属于防卫过当，不负刑事责任。</w:t>
      </w:r>
    </w:p>
    <w:p w14:paraId="5AF35E1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第二十一条 【紧急避险】为了使国家、公共利益、本人或者他人的人身、财产和其他权利免受正在发生的危险，不得已采取的紧急避险行为，造成损害的，不负刑事责任。</w:t>
      </w:r>
    </w:p>
    <w:p w14:paraId="456E8A4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紧急避险超过必要限度造成不应有的损害的，应当负刑事责任，但是应当减轻或者免除处罚。</w:t>
      </w:r>
    </w:p>
    <w:p w14:paraId="3CBB966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第一款中关于避免本人危险的规定，不适用于职务上、业务上负有特定责任的人。</w:t>
      </w:r>
    </w:p>
    <w:p w14:paraId="03864B6F"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第二节 犯罪的预备、未遂和中止</w:t>
      </w:r>
    </w:p>
    <w:p w14:paraId="52089C8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第二十二条 【犯罪预备】为了犯罪，准备工具、制造条件的，是犯罪预备。</w:t>
      </w:r>
    </w:p>
    <w:p w14:paraId="2F6960D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对于预备犯，可以比照既遂犯从轻、减轻处罚或者免除处罚。</w:t>
      </w:r>
    </w:p>
    <w:p w14:paraId="78B4559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第二十三条 【犯罪未遂】已经着手实行犯罪，由于犯罪分子意志以外的原因而未得逞的，是犯罪未遂。</w:t>
      </w:r>
    </w:p>
    <w:p w14:paraId="3943907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对于未遂犯，可以比照既遂犯从轻或者减轻处罚。</w:t>
      </w:r>
    </w:p>
    <w:p w14:paraId="700AEC2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第二十四条 【犯罪中止】在犯罪过程中，自动放弃犯罪或者自动有效地防止犯罪结果发生的，是犯罪中止。</w:t>
      </w:r>
    </w:p>
    <w:p w14:paraId="6E120E0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对于中止犯，没有造成损害的，应当免除处罚；造成损害的，应当减轻处罚。</w:t>
      </w:r>
    </w:p>
    <w:p w14:paraId="45B0DA37"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第三节 共同犯罪</w:t>
      </w:r>
    </w:p>
    <w:p w14:paraId="2CB0485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第二十五条 【共同犯罪的概念】共同犯罪是指二人以上共同故意犯罪。</w:t>
      </w:r>
    </w:p>
    <w:p w14:paraId="01D3518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二人以上共同过失犯罪，不以共同犯罪论处；应当负刑事责任的，按照他们所犯的罪分别处罚。</w:t>
      </w:r>
    </w:p>
    <w:p w14:paraId="22EC46F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第二十六条 【主犯】组织、领导犯罪集团进行犯罪活动的或者在共同犯罪中起主要作用的，是主犯。</w:t>
      </w:r>
    </w:p>
    <w:p w14:paraId="5D6A78A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三人以上为共同实施犯罪而组成的较为固定的犯罪组织，是犯罪集团。</w:t>
      </w:r>
    </w:p>
    <w:p w14:paraId="58A354C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对组织、领导犯罪集团的首要分子，按照集团所犯的全部罪行处罚。</w:t>
      </w:r>
    </w:p>
    <w:p w14:paraId="0CF7C29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对于第三款规定以外的主犯，应当按照其所参与的或者组织、指挥的全部犯罪处罚。</w:t>
      </w:r>
    </w:p>
    <w:p w14:paraId="17F0D71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第二十七条 【从犯】在共同犯罪中起次要或者辅助作用的，是从犯。</w:t>
      </w:r>
    </w:p>
    <w:p w14:paraId="0D78B56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对于从犯，应当从轻、减轻处罚或者免除处罚。</w:t>
      </w:r>
    </w:p>
    <w:p w14:paraId="6AD4B3D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第二十八条 【胁从犯】对于被胁迫参加犯罪的，应当按照他的犯罪情节减轻处罚或者免除处罚。</w:t>
      </w:r>
    </w:p>
    <w:p w14:paraId="7D0352F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第二十九条 【教唆犯】教唆他人犯罪的，应当按照他在共同犯罪中所起的作用处罚。教唆不满十八周岁的人犯罪的，应当从重处罚。</w:t>
      </w:r>
    </w:p>
    <w:p w14:paraId="0393635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如果被教唆的人没有犯被教唆的罪，对于教唆犯，可以从轻或者减轻处罚。</w:t>
      </w:r>
    </w:p>
    <w:p w14:paraId="4856D9B2"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第四节 单位犯罪</w:t>
      </w:r>
    </w:p>
    <w:p w14:paraId="46EA5A6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第三十条 【单位负刑事责任的范围】公司、企业、事业单位、机关、团体实施</w:t>
      </w:r>
      <w:r>
        <w:rPr>
          <w:rFonts w:ascii="宋体" w:eastAsia="宋体" w:hAnsi="宋体" w:cs="宋体" w:hint="eastAsia"/>
          <w:sz w:val="24"/>
          <w:lang w:bidi="ar"/>
        </w:rPr>
        <w:lastRenderedPageBreak/>
        <w:t>的危害社会的行为，法律规定为单位犯罪的，应当负刑事责任。</w:t>
      </w:r>
    </w:p>
    <w:p w14:paraId="279A177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第三十一条 【单位犯罪的处罚原则】单位犯罪的，对单位判处罚金，并对其直接负责的主管人员和其他直接责任人员判处刑罚。本法分则和其他法律另有规定的，依照规定。</w:t>
      </w:r>
    </w:p>
    <w:p w14:paraId="5D836DCC" w14:textId="77777777" w:rsidR="00F50CD8" w:rsidRDefault="00000000">
      <w:pPr>
        <w:autoSpaceDE w:val="0"/>
        <w:spacing w:afterLines="50" w:after="156" w:line="360" w:lineRule="auto"/>
        <w:ind w:firstLineChars="200" w:firstLine="480"/>
        <w:outlineLvl w:val="0"/>
        <w:rPr>
          <w:rFonts w:ascii="宋体" w:eastAsia="宋体" w:hAnsi="宋体" w:cs="宋体" w:hint="eastAsia"/>
          <w:sz w:val="24"/>
        </w:rPr>
      </w:pPr>
      <w:r>
        <w:rPr>
          <w:rFonts w:ascii="宋体" w:eastAsia="宋体" w:hAnsi="宋体" w:cs="宋体" w:hint="eastAsia"/>
          <w:sz w:val="24"/>
          <w:lang w:bidi="ar"/>
        </w:rPr>
        <w:t>第三章 刑罚</w:t>
      </w:r>
    </w:p>
    <w:p w14:paraId="16181A15"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第一节 刑罚的种类</w:t>
      </w:r>
    </w:p>
    <w:p w14:paraId="35AD4B7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第三十二条 【主刑和附加刑】刑罚分为主刑和附加刑。</w:t>
      </w:r>
    </w:p>
    <w:p w14:paraId="54357BD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第三十三条 【主刑种类】主刑的种类如下：</w:t>
      </w:r>
    </w:p>
    <w:p w14:paraId="22DC858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（一）管制；</w:t>
      </w:r>
    </w:p>
    <w:p w14:paraId="00FB5C2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（二）拘役；</w:t>
      </w:r>
    </w:p>
    <w:p w14:paraId="460AB19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（三）有期徒刑；</w:t>
      </w:r>
    </w:p>
    <w:p w14:paraId="234B9F8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（四）无期徒刑；</w:t>
      </w:r>
    </w:p>
    <w:p w14:paraId="27341A1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（五）死刑。</w:t>
      </w:r>
    </w:p>
    <w:p w14:paraId="14DAD874" w14:textId="77777777" w:rsidR="00F50CD8" w:rsidRDefault="00000000">
      <w:pPr>
        <w:autoSpaceDE w:val="0"/>
        <w:spacing w:afterLines="50" w:after="156" w:line="360" w:lineRule="auto"/>
        <w:ind w:firstLineChars="200" w:firstLine="480"/>
        <w:outlineLvl w:val="2"/>
        <w:rPr>
          <w:rFonts w:ascii="宋体" w:eastAsia="宋体" w:hAnsi="宋体" w:cs="宋体" w:hint="eastAsia"/>
          <w:sz w:val="24"/>
        </w:rPr>
      </w:pPr>
      <w:r>
        <w:rPr>
          <w:rFonts w:ascii="宋体" w:eastAsia="宋体" w:hAnsi="宋体" w:cs="宋体" w:hint="eastAsia"/>
          <w:sz w:val="24"/>
          <w:lang w:bidi="ar"/>
        </w:rPr>
        <w:t>第三十四条 【附加刑种类】附加刑的种类如下：</w:t>
      </w:r>
    </w:p>
    <w:p w14:paraId="2AAE8EA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（一）罚金；</w:t>
      </w:r>
    </w:p>
    <w:p w14:paraId="05A3F64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（二）剥夺政治权利；</w:t>
      </w:r>
    </w:p>
    <w:p w14:paraId="7E2B2E6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（三）没收财产。</w:t>
      </w:r>
    </w:p>
    <w:p w14:paraId="599FD28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附加刑也可以独立适用。</w:t>
      </w:r>
    </w:p>
    <w:p w14:paraId="635C460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第三十五条 【驱逐出境】对于犯罪的外国人，可以独立适用或者附加适用驱逐出境。</w:t>
      </w:r>
    </w:p>
    <w:p w14:paraId="65F680B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第三十六条 【赔偿经济损失与民事优先原则】由于犯罪行为而使被害人遭受经济损失的，对犯罪分子除依法给予刑事处罚外，并应根据情况判处赔偿经济损失。</w:t>
      </w:r>
    </w:p>
    <w:p w14:paraId="3CB4929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承担民事赔偿责任的犯罪分子，同时被判处罚金，其财产不足以全部支付的，或者被判处没收财产的，应当先承担对被害人的民事赔偿责任。</w:t>
      </w:r>
    </w:p>
    <w:p w14:paraId="7669A2B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第三十七条 【非刑罚性处置措施】对于犯罪情节轻微不需要判处刑罚的，可以免予刑事处罚，但是可以根据案件的不同情况，予以训诫或者责令具结悔过、赔礼道歉、赔偿损失，或者由主管部门予以行政处罚或者行政处分。</w:t>
      </w:r>
    </w:p>
    <w:p w14:paraId="4D9364B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第三十七条之一 【禁业规定】因利用职业便利实施犯罪，或者实施违背职业要求的特定义务的犯罪被判处刑罚的，人民法院可以根据犯罪情况和预防再犯罪的需要，禁止其自刑罚执行完毕之日或者假释之日起从事相关职业，期限为三年至五年。</w:t>
      </w:r>
    </w:p>
    <w:p w14:paraId="2A8AFF5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被禁止从事相关职业的人违反人民法院依照前款规定</w:t>
      </w:r>
      <w:proofErr w:type="gramStart"/>
      <w:r>
        <w:rPr>
          <w:rFonts w:ascii="宋体" w:eastAsia="宋体" w:hAnsi="宋体" w:cs="宋体" w:hint="eastAsia"/>
          <w:sz w:val="24"/>
          <w:lang w:bidi="ar"/>
        </w:rPr>
        <w:t>作出</w:t>
      </w:r>
      <w:proofErr w:type="gramEnd"/>
      <w:r>
        <w:rPr>
          <w:rFonts w:ascii="宋体" w:eastAsia="宋体" w:hAnsi="宋体" w:cs="宋体" w:hint="eastAsia"/>
          <w:sz w:val="24"/>
          <w:lang w:bidi="ar"/>
        </w:rPr>
        <w:t>的决定的，由公安机关依法给予处罚；情节严重的，依照本法第三百一十三条的规定定罪处罚。</w:t>
      </w:r>
    </w:p>
    <w:p w14:paraId="317398E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其他法律、行政法规对其从事相关职业另有禁止或者限制性规定的，从其规定。</w:t>
      </w:r>
    </w:p>
    <w:p w14:paraId="3ABDDB5E"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第二节 管制</w:t>
      </w:r>
    </w:p>
    <w:p w14:paraId="20956BE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第三十八条 【管制的期限与执行机关】管制的期限，为三个月以上二年以下。</w:t>
      </w:r>
    </w:p>
    <w:p w14:paraId="1F58829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判处管制，可以根据犯罪情况，同时禁止犯罪分子在执行期间从事特定活动，进入特定区域、场所，接触特定的人。</w:t>
      </w:r>
    </w:p>
    <w:p w14:paraId="2195906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对判处管制的犯罪分子，依法实行社区矫正。</w:t>
      </w:r>
    </w:p>
    <w:p w14:paraId="01D17AD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违反第二款规定的禁止令的，由公安机关依照《中华人民共和国治安管理处罚法》的规定处罚。</w:t>
      </w:r>
    </w:p>
    <w:p w14:paraId="5C623F2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第三十九条 【被管制罪犯的义务与权利】被判处管制的犯罪分子，在执行期间，应当遵守下列规定：</w:t>
      </w:r>
    </w:p>
    <w:p w14:paraId="401DAC16" w14:textId="77777777" w:rsidR="00F50CD8" w:rsidRDefault="00000000">
      <w:pPr>
        <w:autoSpaceDE w:val="0"/>
        <w:spacing w:afterLines="50" w:after="156" w:line="360" w:lineRule="auto"/>
        <w:ind w:firstLineChars="200" w:firstLine="480"/>
        <w:outlineLvl w:val="2"/>
        <w:rPr>
          <w:rFonts w:ascii="宋体" w:eastAsia="宋体" w:hAnsi="宋体" w:cs="宋体" w:hint="eastAsia"/>
          <w:sz w:val="24"/>
        </w:rPr>
      </w:pPr>
      <w:r>
        <w:rPr>
          <w:rFonts w:ascii="宋体" w:eastAsia="宋体" w:hAnsi="宋体" w:cs="宋体" w:hint="eastAsia"/>
          <w:sz w:val="24"/>
          <w:lang w:bidi="ar"/>
        </w:rPr>
        <w:t>（一）遵守法律、行政法规，服从监督；</w:t>
      </w:r>
    </w:p>
    <w:p w14:paraId="4D5FAE9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（二）未经执行机关批准，不得行使言论、出版、集会、结社、游行、示威自由的权利；</w:t>
      </w:r>
    </w:p>
    <w:p w14:paraId="6AB8E41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（三）按照执行机关规定报告自己的活动情况；</w:t>
      </w:r>
    </w:p>
    <w:p w14:paraId="52122F8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（四）遵守执行机关关于会客的规定；</w:t>
      </w:r>
    </w:p>
    <w:p w14:paraId="1EB60F3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（五）离开所居住的市、县或者迁居，应当报经执行机关批准。</w:t>
      </w:r>
    </w:p>
    <w:p w14:paraId="4973255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对于被判处管制的犯罪分子，在劳动中应当同工同酬。</w:t>
      </w:r>
    </w:p>
    <w:p w14:paraId="616BA14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第四十条 【管制期满解除】被判处管制的犯罪分子，管制期满，执行机关应即向本人和其所在单位或者居住地的群众宣布解除管制。</w:t>
      </w:r>
    </w:p>
    <w:p w14:paraId="7917804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第四十一条 【管制刑期的计算和折抵】管制的刑期，从判决执行之日起计算；判决执行以前先行羁押的，羁押一日折抵刑期二日。</w:t>
      </w:r>
    </w:p>
    <w:p w14:paraId="15A203CF"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第三节 拘役</w:t>
      </w:r>
    </w:p>
    <w:p w14:paraId="0378DD2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第四十二条 【拘役的期限】拘役的期限，为一个月以上六个月以下。</w:t>
      </w:r>
    </w:p>
    <w:p w14:paraId="4EC95A3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第四十三条 【拘役的执行】被判处拘役的犯罪分子，由公安机关就近执行。</w:t>
      </w:r>
    </w:p>
    <w:p w14:paraId="1D97C90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在执行期间，被判处拘役的犯罪分子每月可以回家一天至两天；参加劳动的，可以酌量发给报酬。</w:t>
      </w:r>
    </w:p>
    <w:p w14:paraId="6307D67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第四十四条 【拘役刑期的计算和折抵】拘役的刑期，从判决执行之日起计算；判决执行以前先行羁押的，羁押一日折抵刑期一日。</w:t>
      </w:r>
    </w:p>
    <w:p w14:paraId="3EBBE45B"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第四节 有期徒刑、无期徒刑</w:t>
      </w:r>
    </w:p>
    <w:p w14:paraId="49344F5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第四十五条 【有期徒刑的期限】有期徒刑的期限，除本法第五十条、第六十九条规定外，为六个月以上十五年以下。</w:t>
      </w:r>
    </w:p>
    <w:p w14:paraId="76D3FBF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第四十六条 【有期徒刑与无期徒刑的执行】被判处有期徒刑、无期徒刑的犯罪分子，在监狱或者其他执行场所执行；凡有劳动能力的，都应当参加劳动，接受教育和改造。</w:t>
      </w:r>
    </w:p>
    <w:p w14:paraId="3D752FC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第四十七条 【有期徒刑刑期的计算与折抵】有期徒刑的刑期，从判决执行之日起计算；判决执行以前先行羁押的，羁押一日折抵刑期一日。</w:t>
      </w:r>
    </w:p>
    <w:p w14:paraId="53B5EBD5"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lastRenderedPageBreak/>
        <w:t>第五节 死刑</w:t>
      </w:r>
    </w:p>
    <w:p w14:paraId="052539B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第四十八条 【死刑、死缓的适用对象及核准程序】死刑只适用于罪行极其严重的犯罪分子。对于应当判处死刑的犯罪分子，如果不是必须立即执行的，可以判处死刑同时宣告缓期二年执行。</w:t>
      </w:r>
    </w:p>
    <w:p w14:paraId="002444E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死刑除依法由最高人民法院判决的以外，都应当报请最高人民法院核准。死刑缓期执行的，可以由高级人民法院判决或者核准。</w:t>
      </w:r>
    </w:p>
    <w:p w14:paraId="0A740B7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第四十九条 【死刑适用对象的限制】犯罪的时候不满十八周岁的人和审判的时候怀孕的妇女，不适用死刑。</w:t>
      </w:r>
    </w:p>
    <w:p w14:paraId="20E89AE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审判的时候已满七十五周岁的人，不适用死刑，但以特别残忍手段致人死亡的除外。</w:t>
      </w:r>
    </w:p>
    <w:p w14:paraId="168AE9B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第五十条 【死缓变更】判处死刑缓期执行的，在死刑缓期执行期间，如果没有故意犯罪，二年期满以后，减为无期徒刑；如果确有重大立功表现，二年期满以后，减为二十五年有期徒刑；如果故意犯罪，情节恶劣的，报请最高人民法院核准后执行死刑；对于故意犯罪未执行死刑的，死刑缓期执行的期间重新计算，并报最高人民法院备案。</w:t>
      </w:r>
    </w:p>
    <w:p w14:paraId="6A342A3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被判处死刑缓期执行的累犯以及因故意杀人、强奸、抢劫、绑架、放火、爆炸、投放危险物质或者有组织的暴力性犯罪被判处死刑缓期执行的犯罪分子，人民法院根据犯罪情节等情况可以同时决定对其限制减刑。</w:t>
      </w:r>
    </w:p>
    <w:p w14:paraId="6E4377C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第五十一条 【死缓期间及减为有期徒刑的刑期计算】死刑缓期执行的期间，从判决确定之日起计算。死刑缓期执行减为有期徒刑的刑期，从死刑缓期执行期满之日起计算。</w:t>
      </w:r>
    </w:p>
    <w:p w14:paraId="2D57B51C"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第六节 罚金</w:t>
      </w:r>
    </w:p>
    <w:p w14:paraId="18CBD18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第五十二条 【罚金数额的裁量】判处罚金，应当根据犯罪情节决定罚金数额。</w:t>
      </w:r>
    </w:p>
    <w:p w14:paraId="5E31360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第五十三条 【罚金的缴纳】罚金在判决指定的期限内一次或者分期缴纳。期满</w:t>
      </w:r>
      <w:r>
        <w:rPr>
          <w:rFonts w:ascii="宋体" w:eastAsia="宋体" w:hAnsi="宋体" w:cs="宋体" w:hint="eastAsia"/>
          <w:sz w:val="24"/>
          <w:lang w:bidi="ar"/>
        </w:rPr>
        <w:lastRenderedPageBreak/>
        <w:t>不缴纳的，强制缴纳。对于不能全部缴纳罚金的，人民法院在任何时候发现被执行人有可以执行的财产，应当随时追缴。</w:t>
      </w:r>
    </w:p>
    <w:p w14:paraId="20F18CA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由于遭遇不能抗拒的灾祸等原因缴纳确实有困难的，经人民法院裁定，可以延期缴纳、酌情减少或者免除。</w:t>
      </w:r>
    </w:p>
    <w:p w14:paraId="6DAE60D2"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第七节 剥夺政治权利</w:t>
      </w:r>
    </w:p>
    <w:p w14:paraId="55C55D4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第五十四条 【剥夺政治权利的含义】剥夺政治权利是剥夺下列权利：</w:t>
      </w:r>
    </w:p>
    <w:p w14:paraId="0F98A33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（一）选举权和被选举权；</w:t>
      </w:r>
    </w:p>
    <w:p w14:paraId="6DBB66A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（二）言论、出版、集会、结社、游行、示威自由的权利；</w:t>
      </w:r>
    </w:p>
    <w:p w14:paraId="495EDCE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（三）担任国家机关职务的权利；</w:t>
      </w:r>
    </w:p>
    <w:p w14:paraId="574E677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（四）担任国有公司、企业、事业单位和人民团体领导职务的权利。</w:t>
      </w:r>
    </w:p>
    <w:p w14:paraId="75E3DAE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第五十五条 【剥夺政治权利的期限】剥夺政治权利的期限，除本法第五十七条规定外，为一年以上五年以下。</w:t>
      </w:r>
    </w:p>
    <w:p w14:paraId="4151C33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判处管制附加剥夺政治权利的，剥夺政治权利的期限与管制的期限相等，同时执行。</w:t>
      </w:r>
    </w:p>
    <w:p w14:paraId="78BB9D4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第五十六条 【剥夺政治权利的附加、独立适用】对于危害国家安全的犯罪分子应当附加剥夺政治权利；对于故意杀人、强奸、放火、爆炸、投毒、抢劫等严重破坏社会秩序的犯罪分子，可以附加剥夺政治权利。</w:t>
      </w:r>
    </w:p>
    <w:p w14:paraId="508C92E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独立适用剥夺政治权利的，依照本法分则的规定。</w:t>
      </w:r>
    </w:p>
    <w:p w14:paraId="3BEC0B5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第五十七条 【对死刑、无期徒刑罪犯剥夺政治权利的适用】对于被判处死刑、无期徒刑的犯罪分子，应当剥夺政治权利终身。</w:t>
      </w:r>
    </w:p>
    <w:p w14:paraId="697D0D7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在死刑缓期执行减为有期徒刑或者无期徒刑减为有期徒刑的时候，应当把附加剥夺政治权利的期限改为三年以上十年以下。</w:t>
      </w:r>
    </w:p>
    <w:p w14:paraId="7D7B1CF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第五十八条 【剥夺政治权利的刑期计算、效力与执行】附加剥夺政治权利的刑</w:t>
      </w:r>
      <w:r>
        <w:rPr>
          <w:rFonts w:ascii="宋体" w:eastAsia="宋体" w:hAnsi="宋体" w:cs="宋体" w:hint="eastAsia"/>
          <w:sz w:val="24"/>
          <w:lang w:bidi="ar"/>
        </w:rPr>
        <w:lastRenderedPageBreak/>
        <w:t>期，从徒刑、拘役执行完毕之日或者从假释之日起计算；剥夺政治权利的效力当然施用于主刑执行期间。</w:t>
      </w:r>
    </w:p>
    <w:p w14:paraId="7712540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被剥夺政治权利的犯罪分子，在执行期间，应当遵守法律、行政法规和国务院公安部门有关监督管理的规定，服从监督；不得行使本法第五十四条规定的各项权利。</w:t>
      </w:r>
    </w:p>
    <w:p w14:paraId="152E1112"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第八节 没收财产</w:t>
      </w:r>
    </w:p>
    <w:p w14:paraId="23519D8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第五十九条 【没收财产的范围】没收财产是没收犯罪分子个人所有财产的一部或者全部。没收全部财产的，应当对犯罪分子个人及其扶养的家属保留必需的生活费用。</w:t>
      </w:r>
    </w:p>
    <w:p w14:paraId="0D14400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在判处没收财产的时候，不得没收属于犯罪分子家属所有或者应有的财产。</w:t>
      </w:r>
    </w:p>
    <w:p w14:paraId="5CE8D7B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第六十条 【以没收的财产偿还债务】没收财产以前犯罪分子所负的正当债务，需要以没收的财产偿还的，经债权人请求，应当偿还。</w:t>
      </w:r>
    </w:p>
    <w:p w14:paraId="6BA81710" w14:textId="77777777" w:rsidR="00F50CD8" w:rsidRDefault="00000000">
      <w:pPr>
        <w:autoSpaceDE w:val="0"/>
        <w:spacing w:afterLines="50" w:after="156" w:line="360" w:lineRule="auto"/>
        <w:ind w:firstLineChars="200" w:firstLine="480"/>
        <w:outlineLvl w:val="0"/>
        <w:rPr>
          <w:rFonts w:ascii="宋体" w:eastAsia="宋体" w:hAnsi="宋体" w:cs="宋体" w:hint="eastAsia"/>
          <w:sz w:val="24"/>
        </w:rPr>
      </w:pPr>
      <w:r>
        <w:rPr>
          <w:rFonts w:ascii="宋体" w:eastAsia="宋体" w:hAnsi="宋体" w:cs="宋体" w:hint="eastAsia"/>
          <w:sz w:val="24"/>
          <w:lang w:bidi="ar"/>
        </w:rPr>
        <w:t>第四章 刑罚的具体运用</w:t>
      </w:r>
    </w:p>
    <w:p w14:paraId="2A89B8A0"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第一节 量刑</w:t>
      </w:r>
    </w:p>
    <w:p w14:paraId="007C96B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第六十一条 【量刑的一般原则】对于犯罪分子决定刑罚的时候，应当根据犯罪的事实、犯罪的性质、情节和对于社会的危害程度，依照本法的有关规定判处。</w:t>
      </w:r>
    </w:p>
    <w:p w14:paraId="46AD992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第六十二条 【从重处罚与从轻处罚】犯罪分子具有本法规定的从重处罚、从轻处罚情节的，应当在法定刑的限度以内判处刑罚。</w:t>
      </w:r>
    </w:p>
    <w:p w14:paraId="0CD873D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第六十三条 【减轻处罚】犯罪分子具有本法规定的减轻处罚情节的，应当在法定刑以下判处刑罚；本法规定有数个量刑幅度的，应当在法定量刑幅度的下一个量刑幅度内判处刑罚。</w:t>
      </w:r>
    </w:p>
    <w:p w14:paraId="66E1A14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犯罪分子虽然不具有本法规定的减轻处罚情节，但是根据案件的特殊情况，经最高人民法院核准，也可以在法定刑以下判处刑罚。</w:t>
      </w:r>
    </w:p>
    <w:p w14:paraId="78F5F3C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第六十四条 【犯罪物品的处理】犯罪分子违法所得的一切财物，应当予以追缴或者责令退赔；对被害人的合法财产，应当及时返还；违禁品和供犯罪所用的本人财物，应当予以没收。没收的财物和罚金，一律上缴国库，不得挪用和自行处理。</w:t>
      </w:r>
    </w:p>
    <w:p w14:paraId="0E959C85"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第二节 累犯</w:t>
      </w:r>
    </w:p>
    <w:p w14:paraId="1CA2469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第六十五条 【一般累犯】被判处有期徒刑以上刑罚的犯罪分子，刑罚执行完毕或者赦免以后，在五年以内再犯应当判处有期徒刑以上刑罚之罪的，是累犯，应当从重处罚，但是过失犯罪和不满十八周岁的人犯罪的除外。</w:t>
      </w:r>
    </w:p>
    <w:p w14:paraId="187B42D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前款规定的期限，对于被假释的犯罪分子，从假释期满之日起计算。</w:t>
      </w:r>
    </w:p>
    <w:p w14:paraId="4BBFCAC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第六十六条 【特别累犯】危害国家安全犯罪、恐怖活动犯罪、黑社会性质的组织犯罪的犯罪分子，在刑罚执行完毕或者赦免以后，在任何时候再犯上述任一类罪的，都以累犯论处。</w:t>
      </w:r>
    </w:p>
    <w:p w14:paraId="17D2451A"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第三节 自首和立功</w:t>
      </w:r>
    </w:p>
    <w:p w14:paraId="78B1BB0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第六十七条 【自首】犯罪以后自动投案，如实供述自己的罪行的，是自首。对于自首的犯罪分子，可以从轻或者减轻处罚。其中，犯罪较轻的，可以免除处罚。</w:t>
      </w:r>
    </w:p>
    <w:p w14:paraId="555FF6E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被采取强制措施的犯罪嫌疑人、被告人和正在服刑的罪犯，如实供述司法机关还未掌握的本人其他罪行的，以自首论。</w:t>
      </w:r>
    </w:p>
    <w:p w14:paraId="5D90826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犯罪嫌疑人虽不具有前两款规定的自首情节，但是如实供述自己罪行的，可以从轻处罚；因其如实供述自己罪行，避免特别严重后果发生的，可以减轻处罚。</w:t>
      </w:r>
    </w:p>
    <w:p w14:paraId="0BE71B2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第六十八条 【立功】犯罪分子有揭发他人犯罪行为，查证属实的，或者提供重要线索，从而得以侦破其他案件等立功表现的，可以从轻或者减轻处罚；有重大立功表现的，可以减轻或者免除处罚。</w:t>
      </w:r>
    </w:p>
    <w:p w14:paraId="3C0AA048"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第四节 数罪并罚</w:t>
      </w:r>
    </w:p>
    <w:p w14:paraId="7EB3CB8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第六十九条 【数罪并罚的一般原则】判决宣告以前</w:t>
      </w:r>
      <w:proofErr w:type="gramStart"/>
      <w:r>
        <w:rPr>
          <w:rFonts w:ascii="宋体" w:eastAsia="宋体" w:hAnsi="宋体" w:cs="宋体" w:hint="eastAsia"/>
          <w:sz w:val="24"/>
          <w:lang w:bidi="ar"/>
        </w:rPr>
        <w:t>一</w:t>
      </w:r>
      <w:proofErr w:type="gramEnd"/>
      <w:r>
        <w:rPr>
          <w:rFonts w:ascii="宋体" w:eastAsia="宋体" w:hAnsi="宋体" w:cs="宋体" w:hint="eastAsia"/>
          <w:sz w:val="24"/>
          <w:lang w:bidi="ar"/>
        </w:rPr>
        <w:t>人犯数罪的，除判处死刑和无期徒刑的以外，应当在总和刑期以下、数刑中最高刑期以上，酌情决定执行的</w:t>
      </w:r>
      <w:r>
        <w:rPr>
          <w:rFonts w:ascii="宋体" w:eastAsia="宋体" w:hAnsi="宋体" w:cs="宋体" w:hint="eastAsia"/>
          <w:sz w:val="24"/>
          <w:lang w:bidi="ar"/>
        </w:rPr>
        <w:lastRenderedPageBreak/>
        <w:t>刑期，但是管制最高不能超过三年，拘役最高不能超过一年，有期徒刑总和刑期不满三十五年的，最高不能超过二十年，总和刑期在三十五年以上的，最高不能超过二十五年。</w:t>
      </w:r>
    </w:p>
    <w:p w14:paraId="5295323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数罪中有判处有期徒刑和拘役的，执行有期徒刑。数罪中有判处有期徒刑和管制，或者拘役和管制的，有期徒刑、拘役执行完毕后，管制仍须执行。</w:t>
      </w:r>
    </w:p>
    <w:p w14:paraId="40B57A1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数罪中有判处附加刑的，附加刑仍须执行，其中附加刑种类相同的，合并执行，种类不同的，分别执行。</w:t>
      </w:r>
    </w:p>
    <w:p w14:paraId="0D1ACBE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第七十条 【判决宣告后发现漏罪的并罚】判决宣告以后，刑罚执行完毕以前，发现被判刑的犯罪分子在判决宣告以前还有其他罪没有判决的，应当对新发现的罪</w:t>
      </w:r>
      <w:proofErr w:type="gramStart"/>
      <w:r>
        <w:rPr>
          <w:rFonts w:ascii="宋体" w:eastAsia="宋体" w:hAnsi="宋体" w:cs="宋体" w:hint="eastAsia"/>
          <w:sz w:val="24"/>
          <w:lang w:bidi="ar"/>
        </w:rPr>
        <w:t>作出</w:t>
      </w:r>
      <w:proofErr w:type="gramEnd"/>
      <w:r>
        <w:rPr>
          <w:rFonts w:ascii="宋体" w:eastAsia="宋体" w:hAnsi="宋体" w:cs="宋体" w:hint="eastAsia"/>
          <w:sz w:val="24"/>
          <w:lang w:bidi="ar"/>
        </w:rPr>
        <w:t>判决，把前后两个判决所判处的刑罚，依照本法第六十九条的规定，决定执行的刑罚。已经执行的刑期，应当计算在新判决决定的刑期以内。</w:t>
      </w:r>
    </w:p>
    <w:p w14:paraId="580E4D0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第七十一条 【判决宣告后又犯新罪的并罚】判决宣告以后，刑罚执行完毕以前，被判刑的犯罪分子又犯罪的，应当对新犯的罪</w:t>
      </w:r>
      <w:proofErr w:type="gramStart"/>
      <w:r>
        <w:rPr>
          <w:rFonts w:ascii="宋体" w:eastAsia="宋体" w:hAnsi="宋体" w:cs="宋体" w:hint="eastAsia"/>
          <w:sz w:val="24"/>
          <w:lang w:bidi="ar"/>
        </w:rPr>
        <w:t>作出</w:t>
      </w:r>
      <w:proofErr w:type="gramEnd"/>
      <w:r>
        <w:rPr>
          <w:rFonts w:ascii="宋体" w:eastAsia="宋体" w:hAnsi="宋体" w:cs="宋体" w:hint="eastAsia"/>
          <w:sz w:val="24"/>
          <w:lang w:bidi="ar"/>
        </w:rPr>
        <w:t>判决，把前罪没有执行的刑罚和后罪所判处的刑罚，依照本法第六十九条的规定，决定执行的刑罚。</w:t>
      </w:r>
    </w:p>
    <w:p w14:paraId="37AE61D5"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第五节 缓刑</w:t>
      </w:r>
    </w:p>
    <w:p w14:paraId="37EC031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第七十二条 【适用条件】对于被判处拘役、三年以下有期徒刑的犯罪分子，同时符合下列条件的，可以宣告缓刑，对其中不满十八周岁的人、怀孕的妇女和已满七十五周岁的人，应当宣告缓刑：</w:t>
      </w:r>
    </w:p>
    <w:p w14:paraId="74406E7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（一）犯罪情节较轻；</w:t>
      </w:r>
    </w:p>
    <w:p w14:paraId="66DA998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（二）有悔罪表现；</w:t>
      </w:r>
    </w:p>
    <w:p w14:paraId="6B40C93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（三）没有再犯罪的危险；</w:t>
      </w:r>
    </w:p>
    <w:p w14:paraId="2F739EB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（四）宣告缓刑对所居住社区没有重大不良影响。</w:t>
      </w:r>
    </w:p>
    <w:p w14:paraId="019CAF9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宣告缓刑，可以根据犯罪情况，同时禁止犯罪分子在缓刑考验期限内从事特定活动，进入特定区域、场所，接触特定的人。</w:t>
      </w:r>
    </w:p>
    <w:p w14:paraId="730A11C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被宣告缓刑的犯罪分子，如果被判处附加刑，附加刑仍须执行。</w:t>
      </w:r>
    </w:p>
    <w:p w14:paraId="6458967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第七十三条 【考验期限】拘役的缓刑考验期限为原判刑期以上一年以下，但是不能少于二个月。</w:t>
      </w:r>
    </w:p>
    <w:p w14:paraId="35907DB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有期徒刑的缓刑考验期限为原判刑期以上五年以下，但是不能少于一年。</w:t>
      </w:r>
    </w:p>
    <w:p w14:paraId="03348BD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缓刑考验期限，从判决确定之日起计算。</w:t>
      </w:r>
    </w:p>
    <w:p w14:paraId="11E551D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第七十四条 【累犯不适用缓刑】对于累犯和犯罪集团的首要分子，不适用缓刑。</w:t>
      </w:r>
    </w:p>
    <w:p w14:paraId="2582127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第七十五条 【缓刑犯应遵守的规定】被宣告缓刑的犯罪分子，应当遵守下列规定：</w:t>
      </w:r>
    </w:p>
    <w:p w14:paraId="0A0BD3F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（一）遵守法律、行政法规，服从监督；</w:t>
      </w:r>
    </w:p>
    <w:p w14:paraId="02CECDE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（二）按照考察机关的规定报告自己的活动情况；</w:t>
      </w:r>
    </w:p>
    <w:p w14:paraId="52BDA20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（三）遵守考察机关关于会客的规定；</w:t>
      </w:r>
    </w:p>
    <w:p w14:paraId="4FFCFC1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（四）离开所居住的市、县或者迁居，应当报经考察机关批准。</w:t>
      </w:r>
    </w:p>
    <w:p w14:paraId="375F2B1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第七十六条 【缓刑的考验及其积极后果】对宣告缓刑的犯罪分子，在缓刑考验期限内，依法实行社区矫正，如果没有本法第七十七条规定的情形，缓刑考验期满，原判的刑罚就不再执行，并公开予以宣告。</w:t>
      </w:r>
    </w:p>
    <w:p w14:paraId="5905B29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第七十七条 【缓刑的撤销及其处理】被宣告缓刑的犯罪分子，在缓刑考验期限内犯新罪或者发现判决宣告以前还有其他罪没有判决的，应当撤销缓刑，对新犯的罪或者新发现的罪</w:t>
      </w:r>
      <w:proofErr w:type="gramStart"/>
      <w:r>
        <w:rPr>
          <w:rFonts w:ascii="宋体" w:eastAsia="宋体" w:hAnsi="宋体" w:cs="宋体" w:hint="eastAsia"/>
          <w:sz w:val="24"/>
          <w:lang w:bidi="ar"/>
        </w:rPr>
        <w:t>作出</w:t>
      </w:r>
      <w:proofErr w:type="gramEnd"/>
      <w:r>
        <w:rPr>
          <w:rFonts w:ascii="宋体" w:eastAsia="宋体" w:hAnsi="宋体" w:cs="宋体" w:hint="eastAsia"/>
          <w:sz w:val="24"/>
          <w:lang w:bidi="ar"/>
        </w:rPr>
        <w:t>判决，把前罪和后罪所判处的刑罚，依照本法第六十九条的规定，决定执行的刑罚。</w:t>
      </w:r>
    </w:p>
    <w:p w14:paraId="4AA0B6B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被宣告缓刑的犯罪分子，在缓刑考验期限内，违反法律、行政法规或者国务院有关部门关于缓刑的监督管理规定，或者违反人民法院判决中的禁止令，情节严重的，应当撤销缓刑，执行原判刑罚。</w:t>
      </w:r>
    </w:p>
    <w:p w14:paraId="128DD030"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第六节 减刑</w:t>
      </w:r>
    </w:p>
    <w:p w14:paraId="65788F2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第七十八条 【减刑条件与限度】被判处管制、拘役、有期徒刑、无期徒刑的犯罪分子，在执行期间，如果认真遵守监规，接受教育改造，确有悔改表现的，或者有立功表现的，可以减刑；有下列重大立功表现之一的，应当减刑：</w:t>
      </w:r>
    </w:p>
    <w:p w14:paraId="5D18196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（一）阻止他人重大犯罪活动的；</w:t>
      </w:r>
    </w:p>
    <w:p w14:paraId="0093E05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（二）检举监狱内外重大犯罪活动，经查证属实的；</w:t>
      </w:r>
    </w:p>
    <w:p w14:paraId="4411FB2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（三）有发明创造或者重大技术革新的；</w:t>
      </w:r>
    </w:p>
    <w:p w14:paraId="00DC5AE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（四）在日常生产、生活中舍己救人的；</w:t>
      </w:r>
    </w:p>
    <w:p w14:paraId="20978E5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（五）在抗御自然灾害或者排除重大事故中，有突出表现的；</w:t>
      </w:r>
    </w:p>
    <w:p w14:paraId="713D155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（六）对国家和社会有其他重大贡献的。</w:t>
      </w:r>
    </w:p>
    <w:p w14:paraId="4F69BA7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减刑以后实际执行的刑期不能少于下列期限：</w:t>
      </w:r>
    </w:p>
    <w:p w14:paraId="2623141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（一）判处管制、拘役、有期徒刑的，不能少于原判刑期的二分之一；</w:t>
      </w:r>
    </w:p>
    <w:p w14:paraId="2AC76EC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（二）判处无期徒刑的，不能少于十三年；</w:t>
      </w:r>
    </w:p>
    <w:p w14:paraId="3FF2BF9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（三）人民法院依照本法第五十条第二款规定限制减刑的死刑缓期执行的犯罪分子，缓期执行期满后依法减为无期徒刑的，不能少于二十五年，缓期执行期满后依法减为二十五年有期徒刑的，不能少于二十年。</w:t>
      </w:r>
    </w:p>
    <w:p w14:paraId="5EAD974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第七十九条 【减刑程序】对于犯罪分子的减刑，由执行机关向中级以上人民法院提出减刑建议书。人民法院应当组成合议庭进行审理，对确有悔改或者立功事实的，裁定予以减刑。非经法定程序不得减刑。</w:t>
      </w:r>
    </w:p>
    <w:p w14:paraId="4491E6F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第八十条 【无期徒刑减刑的刑期计算】无期徒刑减为有期徒刑的刑期，从裁定减刑之日起计算。</w:t>
      </w:r>
    </w:p>
    <w:p w14:paraId="2C579ACE"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第七节 假释</w:t>
      </w:r>
    </w:p>
    <w:p w14:paraId="37DAA65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第八十一条 【假释的适用条件】被判处有期徒刑的犯罪分子，执行原判刑期二分之一以上，被判处无期徒刑的犯罪分子，实际执行十三年以上，如果认真遵守监</w:t>
      </w:r>
      <w:r>
        <w:rPr>
          <w:rFonts w:ascii="宋体" w:eastAsia="宋体" w:hAnsi="宋体" w:cs="宋体" w:hint="eastAsia"/>
          <w:sz w:val="24"/>
          <w:lang w:bidi="ar"/>
        </w:rPr>
        <w:lastRenderedPageBreak/>
        <w:t>规，接受教育改造，确有悔改表现，没有再犯罪的危险的，可以假释。如果有特殊情况，经最高人民法院核准，可以不受上述执行刑期的限制。</w:t>
      </w:r>
    </w:p>
    <w:p w14:paraId="5A2BC80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对累犯以及因故意杀人、强奸、抢劫、绑架、放火、爆炸、投放危险物质或者有组织的暴力性犯罪被判处十年以上有期徒刑、无期徒刑的犯罪分子，不得假释。</w:t>
      </w:r>
    </w:p>
    <w:p w14:paraId="5CA54A0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对犯罪分子决定假释时，应当考虑其假释后对所居住社区的影响。</w:t>
      </w:r>
    </w:p>
    <w:p w14:paraId="4C168D3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第八十二条 【假释的程序】对于犯罪分子的假释，依照本法第七十九条规定的程序进行。非经法定程序不得假释。</w:t>
      </w:r>
    </w:p>
    <w:p w14:paraId="1834758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第八十三条 【假释的考验期限】有期徒刑的假释考验期限，为没有执行完毕的刑期；无期徒刑的假释考验期限为十年。</w:t>
      </w:r>
    </w:p>
    <w:p w14:paraId="2F8DDA9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假释考验期限，从假释之日起计算。</w:t>
      </w:r>
    </w:p>
    <w:p w14:paraId="7007BA2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第八十四条 【假释犯应遵守的规定】被宣告假释的犯罪分子，应当遵守下列规定：</w:t>
      </w:r>
    </w:p>
    <w:p w14:paraId="737E630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（一）遵守法律、行政法规，服从监督；</w:t>
      </w:r>
    </w:p>
    <w:p w14:paraId="52AB031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（二）按照监督机关的规定报告自己的活动情况；</w:t>
      </w:r>
    </w:p>
    <w:p w14:paraId="05A2CF6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（三）遵守监督机关关于会客的规定；</w:t>
      </w:r>
    </w:p>
    <w:p w14:paraId="51FB0C1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（四）离开所居住的市、县或者迁居，应当报经监督机关批准。</w:t>
      </w:r>
    </w:p>
    <w:p w14:paraId="270BA34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第八十五条 【假释考验及其积极后果】对假释的犯罪分子，在假释考验期限内，依法实行社区矫正，如果没有本法第八十六条规定的情形，假释考验期满，就认为原判刑罚已经执行完毕，并公开予以宣告。</w:t>
      </w:r>
    </w:p>
    <w:p w14:paraId="0482A06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第八十六条 【假释的撤销及其处理】被假释的犯罪分子，在假释考验期限内犯新罪，应当撤销假释，依照本法第七十一条的规定实行数罪并罚。</w:t>
      </w:r>
    </w:p>
    <w:p w14:paraId="224F395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在假释考验期限内，发现被假释的犯罪分子在判决宣告以前还有其他罪没有判决的，应当撤销假释，依照本法第七十条的规定实行数罪并罚。</w:t>
      </w:r>
    </w:p>
    <w:p w14:paraId="5457E73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被假释的犯罪分子，在假释考验期限内，有违反法律、行政法规或者国务院有关部门关于假释的监督管理规定的行为，尚未构成新的犯罪的，应当依照法定程序撤销假释，收监执行未执行完毕的刑罚。</w:t>
      </w:r>
    </w:p>
    <w:p w14:paraId="4B4D372A"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第八节 时效</w:t>
      </w:r>
    </w:p>
    <w:p w14:paraId="6C4A2377" w14:textId="77777777" w:rsidR="00F50CD8" w:rsidRDefault="00000000">
      <w:pPr>
        <w:autoSpaceDE w:val="0"/>
        <w:spacing w:afterLines="50" w:after="156" w:line="360" w:lineRule="auto"/>
        <w:ind w:firstLineChars="200" w:firstLine="480"/>
        <w:outlineLvl w:val="2"/>
        <w:rPr>
          <w:rFonts w:ascii="宋体" w:eastAsia="宋体" w:hAnsi="宋体" w:cs="宋体" w:hint="eastAsia"/>
          <w:sz w:val="24"/>
        </w:rPr>
      </w:pPr>
      <w:r>
        <w:rPr>
          <w:rFonts w:ascii="宋体" w:eastAsia="宋体" w:hAnsi="宋体" w:cs="宋体" w:hint="eastAsia"/>
          <w:sz w:val="24"/>
          <w:lang w:bidi="ar"/>
        </w:rPr>
        <w:t>第八十七条 【追诉时效期限】犯罪经过下列期限不再追诉：</w:t>
      </w:r>
    </w:p>
    <w:p w14:paraId="733F8AE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（一）法定最高刑为不满五年有期徒刑的，经过五年；</w:t>
      </w:r>
    </w:p>
    <w:p w14:paraId="67C1D2A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（二）法定最高刑为五年以上不满十年有期徒刑的，经过十年；</w:t>
      </w:r>
    </w:p>
    <w:p w14:paraId="11BB5D2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（三）法定最高刑为十年以上有期徒刑的，经过十五年；</w:t>
      </w:r>
    </w:p>
    <w:p w14:paraId="5BF1B77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（四）法定最高刑为无期徒刑、死刑的，经过二十年。如果二十年以后认为必须追诉的，须报请最高人民检察院核准。</w:t>
      </w:r>
    </w:p>
    <w:p w14:paraId="6318850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第八十八条 【追诉期限的延长】在人民检察院、公安机关、国家安全机关立案侦查或者在人民法院受理案件以后，逃避侦查或者审判的，不受追诉期限的限制。</w:t>
      </w:r>
    </w:p>
    <w:p w14:paraId="3EB4693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被害人在追诉期限内提出控告，人民法院、人民检察院、公安机关应当立案而不予立案的，不受追诉期限的限制。</w:t>
      </w:r>
    </w:p>
    <w:p w14:paraId="2A35064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第八十九条 【追诉期限的计算与中断】追诉期限从犯罪之日起计算；犯罪行为有连续或者继续状态的，从犯罪行为终了之日起计算。</w:t>
      </w:r>
    </w:p>
    <w:p w14:paraId="4F3E741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在追诉期限以内又犯罪的，前罪追诉的期限从犯后罪之日起计算。</w:t>
      </w:r>
    </w:p>
    <w:p w14:paraId="29F9375B" w14:textId="77777777" w:rsidR="00F50CD8" w:rsidRDefault="00000000">
      <w:pPr>
        <w:autoSpaceDE w:val="0"/>
        <w:spacing w:afterLines="50" w:after="156" w:line="360" w:lineRule="auto"/>
        <w:ind w:firstLineChars="200" w:firstLine="480"/>
        <w:outlineLvl w:val="0"/>
        <w:rPr>
          <w:rFonts w:ascii="宋体" w:eastAsia="宋体" w:hAnsi="宋体" w:cs="宋体" w:hint="eastAsia"/>
          <w:sz w:val="24"/>
        </w:rPr>
      </w:pPr>
      <w:r>
        <w:rPr>
          <w:rFonts w:ascii="宋体" w:eastAsia="宋体" w:hAnsi="宋体" w:cs="宋体" w:hint="eastAsia"/>
          <w:sz w:val="24"/>
          <w:lang w:bidi="ar"/>
        </w:rPr>
        <w:t>第五章 其他规定</w:t>
      </w:r>
    </w:p>
    <w:p w14:paraId="58CD681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第九十条 【民族自治地方刑法适用的变通】民族自治地方不能全部适用本法规定的，可以由自治区或者省的人民代表大会根据当地民族的政治、经济、文化的特点和本法规定的基本原则，制定变通或者补充的规定，报请全国人民代表大会常务委员会批准施行。</w:t>
      </w:r>
    </w:p>
    <w:p w14:paraId="5B1EFF8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第九十一条 【公共财产的范围】本法所称公共财产，是指下列财产：</w:t>
      </w:r>
    </w:p>
    <w:p w14:paraId="4F3D378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（一）国有财产；</w:t>
      </w:r>
    </w:p>
    <w:p w14:paraId="7A88284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（二）劳动群众集体所有的财产；</w:t>
      </w:r>
    </w:p>
    <w:p w14:paraId="547F389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（三）用于扶贫和其他公益事业的社会捐助或者专项基金的财产。</w:t>
      </w:r>
    </w:p>
    <w:p w14:paraId="2FABB7A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在国家机关、国有公司、企业、集体企业和人民团体管理、使用或者运输中的私人财产，以公共财产论。</w:t>
      </w:r>
    </w:p>
    <w:p w14:paraId="69B23D1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第九十二条 【公民私人所有财产的范围】本法所称公民私人所有的财产，是指下列财产：</w:t>
      </w:r>
    </w:p>
    <w:p w14:paraId="75DF767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（一）公民的合法收入、储蓄、房屋和其他生活资料；</w:t>
      </w:r>
    </w:p>
    <w:p w14:paraId="18D1D4B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（二）依法归个人、家庭所有的生产资料；</w:t>
      </w:r>
    </w:p>
    <w:p w14:paraId="44DAE7A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（三）个体户和私营企业的合法财产；</w:t>
      </w:r>
    </w:p>
    <w:p w14:paraId="1CF66DE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（四）依法归个人所有的股份、股票、债券和其他财产。</w:t>
      </w:r>
    </w:p>
    <w:p w14:paraId="34E213A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第九十三条 【国家工作人员的范围】本法所称国家工作人员，是指国家机关中从事公务的人员。</w:t>
      </w:r>
    </w:p>
    <w:p w14:paraId="6018A90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国有公司、企业、事业单位、人民团体中从事公务的人员和国家机关、国有公司、企业、事业单位委派到非国有公司、企业、事业单位、社会团体从事公务的人员，以及其他依照法律从事公务的人员，以国家工作人员论。</w:t>
      </w:r>
    </w:p>
    <w:p w14:paraId="2D18AC8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第九十四条 【司法工作人员的范围】本法所称司法工作人员，是指有侦查、检察、审判、监管职责的工作人员。</w:t>
      </w:r>
    </w:p>
    <w:p w14:paraId="269FD272"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第九十五条 【重伤】本法所称重伤，是指有下列情形之一的伤害：</w:t>
      </w:r>
    </w:p>
    <w:p w14:paraId="5C592E9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（一）使人肢体残废或者毁人容貌的；</w:t>
      </w:r>
    </w:p>
    <w:p w14:paraId="645E16A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（二）使人丧失听觉、视觉或者其他器官机能的；</w:t>
      </w:r>
    </w:p>
    <w:p w14:paraId="0897C17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（三）其他对于人身健康有重大伤害的。</w:t>
      </w:r>
    </w:p>
    <w:p w14:paraId="40E4A51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第九十六条 【违反国家规定之含义】本法所称违反国家规定，是指违反全国人民代表大会及其常务委员会制定的法律和决定，国务院制定的行政法规、规定的行政措施、发布的决定和命令。</w:t>
      </w:r>
    </w:p>
    <w:p w14:paraId="1E9DBD5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第九十七条 【首要分子的范围】本法所称首要分子，是指在犯罪集团或者聚众犯罪中起组织、策划、指挥作用的犯罪分子。</w:t>
      </w:r>
    </w:p>
    <w:p w14:paraId="2476957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第九十八条 【告诉才处理的含义】本法所称告诉才处理，是指被害人告诉才处理。如果被害人因受强制、威吓无法告诉的，人民检察院和被害人的近亲属也可以告诉。</w:t>
      </w:r>
    </w:p>
    <w:p w14:paraId="7450D9A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第九十九条 【以上、以下、以内之界定】本法所称以上、以下、以内，包括本数。</w:t>
      </w:r>
    </w:p>
    <w:p w14:paraId="5CBB03A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第一百条 【前科报告制度】依法受过刑事处罚的人，在入伍、就业的时候，应当如实向有关单位报告自己曾受过刑事处罚，不得隐瞒。</w:t>
      </w:r>
    </w:p>
    <w:p w14:paraId="0D88272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犯罪的时候不满十八周岁被判处五年有期徒刑以下刑罚的人，免除前款规定的报告义务。</w:t>
      </w:r>
    </w:p>
    <w:p w14:paraId="3B5335A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第一百零一条 【总则的效力】本法总则适用于其他有刑罚规定的法律，但是其他法律有特别规定的除外。</w:t>
      </w:r>
    </w:p>
    <w:p w14:paraId="023DEE6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第二编 分则</w:t>
      </w:r>
    </w:p>
    <w:p w14:paraId="1CEFE21A" w14:textId="77777777" w:rsidR="00F50CD8" w:rsidRDefault="00000000">
      <w:pPr>
        <w:autoSpaceDE w:val="0"/>
        <w:spacing w:afterLines="50" w:after="156" w:line="360" w:lineRule="auto"/>
        <w:ind w:firstLineChars="200" w:firstLine="480"/>
        <w:outlineLvl w:val="0"/>
        <w:rPr>
          <w:rFonts w:ascii="宋体" w:eastAsia="宋体" w:hAnsi="宋体" w:cs="宋体" w:hint="eastAsia"/>
          <w:sz w:val="24"/>
        </w:rPr>
      </w:pPr>
      <w:r>
        <w:rPr>
          <w:rFonts w:ascii="宋体" w:eastAsia="宋体" w:hAnsi="宋体" w:cs="宋体" w:hint="eastAsia"/>
          <w:sz w:val="24"/>
          <w:lang w:bidi="ar"/>
        </w:rPr>
        <w:t>第一章 危害国家安全罪</w:t>
      </w:r>
    </w:p>
    <w:p w14:paraId="39C1BC8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第一百零二条 【背叛国家罪】勾结外国，危害中华人民共和国的主权、领土完整和安全的，处无期徒刑或者十年以上有期徒刑。</w:t>
      </w:r>
    </w:p>
    <w:p w14:paraId="5869DFD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与境外机构、组织、个人相勾结，犯前款罪的，依照前款的规定处罚。</w:t>
      </w:r>
    </w:p>
    <w:p w14:paraId="70BDAE7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第一百零三条 【分裂国家罪】组织、策划、实施分裂国家、破坏国家统一的，对首要分子或者罪行重大的，处无期徒刑或者十年以上有期徒刑；对积极参加的，处三年以上十年以下有期徒刑；对其他参加的，处三年以下有期徒刑、拘役、管制</w:t>
      </w:r>
      <w:r>
        <w:rPr>
          <w:rFonts w:ascii="宋体" w:eastAsia="宋体" w:hAnsi="宋体" w:cs="宋体" w:hint="eastAsia"/>
          <w:sz w:val="24"/>
          <w:lang w:bidi="ar"/>
        </w:rPr>
        <w:lastRenderedPageBreak/>
        <w:t>或者剥夺政治权利。</w:t>
      </w:r>
    </w:p>
    <w:p w14:paraId="37DB309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【煽动分裂国家罪】煽动分裂国家、破坏国家统一的，处五年以下有期徒刑、拘役、管制或者剥夺政治权利；首要分子或者罪行重大的，处五年以上有期徒刑。</w:t>
      </w:r>
    </w:p>
    <w:p w14:paraId="6EE432E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第一百零四条 【武装叛乱、暴乱罪】组织、策划、实施武装叛乱或者武装暴乱的，对首要分子或者罪行重大的，处无期徒刑或者十年以上有期徒刑；对积极参加的，处三年以上十年以下有期徒刑；对其他参加的，处三年以下有期徒刑、拘役、管制或者剥夺政治权利。</w:t>
      </w:r>
    </w:p>
    <w:p w14:paraId="438283A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策动、胁迫、勾引、收买国家机关工作人员、武装部队人员、人民警察、民兵进行武装叛乱或者武装暴乱的，依照前款的规定从重处罚。</w:t>
      </w:r>
    </w:p>
    <w:p w14:paraId="0101FB6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第一百零五条 【颠覆国家政权罪】组织、策划、实施颠覆国家政权、推翻社会主义制度的，对首要分子或者罪行重大的，处无期徒刑或者十年以上有期徒刑；对积极参加的，处三年以上十年以下有期徒刑；对其他参加的，处三年以下有期徒刑、拘役、管制或者剥夺政治权利。</w:t>
      </w:r>
    </w:p>
    <w:p w14:paraId="4415A44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【煽动颠覆国家政权罪】以造谣、诽谤或者其他方式煽动颠覆国家政权、推翻社会主义制度的，处五年以下有期徒刑、拘役、管制或者剥夺政治权利；首要分子或者罪行重大的，处五年以上有期徒刑。</w:t>
      </w:r>
    </w:p>
    <w:p w14:paraId="0D4C5B8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第一百零六条 【与境外勾结的处罚规定】与境外机构、组织、个人相勾结，实施本章第一百零三条、第一百零四条、第一百零五条规定之罪的，依照各该条的规定从重处罚。</w:t>
      </w:r>
    </w:p>
    <w:p w14:paraId="455F917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第一百零七条 【资助危害国家安全犯罪活动罪】境内外机构、组织或者个人资助实施本章第一百零二条、第一百零三条、第一百零四条、第一百零五条规定之罪的，对直接责任人员，处五年以下有期徒刑、拘役、管制或者剥夺政治权利；情节严重的，处五年以上有期徒刑。</w:t>
      </w:r>
    </w:p>
    <w:p w14:paraId="7E5CA37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第一百零八条 【投敌叛变罪】投敌叛变的，处三年以上十年以下有期徒刑；情节严重或者带领武装部队人员、人民警察、民兵投敌叛变的，处十年以上有期徒刑</w:t>
      </w:r>
      <w:r>
        <w:rPr>
          <w:rFonts w:ascii="宋体" w:eastAsia="宋体" w:hAnsi="宋体" w:cs="宋体" w:hint="eastAsia"/>
          <w:sz w:val="24"/>
          <w:lang w:bidi="ar"/>
        </w:rPr>
        <w:lastRenderedPageBreak/>
        <w:t>或者无期徒刑。</w:t>
      </w:r>
    </w:p>
    <w:p w14:paraId="42F854F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第一百零九条 【叛逃罪】国家机关工作人员在履行公务期间，擅离岗位，叛逃境外或者在境外叛逃的，处五年以下有期徒刑、拘役、管制或者剥夺政治权利；情节严重的，处五年以上十年以下有期徒刑。</w:t>
      </w:r>
    </w:p>
    <w:p w14:paraId="4BE052E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掌握国家秘密的国家工作人员叛逃境外或者在境外叛逃的，依照前款的规定从重处罚。</w:t>
      </w:r>
    </w:p>
    <w:p w14:paraId="77D8890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第一百一十条 【间谍罪】有下列间谍行为之一，危害国家安全的，处十年以上有期徒刑或者无期徒刑；情节较轻的，处三年以上十年以下有期徒刑：</w:t>
      </w:r>
    </w:p>
    <w:p w14:paraId="490EDFF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（一）参加间谍组织或者接受间谍组织及其代理人的任务的；</w:t>
      </w:r>
    </w:p>
    <w:p w14:paraId="5AB1CBC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（二）为敌人指示轰击目标的。</w:t>
      </w:r>
    </w:p>
    <w:p w14:paraId="71E3B07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第一百一十一条 【为境外窃取、刺探、收买、非法提供国家秘密、情报罪】为境外的机构、组织、人员窃取、刺探、收买、非法提供国家秘密或者情报的，处五年以上十年以下有期徒刑；情节特别严重的，处十年以上有期徒刑或者无期徒刑；情节较轻的，处五年以下有期徒刑、拘役、管制或者剥夺政治权利。</w:t>
      </w:r>
    </w:p>
    <w:p w14:paraId="46F4B16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第一百一十二条 【资敌罪】战时供给敌人武器装备、军用物资资敌的，处十年以上有期徒刑或者无期徒刑；情节较轻的，处三年以上十年以下有期徒刑。</w:t>
      </w:r>
    </w:p>
    <w:p w14:paraId="3446618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第一百一十三条 【危害国家安全罪适用死刑、没收财产的规定】本章上述危害国家安全罪行中，除第一百零三条第二款、第一百零五条、第一百零七条、第一百零九条外，对国家和人民危害特别严重、情节特别恶劣的，可以判处死刑。</w:t>
      </w:r>
    </w:p>
    <w:p w14:paraId="0B178EB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犯本章之罪的，可以并处没收财产。</w:t>
      </w:r>
    </w:p>
    <w:p w14:paraId="21CA0DAB" w14:textId="77777777" w:rsidR="00F50CD8" w:rsidRDefault="00000000">
      <w:pPr>
        <w:autoSpaceDE w:val="0"/>
        <w:spacing w:afterLines="50" w:after="156" w:line="360" w:lineRule="auto"/>
        <w:ind w:firstLineChars="200" w:firstLine="480"/>
        <w:outlineLvl w:val="0"/>
        <w:rPr>
          <w:rFonts w:ascii="宋体" w:eastAsia="宋体" w:hAnsi="宋体" w:cs="宋体" w:hint="eastAsia"/>
          <w:sz w:val="24"/>
        </w:rPr>
      </w:pPr>
      <w:r>
        <w:rPr>
          <w:rFonts w:ascii="宋体" w:eastAsia="宋体" w:hAnsi="宋体" w:cs="宋体" w:hint="eastAsia"/>
          <w:sz w:val="24"/>
          <w:lang w:bidi="ar"/>
        </w:rPr>
        <w:t>第二章 危害公共安全罪</w:t>
      </w:r>
    </w:p>
    <w:p w14:paraId="5F7B2C2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第一百一十四条 【放火罪】【决水罪】【爆炸罪】【投放危险物质罪】【以危险方法危害公共安全罪】放火、决水、爆炸以及投放毒害性、放射性、传染病病原体等物质或者以其他危险方法危害公共安全，尚未造成严重后果的，处三年以上十</w:t>
      </w:r>
      <w:r>
        <w:rPr>
          <w:rFonts w:ascii="宋体" w:eastAsia="宋体" w:hAnsi="宋体" w:cs="宋体" w:hint="eastAsia"/>
          <w:sz w:val="24"/>
          <w:lang w:bidi="ar"/>
        </w:rPr>
        <w:lastRenderedPageBreak/>
        <w:t>年以下有期徒刑。</w:t>
      </w:r>
    </w:p>
    <w:p w14:paraId="135944D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第一百一十五条 【放火罪】【决水罪】【爆炸罪】【投放危险物质罪】【以危险方法危害公共安全罪】放火、决水、爆炸以及投放毒害性、放射性、传染病病原体等物质或者以其他危险方法致人重伤、死亡或者使公私财产遭受重大损失的，处十年以上有期徒刑、无期徒刑或者死刑。</w:t>
      </w:r>
    </w:p>
    <w:p w14:paraId="62B189F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【失火罪】【过失决水罪】【过失爆炸罪】【过失投放危险物质罪】【过失以危险方法危害公共安全罪】过失犯前款罪的，处三年以上七年以下有期徒刑；情节较轻的，处三年以下有期徒刑或者拘役。</w:t>
      </w:r>
    </w:p>
    <w:p w14:paraId="5006E7F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第一百一十六条 【破坏交通工具罪】破坏火车、汽车、电车、船只、航空器，足以使火车、汽车、电车、船只、航空器发生倾覆、毁坏危险，尚未造成严重后果的，处三年以上十年以下有期徒刑。</w:t>
      </w:r>
    </w:p>
    <w:p w14:paraId="33FD54F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第一百一十七条 【破坏交通设施罪】破坏轨道、桥梁、隧道、公路、机场、航道、灯塔、标志或者进行其他破坏活动，足以使火车、汽车、电车、船只、航空器发生倾覆、毁坏危险，尚未造成严重后果的，处三年以上十年以下有期徒刑。</w:t>
      </w:r>
    </w:p>
    <w:p w14:paraId="18B1024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第一百一十八条 【破坏电力设备罪】【破坏易燃易爆设备罪】破坏电力、燃气或者其他易燃易爆设备，危害公共安全，尚未造成严重后果的，处三年以上十年以下有期徒刑。</w:t>
      </w:r>
    </w:p>
    <w:p w14:paraId="59B0943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第一百一十九条 【破坏交通工具罪】【破坏交通设施罪】【破坏电力设备罪】【破坏易燃易爆设备罪】破坏交通工具、交通设施、电力设备、燃气设备、易燃易爆设备，造成严重后果的，处十年以上有期徒刑、无期徒刑或者死刑。</w:t>
      </w:r>
    </w:p>
    <w:p w14:paraId="6632CD9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【过失损坏交通工具罪】【过失损坏交通设施罪】【过失损坏电力设备罪】【过失损坏易燃易爆设备罪】过失犯前款罪的，处三年以上七年以下有期徒刑；情节较轻的，处三年以下有期徒刑或者拘役。</w:t>
      </w:r>
    </w:p>
    <w:p w14:paraId="4605B18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第一百二十条 【组织、领导、参加恐怖组织罪】组织、领导恐怖活动组织的，处十年以上有期徒刑或者无期徒刑，并处没收财产；积极参加的，处三年以上十年</w:t>
      </w:r>
      <w:r>
        <w:rPr>
          <w:rFonts w:ascii="宋体" w:eastAsia="宋体" w:hAnsi="宋体" w:cs="宋体" w:hint="eastAsia"/>
          <w:sz w:val="24"/>
          <w:lang w:bidi="ar"/>
        </w:rPr>
        <w:lastRenderedPageBreak/>
        <w:t>以下有期徒刑，并处罚金；其他参加的，处三年以下有期徒刑、拘役、管制或者剥夺政治权利，可以并处罚金。</w:t>
      </w:r>
    </w:p>
    <w:p w14:paraId="6378978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犯前款罪并实施杀人、爆炸、绑架等犯罪的，依照数罪并罚的规定处罚。</w:t>
      </w:r>
    </w:p>
    <w:p w14:paraId="245A102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第一百二十条之一 【帮助恐怖活动罪】资助恐怖活动组织、实施恐怖活动的个人的，或者资助恐怖活动培训的，处五年以下有期徒刑、拘役、管制或者剥夺政治权利，并处罚金；情节严重的，处五年以上有期徒刑，并处罚金或者没收财产。</w:t>
      </w:r>
    </w:p>
    <w:p w14:paraId="2E2B6B0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为恐怖活动组织、实施恐怖活动或者恐怖活动培训招募、运送人员的，依照前款的规定处罚。</w:t>
      </w:r>
    </w:p>
    <w:p w14:paraId="52B6063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单位犯前两款罪的，对单位判处罚金，并对其直接负责的主管人员和其他直接责任人员，依照第一款的规定处罚。</w:t>
      </w:r>
    </w:p>
    <w:p w14:paraId="2C18826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第一百二十条之二 【准备实施恐怖活动罪】有下列情形之一的，处五年以下有期徒刑、拘役、管制或者剥夺政治权利，并处罚金；情节严重的，处五年以上有期徒刑，并处罚金或者没收财产：</w:t>
      </w:r>
    </w:p>
    <w:p w14:paraId="434FAC3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（一）为实施恐怖活动准备凶器、危险物品或者其他工具的；</w:t>
      </w:r>
    </w:p>
    <w:p w14:paraId="628FA5E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（二）组织恐怖活动培训或者积极参加恐怖活动培训的；</w:t>
      </w:r>
    </w:p>
    <w:p w14:paraId="3BDC97E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（三）为实施恐怖活动与境外恐怖活动组织或者人员联络的；</w:t>
      </w:r>
    </w:p>
    <w:p w14:paraId="18BBBAC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（四）为实施恐怖活动进行策划或者其他准备的。</w:t>
      </w:r>
    </w:p>
    <w:p w14:paraId="74FA346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有前款行为，同时构成其他犯罪的，依照处罚较重的规定定罪处罚。</w:t>
      </w:r>
    </w:p>
    <w:p w14:paraId="3DB9E6E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第一百二十条之三 【宣扬恐怖主义、极端主义、煽动实施恐怖活动罪】以制作、散发宣扬恐怖主义、极端主义的图书、音频视频资料或者其他物品，或者通过讲授、发布信息等方式宣扬恐怖主义、极端主义的，或者煽动实施恐怖活动的，处五年以下有期徒刑、拘役、管制或者剥夺政治权利，并处罚金；情节严重的，处五年以上有期徒刑，并处罚金或者没收财产。</w:t>
      </w:r>
    </w:p>
    <w:p w14:paraId="1FDD0E4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第一百二十条之四 【利用极端主义破坏法律实施罪】利用极端主义煽动、胁迫群众破坏国家法律确立的婚姻、司法、教育、社会管理等制度实施的，处三年以下有期徒刑、拘役或者管制，并处罚金；情节严重的，处三年以上七年以下有期徒刑，并处罚金；情节特别严重的，处七年以上有期徒刑，并处罚金或者没收财产。</w:t>
      </w:r>
    </w:p>
    <w:p w14:paraId="7E78ACA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第一百二十条之五 【强制穿戴宣扬恐怖主义、极端主义服饰、标志罪】以暴力、胁迫等方式强制他人在公共场所穿着、佩戴宣扬恐怖主义、极端主义服饰、标志的，处三年以下有期徒刑、拘役或者管制，并处罚金。</w:t>
      </w:r>
    </w:p>
    <w:p w14:paraId="76836E3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第一百二十条之六 【非法持有宣扬恐怖主义、极端主义物品罪】明知是宣扬恐怖主义、极端主义的图书、音频视频资料或者其他物品而非法持有，情节严重的，处三年以下有期徒刑、拘役或者管制，并处或者单处罚金。</w:t>
      </w:r>
    </w:p>
    <w:p w14:paraId="2B28D43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第一百二十一条 【劫持航空器罪】以暴力、胁迫或者其他方法劫持航空器的，处十年以上有期徒刑或者无期徒刑；致人重伤、死亡或者使航空器遭受严重破坏的，处死刑。</w:t>
      </w:r>
    </w:p>
    <w:p w14:paraId="5862AC9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第一百二十二条 【劫持船只、汽车罪】以暴力、胁迫或者其他方法劫持船只、汽车的，处五年以上十年以下有期徒刑；造成严重后果的，处十年以上有期徒刑或者无期徒刑。</w:t>
      </w:r>
    </w:p>
    <w:p w14:paraId="5C839F1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第一百二十三条 【暴力危及飞行安全罪】对飞行中的航空器上的人员使用暴力，危及飞行安全，尚未造成严重后果的，处五年以下有期徒刑或者拘役；造成严重后果的，处五年以上有期徒刑。</w:t>
      </w:r>
    </w:p>
    <w:p w14:paraId="407B938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第一百二十四条 【破坏广播电视设施、公用电信设施罪】破坏广播电视设施、公用电信设施，危害公共安全的，处三年以上七年以下有期徒刑；造成严重后果的，处七年以上有期徒刑。</w:t>
      </w:r>
    </w:p>
    <w:p w14:paraId="5FD71E7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【过失损坏广播电视设施、公用电信设施罪】过失犯前款罪的，处三年以上七年以下有期徒刑；情节较轻的，处三年以下有期徒刑或者拘役。</w:t>
      </w:r>
    </w:p>
    <w:p w14:paraId="5AB7E00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第一百二十五条 【非法制造、买卖、运输、邮寄、储存枪支、弹药、爆炸物罪】</w:t>
      </w:r>
      <w:r>
        <w:rPr>
          <w:rFonts w:ascii="宋体" w:eastAsia="宋体" w:hAnsi="宋体" w:cs="宋体" w:hint="eastAsia"/>
          <w:sz w:val="24"/>
          <w:lang w:bidi="ar"/>
        </w:rPr>
        <w:lastRenderedPageBreak/>
        <w:t>非法制造、买卖、运输、邮寄、储存枪支、弹药、爆炸物的，处三年以上十年以下有期徒刑；情节严重的，处十年以上有期徒刑、无期徒刑或者死刑。</w:t>
      </w:r>
    </w:p>
    <w:p w14:paraId="5B1ADDA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【非法制造、买卖、运输、储存危险物质罪】非法制造、买卖、运输、储存毒害性、放射性、传染病病原体等物质，危害公共安全的，依照前款的规定处罚。</w:t>
      </w:r>
    </w:p>
    <w:p w14:paraId="30B68A2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单位犯前两款罪的，对单位判处罚金，并对其直接负责的主管人员和其他直接责任人员，依照第一款的规定处罚。</w:t>
      </w:r>
    </w:p>
    <w:p w14:paraId="65DF4B1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第一百二十六条 【违规制造、销售枪支罪】依法被指定、确定的枪支制造企业、销售企业，违反枪支管理规定，有下列行为之一的，对单位判处罚金，并对其直接负责的主管人员和其他直接责任人员，处五年以下有期徒刑；情节严重的，处五年以上十年以下有期徒刑；情节特别严重的，处十年以上有期徒刑或者无期徒刑：</w:t>
      </w:r>
    </w:p>
    <w:p w14:paraId="424FB4E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（一）以非法销售为目的，超过限额或者不按照规定的品种制造、配售枪支的；</w:t>
      </w:r>
    </w:p>
    <w:p w14:paraId="06DBC0B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（二）以非法销售为目的，制造无号、重号、假号的枪支的；</w:t>
      </w:r>
    </w:p>
    <w:p w14:paraId="377CC1D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（三）非法销售枪支或者在境内销售为出口制造的枪支的。</w:t>
      </w:r>
    </w:p>
    <w:p w14:paraId="4824FFA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第一百二十七条 【盗窃、抢夺枪支、弹药、爆炸物、危险物质罪】盗窃、抢夺枪支、弹药、爆炸物的，或者盗窃、抢夺毒害性、放射性、传染病病原体等物质，危害公共安全的，处三年以上十年以下有期徒刑；情节严重的，处十年以上有期徒刑、无期徒刑或者死刑。</w:t>
      </w:r>
    </w:p>
    <w:p w14:paraId="4E70FD3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抢劫枪支、弹药、爆炸物、危险物质罪】【盗窃、抢夺枪支、弹药、爆炸物、危险物质罪】抢劫枪支、弹药、爆炸物的，或者抢劫毒害性、放射性、传染病病原体等物质，危害公共安全的，或者盗窃、抢夺国家机关、军警人员、民兵的枪支、弹药、爆炸物的，处十年以上有期徒刑、无期徒刑或者死刑。</w:t>
      </w:r>
    </w:p>
    <w:p w14:paraId="5FAE11D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第一百二十八条 【非法持有、私藏枪支、弹药罪】违反枪支管理规定，非法持有、私藏枪支、弹药的，处三年以下有期徒刑、拘役或者管制；情节严重的，处三年以上七年以下有期徒刑。</w:t>
      </w:r>
    </w:p>
    <w:p w14:paraId="33F0866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【非法出租、出借枪支罪】依法配备公务用枪的人员，非法出租、出借枪支的，依照前款的规定处罚。</w:t>
      </w:r>
    </w:p>
    <w:p w14:paraId="2D60266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【非法出租、出借枪支罪】依法配置枪支的人员，非法出租、出借枪支，造成严重后果的，依照第一款的规定处罚。</w:t>
      </w:r>
    </w:p>
    <w:p w14:paraId="5CAF391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单位犯第二款、第三款罪的，对单位判处罚金，并对其直接负责的主管人员和其他直接责任人员，依照第一款的规定处罚。</w:t>
      </w:r>
    </w:p>
    <w:p w14:paraId="492D9C6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第一百二十九条 【丢失枪支不报罪】依法配备公务用枪的人员，丢失枪支不及时报告，造成严重后果的，处三年以下有期徒刑或者拘役。</w:t>
      </w:r>
    </w:p>
    <w:p w14:paraId="75D67AC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第一百三十条 【非法携带枪支、弹药、管制刀具、危险物品危及公共安全罪】非法携带枪支、弹药、管制刀具或者爆炸性、易燃性、放射性、毒害性、腐蚀性物品，进入公共场所或者公共交通工具，危及公共安全，情节严重的，处三年以下有期徒刑、拘役或者管制。</w:t>
      </w:r>
    </w:p>
    <w:p w14:paraId="4031103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第一百三十一条 【重大飞行事故罪】航空人员违反规章制度，致使发生重大飞行事故，造成严重后果的，处三年以下有期徒刑或者拘役；造成飞机坠毁或者人员死亡的，处三年以上七年以下有期徒刑。</w:t>
      </w:r>
    </w:p>
    <w:p w14:paraId="3546F0D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第一百三十二条 【铁路运营安全事故罪】铁路职工违反规章制度，致使发生铁路运营安全事故，造成严重后果的，处三年以下有期徒刑或者拘役；造成特别严重后果的，处三年以上七年以下有期徒刑。</w:t>
      </w:r>
    </w:p>
    <w:p w14:paraId="7D92DF3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第一百三十三条 【交通肇事罪】违反交通运输管理法规，因而发生重大事故，致人重伤、死亡或者使公私财产遭受重大损失的，处三年以下有期徒刑或者拘役；交通运输肇事后逃逸或者有其他特别恶劣情节的，处三年以上七年以下有期徒刑；因逃逸致人死亡的，处七年以上有期徒刑。</w:t>
      </w:r>
    </w:p>
    <w:p w14:paraId="068A432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第一百三十三条之一 【危险驾驶罪】在道路上驾驶机动车，有下列情形之一的，处拘役，并处罚金：</w:t>
      </w:r>
    </w:p>
    <w:p w14:paraId="013E367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（一）追逐竞驶，情节恶劣的；</w:t>
      </w:r>
    </w:p>
    <w:p w14:paraId="4ABC0EC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（二）醉酒驾驶机动车的；</w:t>
      </w:r>
    </w:p>
    <w:p w14:paraId="2B90C8A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（三）从事校车业务或者旅客运输，严重超过额定乘员载客，或者严重超过规定时速行驶的；</w:t>
      </w:r>
    </w:p>
    <w:p w14:paraId="6C6FAA5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（四）违反危险化学品安全管理规定运输危险化学品，危及公共安全的。</w:t>
      </w:r>
    </w:p>
    <w:p w14:paraId="12E640A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机动车所有人、管理人对前款第三项、第四项行为负有直接责任的，依照前款的规定处罚。</w:t>
      </w:r>
    </w:p>
    <w:p w14:paraId="264BA62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有前两款行为，同时构成其他犯罪的，依照处罚较重的规定定罪处罚。</w:t>
      </w:r>
    </w:p>
    <w:p w14:paraId="3F33062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第一百三十三条之二 【妨害安全驾驶罪】对行驶中的公共交通工具的驾驶人员使用暴力</w:t>
      </w:r>
      <w:proofErr w:type="gramStart"/>
      <w:r>
        <w:rPr>
          <w:rFonts w:ascii="宋体" w:eastAsia="宋体" w:hAnsi="宋体" w:cs="宋体" w:hint="eastAsia"/>
          <w:sz w:val="24"/>
          <w:lang w:bidi="ar"/>
        </w:rPr>
        <w:t>或者抢控驾驶</w:t>
      </w:r>
      <w:proofErr w:type="gramEnd"/>
      <w:r>
        <w:rPr>
          <w:rFonts w:ascii="宋体" w:eastAsia="宋体" w:hAnsi="宋体" w:cs="宋体" w:hint="eastAsia"/>
          <w:sz w:val="24"/>
          <w:lang w:bidi="ar"/>
        </w:rPr>
        <w:t>操纵装置，干扰公共交通工具正常行驶，危及公共安全的，处一年以下有期徒刑、拘役或者管制，并处或者单处罚金。</w:t>
      </w:r>
    </w:p>
    <w:p w14:paraId="2380F9E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前款规定的驾驶人员在行驶的公共交通工具上擅离职守，与他人互殴或者殴打他人，危及公共安全的，依照前款的规定处罚。</w:t>
      </w:r>
    </w:p>
    <w:p w14:paraId="25FF57E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有前两款行为，同时构成其他犯罪的，依照处罚较重的规定定罪处罚。</w:t>
      </w:r>
    </w:p>
    <w:p w14:paraId="4FDB011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第一百三十四条 【重大责任事故罪】在生产、作业中违反有关安全管理的规定，因而发生重大伤亡事故或者造成其他严重后果的，处三年以下有期徒刑或者拘役；情节特别恶劣的，处三年以上七年以下有期徒刑。</w:t>
      </w:r>
    </w:p>
    <w:p w14:paraId="1FC6C67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强令、组织他人违章冒险作业罪】强令他人违章冒险作业，或者明知存在重大事故隐患而不排除，仍冒险组织作业，因而发生重大伤亡事故或者造成其他严重后果的，处五年以下有期徒刑或者拘役；情节特别恶劣的，处五年以上有期徒刑。</w:t>
      </w:r>
    </w:p>
    <w:p w14:paraId="27B7E87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第一百三十四条之一 【危险作业罪】在生产、作业中违反有关安全管理的规定，有下列情形之一，具有发生重大伤亡事故或者其他严重后果的现实危险的，处一年以下有期徒刑、拘役或者管制：</w:t>
      </w:r>
    </w:p>
    <w:p w14:paraId="555F04E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（一）关闭、破坏直接关系生产安全的监控、报警、防护、救生设备、设施，或者篡改、隐瞒、销毁其相关数据、信息的；</w:t>
      </w:r>
    </w:p>
    <w:p w14:paraId="394B4D8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（二）因存在重大事故隐患被依法责令停产停业、停止施工、停止使用有关设备、设施、场所或者立即采取排除危险的整改措施，而拒不执行的；</w:t>
      </w:r>
    </w:p>
    <w:p w14:paraId="18E9544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（三）涉及安全生产的事项未经依法批准或者许可，擅自从事矿山开采、金属冶炼、建筑施工，以及危险物品生产、经营、储存等高度危险的生产作业活动的。</w:t>
      </w:r>
    </w:p>
    <w:p w14:paraId="4A53491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第一百三十五条 【重大劳动安全事故罪】安全生产设施或者安全生产条件不符合国家规定，因而发生重大伤亡事故或者造成其他严重后果的，对直接负责的主管人员和其他直接责任人员，处三年以下有期徒刑或者拘役；情节特别恶劣的，处三年以上七年以下有期徒刑。</w:t>
      </w:r>
    </w:p>
    <w:p w14:paraId="7828BA2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第一百三十五条之一 【大型群众性活动重大安全事故罪】举办大型群众性活动违反安全管理规定，因而发生重大伤亡事故或者造成其他严重后果的，对直接负责的主管人员和其他直接责任人员，处三年以下有期徒刑或者拘役；情节特别恶劣的，处三年以上七年以下有期徒刑。</w:t>
      </w:r>
    </w:p>
    <w:p w14:paraId="4D7A0AC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第一百三十六条 【危险物品肇事罪】违反爆炸性、易燃性、放射性、毒害性、腐蚀性物品的管理规定，在生产、储存、运输、使用中发生重大事故，造成严重后果的，处三年以下有期徒刑或者拘役；后果特别严重的，处三年以上七年以下有期徒刑。</w:t>
      </w:r>
    </w:p>
    <w:p w14:paraId="5DFBB54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第一百三十七条 【工程重大安全事故罪】建设单位、设计单位、施工单位、工程监理单位违反国家规定，降低工程质量标准，造成重大安全事故的，对直接责任人员，处五年以下有期徒刑或者拘役，并处罚金；后果特别严重的，处五年以上十年以下有期徒刑，并处罚金。</w:t>
      </w:r>
    </w:p>
    <w:p w14:paraId="1C6647D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第一百三十八条 【教育设施重大安全事故罪】明知校舍或者教育教学设施有危险，而不采取措施或者不及时报告，致使发生重大伤亡事故的，对直接责任人员，处三年以下有期徒刑或者拘役；后果特别严重的，处三年以上七年以下有期徒刑。</w:t>
      </w:r>
    </w:p>
    <w:p w14:paraId="1ADF2E9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第一百三十九条 【消防责任事故罪】违反消防管理法规，经消防监督机构通知采取改正措施而拒绝执行，造成严重后果的，对直接责任人员，处三年以下有期徒刑或者拘役；后果特别严重的，处三年以上七年以下有期徒刑。</w:t>
      </w:r>
    </w:p>
    <w:p w14:paraId="7F0C349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第一百三十九条之一 【不报、谎报安全事故罪】在安全事故发生后，负有报告职责的人员不报或者谎报事故情况，贻误事故抢救，情节严重的，处三年以下有期徒刑或者拘役；情节特别严重的，处三年以上七年以下有期徒刑。</w:t>
      </w:r>
    </w:p>
    <w:p w14:paraId="124B8DB5" w14:textId="77777777" w:rsidR="00F50CD8" w:rsidRDefault="00000000">
      <w:pPr>
        <w:autoSpaceDE w:val="0"/>
        <w:spacing w:afterLines="50" w:after="156" w:line="360" w:lineRule="auto"/>
        <w:ind w:firstLineChars="200" w:firstLine="480"/>
        <w:outlineLvl w:val="0"/>
        <w:rPr>
          <w:rFonts w:ascii="宋体" w:eastAsia="宋体" w:hAnsi="宋体" w:cs="宋体" w:hint="eastAsia"/>
          <w:sz w:val="24"/>
        </w:rPr>
      </w:pPr>
      <w:r>
        <w:rPr>
          <w:rFonts w:ascii="宋体" w:eastAsia="宋体" w:hAnsi="宋体" w:cs="宋体" w:hint="eastAsia"/>
          <w:sz w:val="24"/>
          <w:lang w:bidi="ar"/>
        </w:rPr>
        <w:t>第三章 破坏社会主义市场经济秩序罪</w:t>
      </w:r>
    </w:p>
    <w:p w14:paraId="7788196A"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第一节 生产、销售伪劣商品罪</w:t>
      </w:r>
    </w:p>
    <w:p w14:paraId="3B43EE5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第一百四十条 【生产、销售伪劣产品罪】生产者、销售者在产品中掺杂、掺假，以假充真，以次充好或者以不合格产品冒充合格产品，销售金额五万元以上不满二十万元的，处二年以下有期徒刑或者拘役，并处或者单处销售金额百分之五十以上二倍以下罚金；销售金额二十万元以上不满五十万元的，处二年以上七年以下有期徒刑，并处销售金额百分之五十以上二倍以下罚金；销售金额五十万元以上不满二百万元的，处七年以上有期徒刑，并处销售金额百分之五十以上二倍以下罚金；销售金额二百万元以上的，处十五年有期徒刑或者无期徒刑，并处销售金额百分之五十以上二倍以下罚金或者没收财产。</w:t>
      </w:r>
    </w:p>
    <w:p w14:paraId="381B831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第一百四十一条 【生产、销售、提供假药罪】生产、销售假药的，处三年以下有期徒刑或者拘役，并处罚金；对人体健康造成严重危害或者有其他严重情节的，处三年以上十年以下有期徒刑，并处罚金；致人死亡或者有其他特别严重情节的，处十年以上有期徒刑、无期徒刑或者死刑，并处罚金或者没收财产。</w:t>
      </w:r>
    </w:p>
    <w:p w14:paraId="1281742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药品使用单位的人员明知是假药而提供给他人使用的，依照前款的规定处罚。</w:t>
      </w:r>
    </w:p>
    <w:p w14:paraId="0B52EC9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第一百四十二条 【生产、销售、提供劣药罪】生产、销售劣药，对人体健康造成严重危害的，处三年以上十年以下有期徒刑，并处罚金；后果特别严重的，处十年以上有期徒刑或者无期徒刑，并处罚金或者没收财产。</w:t>
      </w:r>
    </w:p>
    <w:p w14:paraId="074B3B9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药品使用单位的人员明知是劣药而提供给他人使用的，依照前款的规定处罚。</w:t>
      </w:r>
    </w:p>
    <w:p w14:paraId="6C38F3E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第一百四十二条之一 【妨害药品管理罪】违反药品管理法规，有下列情形之一，足以严重危害人体健康的，处三年以下有期徒刑或者拘役，并处或者单处罚金；对人体健康造成严重危害或者有其他严重情节的，处三年以上七年以下有期徒刑，并处罚金：</w:t>
      </w:r>
    </w:p>
    <w:p w14:paraId="5FF2CB86" w14:textId="77777777" w:rsidR="00F50CD8" w:rsidRDefault="00000000">
      <w:pPr>
        <w:autoSpaceDE w:val="0"/>
        <w:spacing w:afterLines="50" w:after="156" w:line="360" w:lineRule="auto"/>
        <w:ind w:firstLineChars="200" w:firstLine="480"/>
        <w:outlineLvl w:val="2"/>
        <w:rPr>
          <w:rFonts w:ascii="宋体" w:eastAsia="宋体" w:hAnsi="宋体" w:cs="宋体" w:hint="eastAsia"/>
          <w:sz w:val="24"/>
        </w:rPr>
      </w:pPr>
      <w:r>
        <w:rPr>
          <w:rFonts w:ascii="宋体" w:eastAsia="宋体" w:hAnsi="宋体" w:cs="宋体" w:hint="eastAsia"/>
          <w:sz w:val="24"/>
          <w:lang w:bidi="ar"/>
        </w:rPr>
        <w:t>（一）生产、销售国务院药品监督管理部门禁止使用的药品的；</w:t>
      </w:r>
    </w:p>
    <w:p w14:paraId="0076BA6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（二）未取得药品相关批准证明文件生产、进口药品或者明知是上述药品而销售的；</w:t>
      </w:r>
    </w:p>
    <w:p w14:paraId="65DA02B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（三）药品申请注册中提供虚假的证明、数据、资料、样品或者采取其他欺骗手段的；</w:t>
      </w:r>
    </w:p>
    <w:p w14:paraId="77A8207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（四）编造生产、检验记录的。</w:t>
      </w:r>
    </w:p>
    <w:p w14:paraId="07F3758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有前款行为，同时又构成本法第一百四十一条、第一百四十二条规定之罪或者其他犯罪的，依照处罚较重的规定定罪处罚。</w:t>
      </w:r>
    </w:p>
    <w:p w14:paraId="21F0FB0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第一百四十三条 【生产、销售不符合安全标准的食品罪】生产、销售不符合食品安全标准的食品，足以造成严重食物中毒事故或者其他严重食源性疾病的，处三年以下有期徒刑或者拘役，并处罚金；对人体健康造成严重危害或者有其他严重情节的，处三年以上七年以下有期徒刑，并处罚金；后果特别严重的，处七年以上有期徒刑或者无期徒刑，并处罚金或者没收财产。</w:t>
      </w:r>
    </w:p>
    <w:p w14:paraId="34DB622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第一百四十四条 【生产、销售有毒、有害食品罪】在生产、销售的食品中掺入有毒、有害的非食品原料的，或者销售明知掺有有毒、有害的非食品原料的食品的，处五年以下有期徒刑，并处罚金；对人体健康造成严重危害或者有其他严重情节的，处五年以上十年以下有期徒刑，并处罚金；致人死亡或者有其他特别严重情节的，依照本法第一百四十一条的规定处罚。</w:t>
      </w:r>
    </w:p>
    <w:p w14:paraId="5F527DB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第一百四十五条 【生产、销售不符合标准的医用器材罪】生产不符合保障人体健康的国家标准、行业标准的医疗器械、医用卫生材料，或者销售明知是不符合保障人体健康的国家标准、行业标准的医疗器械、医用卫生材料，足以严重危害人体</w:t>
      </w:r>
      <w:r>
        <w:rPr>
          <w:rFonts w:ascii="宋体" w:eastAsia="宋体" w:hAnsi="宋体" w:cs="宋体" w:hint="eastAsia"/>
          <w:sz w:val="24"/>
          <w:lang w:bidi="ar"/>
        </w:rPr>
        <w:lastRenderedPageBreak/>
        <w:t>健康的，处三年以下有期徒刑或者拘役，并处销售金额百分之五十以上二倍以下罚金；对人体健康造成严重危害的，处三年以上十年以下有期徒刑，并处销售金额百分之五十以上二倍以下罚金；后果特别严重的，处十年以上有期徒刑或者无期徒刑，并处销售金额百分之五十以上二倍以下罚金或者没收财产。</w:t>
      </w:r>
    </w:p>
    <w:p w14:paraId="7AADAAB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第一百四十六条 【生产、销售不符合安全标准的产品罪】生产不符合保障人身、财产安全的国家标准、行业标准的电器、压力容器、易燃易爆产品或者其他不符合保障人身、财产安全的国家标准、行业标准的产品，或者销售明知是以上不符合保障人身、财产安全的国家标准、行业标准的产品，造成严重后果的，处五年以下有期徒刑，并处销售金额百分之五十以上二倍以下罚金；后果特别严重的，处五年以上有期徒刑，并处销售金额百分之五十以上二倍以下罚金。</w:t>
      </w:r>
    </w:p>
    <w:p w14:paraId="737C565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第一百四十七条 【生产、销售伪劣农药、兽药、化肥、种子罪】生产假农药、假兽药、假化肥，销售明知是假的或者失去使用效能的农药、兽药、化肥、种子，或者生产者、销售者以不合格的农药、兽药、化肥、种子冒充合格的农药、兽药、化肥、种子，使生产遭受较大损失的，处三年以下有期徒刑或者拘役，并处或者单处销售金额百分之五十以上二倍以下罚金；使生产遭受重大损失的，处三年以上七年以下有期徒刑，并处销售金额百分之五十以上二倍以下罚金；使生产遭受特别重大损失的，处七年以上有期徒刑或者无期徒刑，并处销售金额百分之五十以上二倍以下罚金或者没收财产。</w:t>
      </w:r>
    </w:p>
    <w:p w14:paraId="0409830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第一百四十八条 【生产、销售不符合卫生标准的化妆品罪】生产不符合卫生标准的化妆品，或者销售明知是不符合卫生标准的化妆品，造成严重后果的，处三年以下有期徒刑或者拘役，并处或者单处销售金额百分之五十以上二倍以下罚金。</w:t>
      </w:r>
    </w:p>
    <w:p w14:paraId="7BF37BC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第一百四十九条 【对生产、销售伪劣商品行为的法条适用原则】生产、销售本节第一百四十一条至第一百四十八条所列产品，不构成各该条规定的犯罪，但是销售金额在五万元以上的，依照本节第一百四十条的规定定罪处罚。</w:t>
      </w:r>
    </w:p>
    <w:p w14:paraId="46E066E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生产、销售本节第一百四十一条至第一百四十八条所列产品，构成各该条规定的犯罪，同时又构成本节第一百四十条规定之罪的，依照处罚较重的规定定罪处罚。</w:t>
      </w:r>
    </w:p>
    <w:p w14:paraId="29D844B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第一百五十条 【单位犯生产、销售伪劣商品罪的处罚规定】单位犯本节第一百四十条至第一百四十八条规定之罪的，对单位判处罚金，并对其直接负责的主管人员和其他直接责任人员，依照各该条的规定处罚。</w:t>
      </w:r>
    </w:p>
    <w:p w14:paraId="68D12567"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第二节 走私罪</w:t>
      </w:r>
    </w:p>
    <w:p w14:paraId="3A94C31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第一百五十一条 【走私武器、弹药罪】【走私核材料罪】【走私假币罪】走私武器、弹药、核材料或者伪造的货币的，处七年以上有期徒刑，并处罚金或者没收财产；情节特别严重的，处无期徒刑，并处没收财产；情节较轻的，处三年以上七年以下有期徒刑，并处罚金。</w:t>
      </w:r>
    </w:p>
    <w:p w14:paraId="780D786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走私文物罪】【走私贵重金属罪】【走私珍贵动物、珍贵动物制品罪】走私国家禁止出口的文物、黄金、白银和其他贵重金属或者国家禁止进出口的珍贵动物及其制品的，处五年以上十年以下有期徒刑，并处罚金；情节特别严重的，处十年以上有期徒刑或者无期徒刑，并处没收财产；情节较轻的，处五年以下有期徒刑，并处罚金。</w:t>
      </w:r>
    </w:p>
    <w:p w14:paraId="37D053C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【走私国家禁止进出口的货物、物品罪】走私珍稀植物及其制品等国家禁止进出口的其他货物、物品的，处五年以下有期徒刑或者拘役，并处或者单处罚金；情节严重的，处五年以上有期徒刑，并处罚金。</w:t>
      </w:r>
    </w:p>
    <w:p w14:paraId="4E2B66E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单位犯本条规定之罪的，对单位判处罚金，并对其直接负责的主管人员和其他直接责任人员，依照本条各款的规定处罚。</w:t>
      </w:r>
    </w:p>
    <w:p w14:paraId="721711F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第一百五十二条 【走私淫秽物品罪】以牟利或者传播为目的，走私淫秽的影片、录像带、录音带、图片、书刊或者其他淫秽物品的，处三年以上十年以下有期徒刑，并处罚金；情节严重的，处十年以上有期徒刑或者无期徒刑，并处罚金或者没收财产；情节较轻的，处三年以下有期徒刑、拘役或者管制，并处罚金。</w:t>
      </w:r>
    </w:p>
    <w:p w14:paraId="7A1A1CF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【走私废物罪】逃避海关监管将境外固体废物、液态废物和气态废物运输进境，情节严重的，处五年以下有期徒刑，并处或者单处罚金；情节特别严重的，处五年以上有期徒刑，并处罚金。</w:t>
      </w:r>
    </w:p>
    <w:p w14:paraId="56D5BB3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单位犯前两款罪的，对单位判处罚金，并对其直接负责的主管人员和其他直接责任人员，依照前两款的规定处罚。</w:t>
      </w:r>
    </w:p>
    <w:p w14:paraId="607B3F0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第一百五十三条 【走私普通货物、物品罪】走私本法第一百五十一条、第一百五十二条、第三百四十七条规定以外的货物、物品的，根据情节轻重，分别依照下列规定处罚：</w:t>
      </w:r>
    </w:p>
    <w:p w14:paraId="732F10B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（一）走私货物、物品偷逃应缴税额较大或者一年内曾因走私被给予二次行政处罚后又走私的，处三年以下有期徒刑或者拘役，并处偷逃应缴税额一倍以上五倍以下罚金。</w:t>
      </w:r>
    </w:p>
    <w:p w14:paraId="6FA2313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（二）走私货物、物品偷逃应缴税额巨大或者有其他严重情节的，处三年以上十年以下有期徒刑，并处偷逃应缴税额一倍以上五倍以下罚金。</w:t>
      </w:r>
    </w:p>
    <w:p w14:paraId="3C48313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（三）走私货物、物品偷逃应缴税额特别巨大或者有其他特别严重情节的，处十年以上有期徒刑或者无期徒刑，并处偷逃应缴税额一倍以上五倍以下罚金或者没收财产。</w:t>
      </w:r>
    </w:p>
    <w:p w14:paraId="3894605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单位犯前款罪的，对单位判处罚金，并对其直接负责的主管人员和其他直接责任人员，处三年以下有期徒刑或者拘役；情节严重的，处三年以上十年以下有期徒刑；情节特别严重的，处十年以上有期徒刑。</w:t>
      </w:r>
    </w:p>
    <w:p w14:paraId="2F41029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对多次走私未经处理的，按照累计走私货物、物品的偷逃应缴税额处罚。</w:t>
      </w:r>
    </w:p>
    <w:p w14:paraId="6C0DF11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第一百五十四条 【特殊形式的走私普通货物、物品罪】下列走私行为，根据本节规定构成犯罪的，依照本法第一百五十三条的规定定罪处罚：</w:t>
      </w:r>
    </w:p>
    <w:p w14:paraId="6DE5DD3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（一）未经海关许可并且未补缴应缴税额，擅自将批准进口的来料加工、来件装配、补偿贸易的原材料、零件、制成品、设备等保税货物，在境内销售牟利的；</w:t>
      </w:r>
    </w:p>
    <w:p w14:paraId="266437C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（二）未经海关许可并且未补缴应缴税额，擅自将特定减税、免税进口的货物、物品，在境内销售牟利的。</w:t>
      </w:r>
    </w:p>
    <w:p w14:paraId="6DBBF0E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第一百五十五条 【以走私罪论处的间接走私行为】下列行为，以走私罪论处，</w:t>
      </w:r>
      <w:r>
        <w:rPr>
          <w:rFonts w:ascii="宋体" w:eastAsia="宋体" w:hAnsi="宋体" w:cs="宋体" w:hint="eastAsia"/>
          <w:sz w:val="24"/>
          <w:lang w:bidi="ar"/>
        </w:rPr>
        <w:lastRenderedPageBreak/>
        <w:t>依照本节的有关规定处罚：</w:t>
      </w:r>
    </w:p>
    <w:p w14:paraId="5E15CF8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（一）直接向走私人非法收购国家禁止进口物品的，或者直接向走私人非法收购走私进口的其他货物、物品，数额较大的；</w:t>
      </w:r>
    </w:p>
    <w:p w14:paraId="05C7EAA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（二）在内海、领海、界河、界湖运输、收购、贩卖国家禁止进出口物品的，或者运输、收购、贩卖国家限制进出口货物、物品，数额较大，没有合法证明的。</w:t>
      </w:r>
    </w:p>
    <w:p w14:paraId="6180E1E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第一百五十六条 【走私罪共犯】与走私罪犯通谋，为其提供贷款、资金、</w:t>
      </w:r>
      <w:proofErr w:type="gramStart"/>
      <w:r>
        <w:rPr>
          <w:rFonts w:ascii="宋体" w:eastAsia="宋体" w:hAnsi="宋体" w:cs="宋体" w:hint="eastAsia"/>
          <w:sz w:val="24"/>
          <w:lang w:bidi="ar"/>
        </w:rPr>
        <w:t>帐号</w:t>
      </w:r>
      <w:proofErr w:type="gramEnd"/>
      <w:r>
        <w:rPr>
          <w:rFonts w:ascii="宋体" w:eastAsia="宋体" w:hAnsi="宋体" w:cs="宋体" w:hint="eastAsia"/>
          <w:sz w:val="24"/>
          <w:lang w:bidi="ar"/>
        </w:rPr>
        <w:t>、发票、证明，或者为其提供运输、保管、邮寄或者其他方便的，以走私罪的共犯论处。</w:t>
      </w:r>
    </w:p>
    <w:p w14:paraId="286641D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第一百五十七条 【武装掩护走私、抗拒缉私的处罚规定】武装掩护走私的，依照本法第一百五十一条第一款的规定从重处罚。</w:t>
      </w:r>
    </w:p>
    <w:p w14:paraId="75F8AB6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以暴力、威胁方法抗拒缉私的，以走私罪和本法第二百七十七条规定的阻碍国家机关工作人员依法执行职务罪，依照数罪并罚的规定处罚。</w:t>
      </w:r>
    </w:p>
    <w:p w14:paraId="5FD531AA"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第三节 妨害对公司、企业的管理秩序罪</w:t>
      </w:r>
    </w:p>
    <w:p w14:paraId="10DF221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第一百五十八条 【虚报注册资本罪】申请公司登记使用虚假证明文件或者采取其他欺诈手段虚报注册资本，欺骗公司登记主管部门，取得公司登记，虚报注册资本数额巨大、后果严重或者有其他严重情节的，处三年以下有期徒刑或者拘役，并处或者单处虚报注册资本金额百分之一以上百分之五以下罚金。</w:t>
      </w:r>
    </w:p>
    <w:p w14:paraId="5B2BDCA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单位犯前款罪的，对单位判处罚金，并对其直接负责的主管人员和其他直接责任人员，处三年以下有期徒刑或者拘役。</w:t>
      </w:r>
    </w:p>
    <w:p w14:paraId="3CBD5FD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第一百五十九条 【虚假出资、抽逃出资罪】公司发起人、股东违反公司法的规定未交付货币、实物或者未转移财产权，虚假出资，或者在公司成立后又抽逃其出资，数额巨大、后果严重或者有其他严重情节的，处五年以下有期徒刑或者拘役，并处或者单处虚假出资金额或者抽逃出资金额百分之二以上百分之十以下罚金。</w:t>
      </w:r>
    </w:p>
    <w:p w14:paraId="4811AAA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w:t>
      </w:r>
      <w:r>
        <w:rPr>
          <w:rFonts w:ascii="宋体" w:eastAsia="宋体" w:hAnsi="宋体" w:cs="宋体" w:hint="eastAsia"/>
          <w:sz w:val="24"/>
          <w:lang w:bidi="ar"/>
        </w:rPr>
        <w:lastRenderedPageBreak/>
        <w:t>任人员，处五年以下有期徒刑或者拘役。</w:t>
      </w:r>
    </w:p>
    <w:p w14:paraId="68CC4DF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第一百六十条 【欺诈发行证券罪】在招股说明书、认股书、公司、企业债券募集办法等发行文件中隐瞒重要事实或者编造重大虚假内容，发行股票或者公司、企业债券、存托凭证或者国务院依法认定的其他证券，数额巨大、后果严重或者有其他严重情节的，处五年以下有期徒刑或者拘役，并处或者单处罚金；数额特别巨大、后果特别严重或者有其他特别严重情节的，处五年以上有期徒刑，并处罚金。</w:t>
      </w:r>
    </w:p>
    <w:p w14:paraId="00D8B8C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控股股东、实际控制人组织、指使实施前款行为的，处五年以下有期徒刑或者拘役，并处或者单处非法募集资金金额百分之二十以上一倍以下罚金；数额特别巨大、后果特别严重或者有其他特别严重情节的，处五年以上有期徒刑，并处非法募集资金金额百分之二十以上一倍以下罚金。</w:t>
      </w:r>
    </w:p>
    <w:p w14:paraId="15358A4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单位犯前两款罪的，对单位判处非法募集资金金额百分之二十以上一倍以下罚金，并对其直接负责的主管人员和其他直接责任人员，依照第一款的规定处罚。</w:t>
      </w:r>
    </w:p>
    <w:p w14:paraId="4206936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第一百六十一条 【违规披露、不披露重要信息罪】依法负有信息披露义务的公司、企业向股东和社会公众提供虚假的或者隐瞒重要事实的财务会计报告，或者对依法应当披露的其他重要信息不按照规定披露，严重损害股东或者其他人利益，或者有其他严重情节的，对其直接负责的主管人员和其他直接责任人员，处五年以下有期徒刑或者拘役，并处或者单处罚金；情节特别严重的，处五年以上十年以下有期徒刑，并处罚金。</w:t>
      </w:r>
    </w:p>
    <w:p w14:paraId="11525C1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前款规定的公司、企业的控股股东、实际控制人实施或者组织、指使实施前款行为的，或者隐瞒相关事项导致前款规定的情形发生的，依照前款的规定处罚。</w:t>
      </w:r>
    </w:p>
    <w:p w14:paraId="1FA44D1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犯前款罪的控股股东、实际控制人是单位的，对单位判处罚金，并对其直接负责的主管人员和其他直接责任人员，依照第一款的规定处罚。</w:t>
      </w:r>
    </w:p>
    <w:p w14:paraId="7D2DC6D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第一百六十二条 【妨害清算罪】公司、企业进行清算时，隐匿财产，对资产负债表或者财产清单作虚伪记载或者在未清偿债务前分配公司、企业财产，严重损害债权人或者其他人利益的，对其直接负责的主管人员和其他直接责任人员，处五年</w:t>
      </w:r>
      <w:r>
        <w:rPr>
          <w:rFonts w:ascii="宋体" w:eastAsia="宋体" w:hAnsi="宋体" w:cs="宋体" w:hint="eastAsia"/>
          <w:sz w:val="24"/>
          <w:lang w:bidi="ar"/>
        </w:rPr>
        <w:lastRenderedPageBreak/>
        <w:t>以下有期徒刑或者拘役，并处或者单处二万元以上二十万元以下罚金。</w:t>
      </w:r>
    </w:p>
    <w:p w14:paraId="6032FAE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第一百六十二条之一 【隐匿、故意销毁会计凭证、会计</w:t>
      </w:r>
      <w:proofErr w:type="gramStart"/>
      <w:r>
        <w:rPr>
          <w:rFonts w:ascii="宋体" w:eastAsia="宋体" w:hAnsi="宋体" w:cs="宋体" w:hint="eastAsia"/>
          <w:sz w:val="24"/>
          <w:lang w:bidi="ar"/>
        </w:rPr>
        <w:t>帐簿</w:t>
      </w:r>
      <w:proofErr w:type="gramEnd"/>
      <w:r>
        <w:rPr>
          <w:rFonts w:ascii="宋体" w:eastAsia="宋体" w:hAnsi="宋体" w:cs="宋体" w:hint="eastAsia"/>
          <w:sz w:val="24"/>
          <w:lang w:bidi="ar"/>
        </w:rPr>
        <w:t>、财务会计报告罪】隐匿或者故意销毁依法应当保存的会计凭证、会计</w:t>
      </w:r>
      <w:proofErr w:type="gramStart"/>
      <w:r>
        <w:rPr>
          <w:rFonts w:ascii="宋体" w:eastAsia="宋体" w:hAnsi="宋体" w:cs="宋体" w:hint="eastAsia"/>
          <w:sz w:val="24"/>
          <w:lang w:bidi="ar"/>
        </w:rPr>
        <w:t>帐簿</w:t>
      </w:r>
      <w:proofErr w:type="gramEnd"/>
      <w:r>
        <w:rPr>
          <w:rFonts w:ascii="宋体" w:eastAsia="宋体" w:hAnsi="宋体" w:cs="宋体" w:hint="eastAsia"/>
          <w:sz w:val="24"/>
          <w:lang w:bidi="ar"/>
        </w:rPr>
        <w:t>、财务会计报告，情节严重的，处五年以下有期徒刑或者拘役，并处或者单处二万元以上二十万元以下罚金。</w:t>
      </w:r>
    </w:p>
    <w:p w14:paraId="1ECF677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15C16FB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第一百六十二条之二 【虚假破产罪】公司、企业通过隐匿财产、承担虚构的债务或者以其他方法转移、处分财产，实施虚假破产，严重损害债权人或者其他人利益的，对其直接负责的主管人员和其他直接责任人员，处五年以下有期徒刑或者拘役，并处或者单处二万元以上二十万元以下罚金。</w:t>
      </w:r>
    </w:p>
    <w:p w14:paraId="38E7826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第一百六十三条 【非国家工作人员受贿罪】公司、企业或者其他单位的工作人员，利用职务上的便利，索取他人财物或者非法收受他人财物，为他人谋取利益，数额较大的，处三年以下有期徒刑或者拘役，并处罚金；数额巨大或者有其他严重情节的，处三年以上十年以下有期徒刑，并处罚金；数额特别巨大或者有其他特别严重情节的，处十年以上有期徒刑或者无期徒刑，并处罚金。</w:t>
      </w:r>
    </w:p>
    <w:p w14:paraId="2482180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公司、企业或者其他单位的工作人员在经济往来中，利用职务上的便利，违反国家规定，收受各种名义的回扣、手续费，归个人所有的，依照前款的规定处罚。</w:t>
      </w:r>
    </w:p>
    <w:p w14:paraId="2DE0E5B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受贿罪】国有公司、企业或者其他国有单位中从事公务的人员和国有公司、企业或者其他国有单位委派到非国有公司、企业以及其他单位从事公务的人员有前两款行为的，依照本法第三百八十五条、第三百八十六条的规定定罪处罚。</w:t>
      </w:r>
    </w:p>
    <w:p w14:paraId="27D96C2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第一百六十四条 【对非国家工作人员行贿罪】为谋取不正当利益，给予公司、企业或者其他单位的工作人员以财物，数额较大的，处三年以下有期徒刑或者拘役，并处罚金；数额巨大的，处三年以上十年以下有期徒刑，并处罚金。</w:t>
      </w:r>
    </w:p>
    <w:p w14:paraId="5B1709B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【对外国公职人员、国际公共组织官员行贿罪】为谋取不正当商业利益，给予外国公职人员或者国际公共组织官员以财物的，依照前款的规定处罚。</w:t>
      </w:r>
    </w:p>
    <w:p w14:paraId="1DDD248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单位犯前两款罪的，对单位判处罚金，并对其直接负责的主管人员和其他直接责任人员，依照第一款的规定处罚。</w:t>
      </w:r>
    </w:p>
    <w:p w14:paraId="47CFF1F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行贿人在被追诉前主动交待行贿行为的，可以减轻处罚或者免除处罚。</w:t>
      </w:r>
    </w:p>
    <w:p w14:paraId="0F835CA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第一百六十五条 【非法经营同类营业罪】国有公司、企业的董事、经理利用职务便利，自己经营或者为他人经营与其所任职公司、企业同类的营业，获取非法利益，数额巨大的，处三年以下有期徒刑或者拘役，并处或者单处罚金；数额特别巨大的，处三年以上七年以下有期徒刑，并处罚金。</w:t>
      </w:r>
    </w:p>
    <w:p w14:paraId="3D86B2D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第一百六十六条 【为亲友非法牟利罪】国有公司、企业、事业单位的工作人员，利用职务便利，有下列情形之一，使国家利益遭受重大损失的，处三年以下有期徒刑或者拘役，并处或者单处罚金；致使国家利益遭受特别重大损失的，处三年以上七年以下有期徒刑，并处罚金：</w:t>
      </w:r>
    </w:p>
    <w:p w14:paraId="7388783D" w14:textId="77777777" w:rsidR="00F50CD8" w:rsidRDefault="00000000">
      <w:pPr>
        <w:autoSpaceDE w:val="0"/>
        <w:spacing w:afterLines="50" w:after="156" w:line="360" w:lineRule="auto"/>
        <w:ind w:firstLineChars="200" w:firstLine="480"/>
        <w:outlineLvl w:val="2"/>
        <w:rPr>
          <w:rFonts w:ascii="宋体" w:eastAsia="宋体" w:hAnsi="宋体" w:cs="宋体" w:hint="eastAsia"/>
          <w:sz w:val="24"/>
        </w:rPr>
      </w:pPr>
      <w:r>
        <w:rPr>
          <w:rFonts w:ascii="宋体" w:eastAsia="宋体" w:hAnsi="宋体" w:cs="宋体" w:hint="eastAsia"/>
          <w:sz w:val="24"/>
          <w:lang w:bidi="ar"/>
        </w:rPr>
        <w:t>（一）将本单位的盈利业务交由自己的亲友进行经营的；</w:t>
      </w:r>
    </w:p>
    <w:p w14:paraId="55799F9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（二）以明显高于市场的价格向自己的亲友经营管理的单位采购商品或者以明显低于市场的价格向自己的亲友经营管理的单位销售商品的；</w:t>
      </w:r>
    </w:p>
    <w:p w14:paraId="35EC3F32" w14:textId="77777777" w:rsidR="00F50CD8" w:rsidRDefault="00000000">
      <w:pPr>
        <w:autoSpaceDE w:val="0"/>
        <w:spacing w:afterLines="50" w:after="156" w:line="360" w:lineRule="auto"/>
        <w:ind w:firstLineChars="200" w:firstLine="480"/>
        <w:outlineLvl w:val="2"/>
        <w:rPr>
          <w:rFonts w:ascii="宋体" w:eastAsia="宋体" w:hAnsi="宋体" w:cs="宋体" w:hint="eastAsia"/>
          <w:sz w:val="24"/>
        </w:rPr>
      </w:pPr>
      <w:r>
        <w:rPr>
          <w:rFonts w:ascii="宋体" w:eastAsia="宋体" w:hAnsi="宋体" w:cs="宋体" w:hint="eastAsia"/>
          <w:sz w:val="24"/>
          <w:lang w:bidi="ar"/>
        </w:rPr>
        <w:t>（三）向自己的亲友经营管理的单位采购不合格商品的。</w:t>
      </w:r>
    </w:p>
    <w:p w14:paraId="434124C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第一百六十七条 【签订、履行合同失职被骗罪】国有公司、企业、事业单位直接负责的主管人员，在签订、履行合同过程中，因严重不负责任被诈骗，致使国家利益遭受重大损失的，处三年以下有期徒刑或者拘役；致使国家利益遭受特别重大损失的，处三年以上七年以下有期徒刑。</w:t>
      </w:r>
    </w:p>
    <w:p w14:paraId="352BAD7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第一百六十八条 【国有公司、企业、事业单位人员失职罪】 【国有公司、企业、事业单位人员滥用职权罪】国有公司、企业的工作人员，由于严重不负责任或者滥用职权，造成国有公司、企业破产或者严重损失，致使国家利益遭受重大损失的，处三年以下有期徒刑或者拘役；致使国家利益遭受特别重大损失的，处三年以上七年以下有期徒刑。</w:t>
      </w:r>
    </w:p>
    <w:p w14:paraId="67A9C42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国有事业单位的工作人员有前款行为，致使国家利益遭受重大损失的，依照前款的规定处罚。</w:t>
      </w:r>
    </w:p>
    <w:p w14:paraId="76D61E6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国有公司、企业、事业单位的工作人员，徇私舞弊，犯前两款罪的，依照第一款的规定从重处罚。</w:t>
      </w:r>
    </w:p>
    <w:p w14:paraId="0F5904E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第一百六十九条 【徇私舞弊低价折股、出售国有资产罪】国有公司、企业或者其上级主管部门直接负责的主管人员，徇私舞弊，将国有资产低价折股或者低价出售，致使国家利益遭受重大损失的，处三年以下有期徒刑或者拘役；致使国家利益遭受特别重大损失的，处三年以上七年以下有期徒刑。</w:t>
      </w:r>
    </w:p>
    <w:p w14:paraId="651EB1D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第一百六十九条之一 【背信损害上市公司利益罪】上市公司的董事、监事、高级管理人员违背对公司的忠实义务，利用职务便利，操纵上市公司从事下列行为之一，致使上市公司利益遭受重大损失的，处三年以下有期徒刑或者拘役，并处或者单处罚金；致使上市公司利益遭受特别重大损失的，处三年以上七年以下有期徒刑，并处罚金：</w:t>
      </w:r>
    </w:p>
    <w:p w14:paraId="659A6D3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（一）无偿向其他单位或者个人提供资金、商品、服务或者其他资产的；</w:t>
      </w:r>
    </w:p>
    <w:p w14:paraId="705C891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（二）以明显不公平的条件，提供或者接受资金、商品、服务或者其他资产的；</w:t>
      </w:r>
    </w:p>
    <w:p w14:paraId="2904BE8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（三）向明显不具有清偿能力的单位或者个人提供资金、商品、服务或者其他资产的；</w:t>
      </w:r>
    </w:p>
    <w:p w14:paraId="360D31B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（四）为明显不具有清偿能力的单位或者个人提供担保，或者无正当理由为其他单位或者个人提供担保的；</w:t>
      </w:r>
    </w:p>
    <w:p w14:paraId="3338B43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（五）无正当理由放弃债权、承担债务的；</w:t>
      </w:r>
    </w:p>
    <w:p w14:paraId="2167469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（六）采用其他方式损害上市公司利益的。</w:t>
      </w:r>
    </w:p>
    <w:p w14:paraId="120B5B0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上市公司的控股股东或者实际控制人，指使上市公司董事、监事、高级管理人员实施前款行为的，依照前款的规定处罚。</w:t>
      </w:r>
    </w:p>
    <w:p w14:paraId="58AF1AE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犯前款罪的上市公司的控股股东或者实际控制人是单位的，对单位判处罚金，</w:t>
      </w:r>
      <w:r>
        <w:rPr>
          <w:rFonts w:ascii="宋体" w:eastAsia="宋体" w:hAnsi="宋体" w:cs="宋体" w:hint="eastAsia"/>
          <w:sz w:val="24"/>
          <w:lang w:bidi="ar"/>
        </w:rPr>
        <w:lastRenderedPageBreak/>
        <w:t>并对其直接负责的主管人员和其他直接责任人员，依照第一款的规定处罚。</w:t>
      </w:r>
    </w:p>
    <w:p w14:paraId="50A77B63"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第四节 破坏金融管理秩序罪</w:t>
      </w:r>
    </w:p>
    <w:p w14:paraId="443567A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第一百七十条 【伪造货币罪】伪造货币的，处三年以上十年以下有期徒刑，并处罚金；有下列情形之一的，处十年以上有期徒刑或者无期徒刑，并处罚金或者没收财产：</w:t>
      </w:r>
    </w:p>
    <w:p w14:paraId="4FD6073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（一）伪造货币集团的首要分子；</w:t>
      </w:r>
    </w:p>
    <w:p w14:paraId="60E0E1B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（二）伪造货币数额特别巨大的；</w:t>
      </w:r>
    </w:p>
    <w:p w14:paraId="2E3FFD8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（三）有其他特别严重情节的。</w:t>
      </w:r>
    </w:p>
    <w:p w14:paraId="67EEDC6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第一百七十一条 【出售、购买、运输假币罪】出售、购买伪造的货币或者明知是伪造的货币而运输，数额较大的，处三年以下有期徒刑或者拘役，并处二万元以上二十万元以下罚金；数额巨大的，处三年以上十年以下有期徒刑，并处五万元以上五十万元以下罚金；数额特别巨大的，处十年以上有期徒刑或者无期徒刑，并处五万元以上五十万元以下罚金或者没收财产。</w:t>
      </w:r>
    </w:p>
    <w:p w14:paraId="518AD8A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金融工作人员购买假币、以假币换取货币罪】银行或者其他金融机构的工作人员购买伪造的货币或者利用职务上的便利，以伪造的货币换取货币的，处三年以上十年以下有期徒刑，并处二万元以上二十万元以下罚金；数额巨大或者有其他严重情节的，处十年以上有期徒刑或者无期徒刑，并处二万元以上二十万元以下罚金或者没收财产；情节较轻的，处三年以下有期徒刑或者拘役，并处或者单处一万元以上十万元以下罚金。</w:t>
      </w:r>
    </w:p>
    <w:p w14:paraId="56A73C9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【伪造货币罪】伪造货币并出售或者运输伪造的货币的，依照本法第一百七十条的规定定罪从重处罚。</w:t>
      </w:r>
    </w:p>
    <w:p w14:paraId="68CC3B3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第一百七十二条 【持有、使用假币罪】明知是伪造的货币而持有、使用，数额较大的，处三年以下有期徒刑或者拘役，并处或者单处一万元以上十万元以下罚金；数额巨大的，处三年以上十年以下有期徒刑，并处二万元以上二十万元以下罚金；</w:t>
      </w:r>
      <w:r>
        <w:rPr>
          <w:rFonts w:ascii="宋体" w:eastAsia="宋体" w:hAnsi="宋体" w:cs="宋体" w:hint="eastAsia"/>
          <w:sz w:val="24"/>
          <w:lang w:bidi="ar"/>
        </w:rPr>
        <w:lastRenderedPageBreak/>
        <w:t>数额特别巨大的，处十年以上有期徒刑，并处五万元以上五十万元以下罚金或者没收财产。</w:t>
      </w:r>
    </w:p>
    <w:p w14:paraId="7E09201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第一百七十三条 【变造货币罪】变造货币，数额较大的，处三年以下有期徒刑或者拘役，并处或者单处一万元以上十万元以下罚金；数额巨大的，处三年以上十年以下有期徒刑，并处二万元以上二十万元以下罚金。</w:t>
      </w:r>
    </w:p>
    <w:p w14:paraId="3F222F5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第一百七十四条 【擅自设立金融机构罪】未经国家有关主管部门批准，擅自设立商业银行、证券交易所、期货交易所、证券公司、期货经纪公司、保险公司或者其他金融机构的，处三年以下有期徒刑或者拘役，并处或者单处二万元以上二十万元以下罚金；情节严重的，处三年以上十年以下有期徒刑，并处五万元以上五十万元以下罚金。</w:t>
      </w:r>
    </w:p>
    <w:p w14:paraId="1D7FBE0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伪造、变造、转让金融机构经营许可证、批准文件罪】伪造、变造、转让商业银行、证券交易所、期货交易所、证券公司、期货经纪公司、保险公司或者其他金融机构的经营许可证或者批准文件的，依照前款的规定处罚。</w:t>
      </w:r>
    </w:p>
    <w:p w14:paraId="48AAEC9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单位犯前两款罪的，对单位判处罚金，并对其直接负责的主管人员和其他直接责任人员，依照第一款的规定处罚。</w:t>
      </w:r>
    </w:p>
    <w:p w14:paraId="6042231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第一百七十五条 【高利转贷罪】以转贷牟利为目的，套取金融机构信贷资金高利转贷他人，违法所得数额较大的，处三年以下有期徒刑或者拘役，并处违法所得一倍以上五倍以下罚金；数额巨大的，处三年以上七年以下有期徒刑，并处违法所得一倍以上五倍以下罚金。</w:t>
      </w:r>
    </w:p>
    <w:p w14:paraId="6449B7F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单位犯前款罪的，对单位判处罚金，并对其直接负责的主管人员和其他直接责任人员，处三年以下有期徒刑或者拘役。</w:t>
      </w:r>
    </w:p>
    <w:p w14:paraId="7B248EC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第一百七十五条之一 【骗取贷款、票据承兑、金融票证罪】以欺骗手段取得银行或者其他金融机构贷款、票据承兑、信用证、保函等，给银行或者其他金融机构造成重大损失的，处三年以下有期徒刑或者拘役，并处或者单处罚金；给银行或者其他金融机构造成特别重大损失或者有其他特别严重情节的，处三年以上七年以下</w:t>
      </w:r>
      <w:r>
        <w:rPr>
          <w:rFonts w:ascii="宋体" w:eastAsia="宋体" w:hAnsi="宋体" w:cs="宋体" w:hint="eastAsia"/>
          <w:sz w:val="24"/>
          <w:lang w:bidi="ar"/>
        </w:rPr>
        <w:lastRenderedPageBreak/>
        <w:t>有期徒刑，并处罚金。</w:t>
      </w:r>
    </w:p>
    <w:p w14:paraId="4486134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669F550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第一百七十六条 【非法吸收公众存款罪】非法吸收公众存款或者变相吸收公众存款，扰乱金融秩序的，处三年以下有期徒刑或者拘役，并处或者单处罚金；数额巨大或者有其他严重情节的，处三年以上十年以下有期徒刑，并处罚金；数额特别巨大或者有其他特别严重情节的，处十年以上有期徒刑，并处罚金。</w:t>
      </w:r>
    </w:p>
    <w:p w14:paraId="098CCDA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79BA1B5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有前两款行为，在提起公诉前积极退赃退赔，减少损害结果发生的，可以从轻或者减轻处罚。</w:t>
      </w:r>
    </w:p>
    <w:p w14:paraId="73B6CD3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第一百七十七条 【伪造、变造金融票证罪】有下列情形之一，伪造、变造金融票证的，处五年以下有期徒刑或者拘役，并处或者单处二万元以上二十万元以下罚金；情节严重的，处五年以上十年以下有期徒刑，并处五万元以上五十万元以下罚金；情节特别严重的，处十年以上有期徒刑或者无期徒刑，并处五万元以上五十万元以下罚金或者没收财产：</w:t>
      </w:r>
    </w:p>
    <w:p w14:paraId="46EC7CB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（一）伪造、变造汇票、本票、支票的；</w:t>
      </w:r>
    </w:p>
    <w:p w14:paraId="797882E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（二）伪造、变造委托收款凭证、汇款凭证、银行存单等其他银行结算凭证的；</w:t>
      </w:r>
    </w:p>
    <w:p w14:paraId="1F434B7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（三）伪造、变造信用证或者附随的单据、文件的；</w:t>
      </w:r>
    </w:p>
    <w:p w14:paraId="73B1C80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（四）伪造信用卡的。</w:t>
      </w:r>
    </w:p>
    <w:p w14:paraId="065475B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7133A83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第一百七十七条之一 【妨害信用卡管理罪】有下列情形之一，妨害信用卡管理的，处三年以下有期徒刑或者拘役，并处或者单处一万元以上十万元以下罚金；数</w:t>
      </w:r>
      <w:r>
        <w:rPr>
          <w:rFonts w:ascii="宋体" w:eastAsia="宋体" w:hAnsi="宋体" w:cs="宋体" w:hint="eastAsia"/>
          <w:sz w:val="24"/>
          <w:lang w:bidi="ar"/>
        </w:rPr>
        <w:lastRenderedPageBreak/>
        <w:t>量巨大或者有其他严重情节的，处三年以上十年以下有期徒刑，并处二万元以上二十万元以下罚金：</w:t>
      </w:r>
    </w:p>
    <w:p w14:paraId="65C8560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（一）明知是伪造的信用卡而持有、运输的，或者明知是伪造的空白信用卡而持有、运输，数量较大的；</w:t>
      </w:r>
    </w:p>
    <w:p w14:paraId="5199896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（二）非法持有他人信用卡，数量较大的；</w:t>
      </w:r>
    </w:p>
    <w:p w14:paraId="0A3866F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（三）使用虚假的身份证明骗领信用卡的；</w:t>
      </w:r>
    </w:p>
    <w:p w14:paraId="30D20C6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（四）出售、购买、为他人提供伪造的信用卡或者以虚假的身份证明骗领的信用卡的。</w:t>
      </w:r>
    </w:p>
    <w:p w14:paraId="0533D2D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【窃取、收买、非法提供信用卡信息罪】窃取、收买或者非法提供他人信用卡信息资料的，依照前款规定处罚。</w:t>
      </w:r>
    </w:p>
    <w:p w14:paraId="302C7E1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银行或者其他金融机构的工作人员利用职务上的便利，犯第二款罪的，从重处罚。</w:t>
      </w:r>
    </w:p>
    <w:p w14:paraId="35EEE99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第一百七十八条 【伪造、变造国家有价证券罪】伪造、变造国库券或者国家发行的其他有价证券，数额较大的，处三年以下有期徒刑或者拘役，并处或者单处二万元以上二十万元以下罚金；数额巨大的，处三年以上十年以下有期徒刑，并处五万元以上五十万元以下罚金；数额特别巨大的，处十年以上有期徒刑或者无期徒刑，并处五万元以上五十万元以下罚金或者没收财产。</w:t>
      </w:r>
    </w:p>
    <w:p w14:paraId="2985060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伪造、变造股票、公司、企业债券罪】伪造、变造股票或者公司、企业债券，数额较大的，处三年以下有期徒刑或者拘役，并处或者单处一万元以上十万元以下罚金；数额巨大的，处三年以上十年以下有期徒刑，并处二万元以上二十万元以下罚金。</w:t>
      </w:r>
    </w:p>
    <w:p w14:paraId="6F44F3C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单位犯前两款罪的，对单位判处罚金，并对其直接负责的主管人员和其他直接责任人员，依照前两款的规定处罚。</w:t>
      </w:r>
    </w:p>
    <w:p w14:paraId="43495D8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第一百七十九条 【擅自发行股票、公司、企业债券罪】未经国家有关主管部门</w:t>
      </w:r>
      <w:r>
        <w:rPr>
          <w:rFonts w:ascii="宋体" w:eastAsia="宋体" w:hAnsi="宋体" w:cs="宋体" w:hint="eastAsia"/>
          <w:sz w:val="24"/>
          <w:lang w:bidi="ar"/>
        </w:rPr>
        <w:lastRenderedPageBreak/>
        <w:t>批准，擅自发行股票或者公司、企业债券，数额巨大、后果严重或者有其他严重情节的，处五年以下有期徒刑或者拘役，并处或者单处非法募集资金金额百分之一以上百分之五以下罚金。</w:t>
      </w:r>
    </w:p>
    <w:p w14:paraId="7095F97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单位犯前款罪的，对单位判处罚金，并对其直接负责的主管人员和其他直接责任人员，处五年以下有期徒刑或者拘役。</w:t>
      </w:r>
    </w:p>
    <w:p w14:paraId="448FC92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第一百八十条 【内幕交易、泄露内幕信息罪】证券、期货交易内幕信息的知情人员或者非法获取证券、期货交易内幕信息的人员，在涉及证券的发行，证券、期货交易或者其他对证券、期货交易价格有重大影响的信息尚未公开前，买入或者卖出该证券，或者从事与该内幕信息有关的期货交易，或者泄露该信息，或者明示、暗示他人从事上述交易活动，情节严重的，处五年以下有期徒刑或者拘役，并处或者单处违法所得一倍以上五倍以下罚金；情节特别严重的，处五年以上十年以下有期徒刑，并处违法所得一倍以上五倍以下罚金。</w:t>
      </w:r>
    </w:p>
    <w:p w14:paraId="5B25D53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单位犯前款罪的，对单位判处罚金，并对其直接负责的主管人员和其他直接责任人员，处五年以下有期徒刑或者拘役。</w:t>
      </w:r>
    </w:p>
    <w:p w14:paraId="55722B5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内幕信息、知情人员的范围，依照法律、行政法规的规定确定。</w:t>
      </w:r>
    </w:p>
    <w:p w14:paraId="17F6CDC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【利用未公开信息交易罪】证券交易所、期货交易所、证券公司、期货经纪公司、基金管理公司、商业银行、保险公司等金融机构的从业人员以及有关监管部门或者行业协会的工作人员，</w:t>
      </w:r>
      <w:proofErr w:type="gramStart"/>
      <w:r>
        <w:rPr>
          <w:rFonts w:ascii="宋体" w:eastAsia="宋体" w:hAnsi="宋体" w:cs="宋体" w:hint="eastAsia"/>
          <w:sz w:val="24"/>
          <w:lang w:bidi="ar"/>
        </w:rPr>
        <w:t>利用因</w:t>
      </w:r>
      <w:proofErr w:type="gramEnd"/>
      <w:r>
        <w:rPr>
          <w:rFonts w:ascii="宋体" w:eastAsia="宋体" w:hAnsi="宋体" w:cs="宋体" w:hint="eastAsia"/>
          <w:sz w:val="24"/>
          <w:lang w:bidi="ar"/>
        </w:rPr>
        <w:t>职务便利获取的内幕信息以外的其他未公开的信息，违反规定，从事与该信息相关的证券、期货交易活动，或者明示、暗示他人从事相关交易活动，情节严重的，依照第一款的规定处罚。</w:t>
      </w:r>
    </w:p>
    <w:p w14:paraId="7241253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第一百八十一条 【编造并传播证券、期货交易虚假信息罪】编造并且传播影响证券、期货交易的虚假信息，扰乱证券、期货交易市场，造成严重后果的，处五年以下有期徒刑或者拘役，并处或者单处一万元以上十万元以下罚金。</w:t>
      </w:r>
    </w:p>
    <w:p w14:paraId="483D3AE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【诱骗投资者买卖证券、期货合约罪】证券交易所、期货交易所、证券公司、期货经纪公司的从业人员，证券业协会、期货业协会或者证券期货监督管理部门的</w:t>
      </w:r>
      <w:r>
        <w:rPr>
          <w:rFonts w:ascii="宋体" w:eastAsia="宋体" w:hAnsi="宋体" w:cs="宋体" w:hint="eastAsia"/>
          <w:sz w:val="24"/>
          <w:lang w:bidi="ar"/>
        </w:rPr>
        <w:lastRenderedPageBreak/>
        <w:t>工作人员，故意提供虚假信息或者伪造、变造、销毁交易记录，诱骗投资者买卖证券、期货合约，造成严重后果的，处五年以下有期徒刑或者拘役，并处或者单处一万元以上十万元以下罚金；情节特别恶劣的，处五年以上十年以下有期徒刑，并处二万元以上二十万元以下罚金。</w:t>
      </w:r>
    </w:p>
    <w:p w14:paraId="7009388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单位犯前两款罪的，对单位判处罚金，并对其直接负责的主管人员和其他直接责任人员，处五年以下有期徒刑或者拘役。</w:t>
      </w:r>
    </w:p>
    <w:p w14:paraId="2CCAB55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第一百八十二条 【操纵证券、期货市场罪】有下列情形之一，操纵证券、期货市场，影响证券、期货交易价格或者证券、期货交易量，情节严重的，处五年以下有期徒刑或者拘役，并处或者单处罚金；情节特别严重的，处五年以上十年以下有期徒刑，并处罚金：</w:t>
      </w:r>
    </w:p>
    <w:p w14:paraId="779B8ED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（一）单独或者合谋，集中资金优势、持股或者持仓优势或者利用信息优势联合或者连续买卖的；</w:t>
      </w:r>
    </w:p>
    <w:p w14:paraId="25C4A05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（二）与他人串通，以事先约定的时间、价格和方式相互进行证券、期货交易的；</w:t>
      </w:r>
    </w:p>
    <w:p w14:paraId="0347B40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（三）在自己实际控制的</w:t>
      </w:r>
      <w:proofErr w:type="gramStart"/>
      <w:r>
        <w:rPr>
          <w:rFonts w:ascii="宋体" w:eastAsia="宋体" w:hAnsi="宋体" w:cs="宋体" w:hint="eastAsia"/>
          <w:sz w:val="24"/>
          <w:lang w:bidi="ar"/>
        </w:rPr>
        <w:t>帐户</w:t>
      </w:r>
      <w:proofErr w:type="gramEnd"/>
      <w:r>
        <w:rPr>
          <w:rFonts w:ascii="宋体" w:eastAsia="宋体" w:hAnsi="宋体" w:cs="宋体" w:hint="eastAsia"/>
          <w:sz w:val="24"/>
          <w:lang w:bidi="ar"/>
        </w:rPr>
        <w:t>之间进行证券交易，或者以自己为交易对象，自买自卖期货合约的；</w:t>
      </w:r>
    </w:p>
    <w:p w14:paraId="70D2072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（四）不以成交为目的，频繁或者大量申报买入、卖出证券、期货合约并撤销申报的；</w:t>
      </w:r>
    </w:p>
    <w:p w14:paraId="4469F74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（五）利用虚假或者不确定的重大信息，诱导投资者进行证券、期货交易的；</w:t>
      </w:r>
    </w:p>
    <w:p w14:paraId="30405CE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（六）对证券、证券发行人、期货交易标的公开</w:t>
      </w:r>
      <w:proofErr w:type="gramStart"/>
      <w:r>
        <w:rPr>
          <w:rFonts w:ascii="宋体" w:eastAsia="宋体" w:hAnsi="宋体" w:cs="宋体" w:hint="eastAsia"/>
          <w:sz w:val="24"/>
          <w:lang w:bidi="ar"/>
        </w:rPr>
        <w:t>作出</w:t>
      </w:r>
      <w:proofErr w:type="gramEnd"/>
      <w:r>
        <w:rPr>
          <w:rFonts w:ascii="宋体" w:eastAsia="宋体" w:hAnsi="宋体" w:cs="宋体" w:hint="eastAsia"/>
          <w:sz w:val="24"/>
          <w:lang w:bidi="ar"/>
        </w:rPr>
        <w:t>评价、预测或者投资建议，同时进行反向证券交易或者相关期货交易的；</w:t>
      </w:r>
    </w:p>
    <w:p w14:paraId="3038B1EE" w14:textId="77777777" w:rsidR="00F50CD8" w:rsidRDefault="00000000">
      <w:pPr>
        <w:autoSpaceDE w:val="0"/>
        <w:spacing w:afterLines="50" w:after="156" w:line="360" w:lineRule="auto"/>
        <w:ind w:firstLineChars="200" w:firstLine="480"/>
        <w:outlineLvl w:val="2"/>
        <w:rPr>
          <w:rFonts w:ascii="宋体" w:eastAsia="宋体" w:hAnsi="宋体" w:cs="宋体" w:hint="eastAsia"/>
          <w:sz w:val="24"/>
        </w:rPr>
      </w:pPr>
      <w:r>
        <w:rPr>
          <w:rFonts w:ascii="宋体" w:eastAsia="宋体" w:hAnsi="宋体" w:cs="宋体" w:hint="eastAsia"/>
          <w:sz w:val="24"/>
          <w:lang w:bidi="ar"/>
        </w:rPr>
        <w:t>（七）以其他方法操纵证券、期货市场的。</w:t>
      </w:r>
    </w:p>
    <w:p w14:paraId="0A0ED12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757A88E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第一百八十三条 【职务侵占罪】保险公司的工作人员利用职务上的便利，故意编造未曾发生的保险事故进行虚假理赔，骗取保险金归自己所有的，依照本法第二百七十一条的规定定罪处罚。</w:t>
      </w:r>
    </w:p>
    <w:p w14:paraId="78E2E78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【贪污罪】国有保险公司工作人员和国有保险公司委派到非国有保险公司从事公务的人员有前款行为的，依照本法第三百八十二条、第三百八十三条的规定定罪处罚。</w:t>
      </w:r>
    </w:p>
    <w:p w14:paraId="33D9D9C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第一百八十四条 【非国家工作人员受贿罪】银行或者其他金融机构的工作人员在金融业务活动中索取他人财物或者非法收受他人财物，为他人谋取利益的，或者违反国家规定，收受各种名义的回扣、手续费，归个人所有的，依照本法第一百六十三条的规定定罪处罚。</w:t>
      </w:r>
    </w:p>
    <w:p w14:paraId="47845AC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【受贿罪】国有金融机构工作人员和国有金融机构委派到非国有金融机构从事公务的人员有前款行为的，依照本法第三百八十五条、第三百八十六条的规定定罪处罚。</w:t>
      </w:r>
    </w:p>
    <w:p w14:paraId="3B9B093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第一百八十五条 【挪用资金罪】商业银行、证券交易所、期货交易所、证券公司、期货经纪公司、保险公司或者其他金融机构的工作人员利用职务上的便利，挪用本单位或者客户资金的，依照本法第二百七十二条的规定定罪处罚。</w:t>
      </w:r>
    </w:p>
    <w:p w14:paraId="45BE428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挪用公款罪】国有商业银行、证券交易所、期货交易所、证券公司、期货经纪公司、保险公司或者其他国有金融机构的工作人员和国有商业银行、证券交易所、期货交易所、证券公司、期货经纪公司、保险公司或者其他国有金融机构委派到前款规定中的非国有机构从事公务的人员有前款行为的，依照本法第三百八十四条的规定定罪处罚。</w:t>
      </w:r>
    </w:p>
    <w:p w14:paraId="2F0BE97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第一百八十五条之一 【背信运用受托财产罪】商业银行、证券交易所、期货交易所、证券公司、期货经纪公司、保险公司或者其他金融机构，违背受托义务，擅自运用客户资金或者其他委托、信托的财产，情节严重的，对单位判处罚金，并对其直接负责的主管人员和其他直接责任人员，处三年以下有期徒刑或者拘役，并处</w:t>
      </w:r>
      <w:r>
        <w:rPr>
          <w:rFonts w:ascii="宋体" w:eastAsia="宋体" w:hAnsi="宋体" w:cs="宋体" w:hint="eastAsia"/>
          <w:sz w:val="24"/>
          <w:lang w:bidi="ar"/>
        </w:rPr>
        <w:lastRenderedPageBreak/>
        <w:t>三万元以上三十万元以下罚金；情节特别严重的，处三年以上十年以下有期徒刑，并处五万元以上五十万元以下罚金。</w:t>
      </w:r>
    </w:p>
    <w:p w14:paraId="7707AC8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违法运用资金罪】社会保障基金管理机构、住房公积金管理机构等公众资金管理机构，以及保险公司、保险资产管理公司、证券投资基金管理公司，违反国家规定运用资金的，对其直接负责的主管人员和其他直接责任人员，依照前款的规定处罚。</w:t>
      </w:r>
    </w:p>
    <w:p w14:paraId="7C72A96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第一百八十六条 【违法发放贷款罪】银行或者其他金融机构的工作人员违反国家规定发放贷款，数额巨大或者造成重大损失的，处五年以下有期徒刑或者拘役，并处一万元以上十万元以下罚金；数额特别巨大或者造成特别重大损失的，处五年以上有期徒刑，并处二万元以上二十万元以下罚金。</w:t>
      </w:r>
    </w:p>
    <w:p w14:paraId="55D8F5A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银行或者其他金融机构的工作人员违反国家规定，向关系人发放贷款的，依照前款的规定从重处罚。</w:t>
      </w:r>
    </w:p>
    <w:p w14:paraId="7F542A6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单位犯前两款罪的，对单位判处罚金，并对其直接负责的主管人员和其他直接责任人员，依照前两款的规定处罚。</w:t>
      </w:r>
    </w:p>
    <w:p w14:paraId="5AEAC5F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关系人的范围，依照《中华人民共和国商业银行法》和有关金融法规确定。</w:t>
      </w:r>
    </w:p>
    <w:p w14:paraId="7BB9A94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第一百八十七条 【吸收客户资金</w:t>
      </w:r>
      <w:proofErr w:type="gramStart"/>
      <w:r>
        <w:rPr>
          <w:rFonts w:ascii="宋体" w:eastAsia="宋体" w:hAnsi="宋体" w:cs="宋体" w:hint="eastAsia"/>
          <w:sz w:val="24"/>
          <w:lang w:bidi="ar"/>
        </w:rPr>
        <w:t>不入帐</w:t>
      </w:r>
      <w:proofErr w:type="gramEnd"/>
      <w:r>
        <w:rPr>
          <w:rFonts w:ascii="宋体" w:eastAsia="宋体" w:hAnsi="宋体" w:cs="宋体" w:hint="eastAsia"/>
          <w:sz w:val="24"/>
          <w:lang w:bidi="ar"/>
        </w:rPr>
        <w:t>罪】银行或者其他金融机构的工作人员吸收客户资金</w:t>
      </w:r>
      <w:proofErr w:type="gramStart"/>
      <w:r>
        <w:rPr>
          <w:rFonts w:ascii="宋体" w:eastAsia="宋体" w:hAnsi="宋体" w:cs="宋体" w:hint="eastAsia"/>
          <w:sz w:val="24"/>
          <w:lang w:bidi="ar"/>
        </w:rPr>
        <w:t>不入帐</w:t>
      </w:r>
      <w:proofErr w:type="gramEnd"/>
      <w:r>
        <w:rPr>
          <w:rFonts w:ascii="宋体" w:eastAsia="宋体" w:hAnsi="宋体" w:cs="宋体" w:hint="eastAsia"/>
          <w:sz w:val="24"/>
          <w:lang w:bidi="ar"/>
        </w:rPr>
        <w:t>，数额巨大或者造成重大损失的，处五年以下有期徒刑或者拘役，并处二万元以上二十万元以下罚金；数额特别巨大或者造成特别重大损失的，处五年以上有期徒刑，并处五万元以上五十万元以下罚金。</w:t>
      </w:r>
    </w:p>
    <w:p w14:paraId="1CA1435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71A071E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第一百八十八条 【违规出具金融票证罪】银行或者其他金融机构的工作人员违反规定，为他人出具信用证或者其他保函、票据、存单、资信证明，情节严重的，处五年以下有期徒刑或者拘役；情节特别严重的，处五年以上有期徒刑。</w:t>
      </w:r>
    </w:p>
    <w:p w14:paraId="333FD32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单位犯前款罪的，对单位判处罚金，并对其直接负责的主管人员和其他直接责任人员，依照前款的规定处罚。</w:t>
      </w:r>
    </w:p>
    <w:p w14:paraId="3294B71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第一百八十九条 【对违法票据承兑、付款、保证罪】银行或者其他金融机构的工作人员在票据业务中，对违反票据法规定的票据予以承兑、付款或者保证，造成重大损失的，处五年以下有期徒刑或者拘役；造成特别重大损失的，处五年以上有期徒刑。</w:t>
      </w:r>
    </w:p>
    <w:p w14:paraId="0E41D0F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0DFA701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第一百九十条 【逃汇罪】公司、企业或者其他单位，违反国家规定，擅自将外汇存放境外，或者将境内的外汇非法转移到境外，数额较大的，对单位判处逃汇数额百分之五以上百分之三十以下罚金，并对其直接负责的主管人员和其他直接责任人员，处五年以下有期徒刑或者拘役；数额巨大或者有其他严重情节的，对单位判处逃汇数额百分之五以上百分之三十以下罚金，并对其直接负责的主管人员和其他直接责任人员，处五年以上有期徒刑。</w:t>
      </w:r>
    </w:p>
    <w:p w14:paraId="5BAC075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第一百九十一条 【洗钱罪】为掩饰、隐瞒毒品犯罪、黑社会性质的组织犯罪、恐怖活动犯罪、走私犯罪、贪污贿赂犯罪、破坏金融管理秩序犯罪、金融诈骗犯罪的所得及其产生的收益的来源和性质，有下列行为之一的，没收实施以上犯罪的所得及其产生的收益，处五年以下有期徒刑或者拘役，并处或者单处罚金；情节严重的，处五年以上十年以下有期徒刑，并处罚金：</w:t>
      </w:r>
    </w:p>
    <w:p w14:paraId="71A16EC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（一）提供资金</w:t>
      </w:r>
      <w:proofErr w:type="gramStart"/>
      <w:r>
        <w:rPr>
          <w:rFonts w:ascii="宋体" w:eastAsia="宋体" w:hAnsi="宋体" w:cs="宋体" w:hint="eastAsia"/>
          <w:sz w:val="24"/>
          <w:lang w:bidi="ar"/>
        </w:rPr>
        <w:t>帐户</w:t>
      </w:r>
      <w:proofErr w:type="gramEnd"/>
      <w:r>
        <w:rPr>
          <w:rFonts w:ascii="宋体" w:eastAsia="宋体" w:hAnsi="宋体" w:cs="宋体" w:hint="eastAsia"/>
          <w:sz w:val="24"/>
          <w:lang w:bidi="ar"/>
        </w:rPr>
        <w:t>的；</w:t>
      </w:r>
    </w:p>
    <w:p w14:paraId="5924165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（二）将财产转换为现金、金融票据、有价证券的；</w:t>
      </w:r>
    </w:p>
    <w:p w14:paraId="587A1B9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（三）通过</w:t>
      </w:r>
      <w:proofErr w:type="gramStart"/>
      <w:r>
        <w:rPr>
          <w:rFonts w:ascii="宋体" w:eastAsia="宋体" w:hAnsi="宋体" w:cs="宋体" w:hint="eastAsia"/>
          <w:sz w:val="24"/>
          <w:lang w:bidi="ar"/>
        </w:rPr>
        <w:t>转帐</w:t>
      </w:r>
      <w:proofErr w:type="gramEnd"/>
      <w:r>
        <w:rPr>
          <w:rFonts w:ascii="宋体" w:eastAsia="宋体" w:hAnsi="宋体" w:cs="宋体" w:hint="eastAsia"/>
          <w:sz w:val="24"/>
          <w:lang w:bidi="ar"/>
        </w:rPr>
        <w:t>或者其他支付结算方式转移资金的；</w:t>
      </w:r>
    </w:p>
    <w:p w14:paraId="5F813FB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（四）跨境转移资产的；</w:t>
      </w:r>
    </w:p>
    <w:p w14:paraId="7C76B48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（五）以其他方法掩饰、隐瞒犯罪所得及其收益的来源和性质的。</w:t>
      </w:r>
    </w:p>
    <w:p w14:paraId="70F8D02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单位犯前款罪的，对单位判处罚金，并对其直接负责的主管人员和其他直接责任人员，依照前款的规定处罚。</w:t>
      </w:r>
    </w:p>
    <w:p w14:paraId="1457111D"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第五节 金融诈骗罪</w:t>
      </w:r>
    </w:p>
    <w:p w14:paraId="6B38330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第一百九十二条 【集资诈骗罪】以非法占有为目的，使用诈骗方法非法集资，数额较大的，处三年以上七年以下有期徒刑，并处罚金；数额巨大或者有其他严重情节的，处七年以上有期徒刑或者无期徒刑，并处罚金或者没收财产。</w:t>
      </w:r>
    </w:p>
    <w:p w14:paraId="660A041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294C702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第一百九十三条 【贷款诈骗罪】有下列情形之一，以非法占有为目的，诈骗银行或者其他金融机构的贷款，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14:paraId="7476602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（一）编造引进资金、项目等虚假理由的；</w:t>
      </w:r>
    </w:p>
    <w:p w14:paraId="7C54956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（二）使用虚假的经济合同的；</w:t>
      </w:r>
    </w:p>
    <w:p w14:paraId="53F4A8B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（三）使用虚假的证明文件的；</w:t>
      </w:r>
    </w:p>
    <w:p w14:paraId="6BFA8BD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（四）使用虚假的产权证明作担保或者超出抵押物价值重复担保的；</w:t>
      </w:r>
    </w:p>
    <w:p w14:paraId="05D48D6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（五）以其他方法诈骗贷款的。</w:t>
      </w:r>
    </w:p>
    <w:p w14:paraId="464091E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第一百九十四条 【票据诈骗罪】有下列情形之一，进行金融票据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14:paraId="36298E8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（一）明知是伪造、变造的汇票、本票、支票而使用的；</w:t>
      </w:r>
    </w:p>
    <w:p w14:paraId="734D9B7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（二）明知是作废的汇票、本票、支票而使用的；</w:t>
      </w:r>
    </w:p>
    <w:p w14:paraId="03514C6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（三）冒用他人的汇票、本票、支票的；</w:t>
      </w:r>
    </w:p>
    <w:p w14:paraId="60ED5CD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（四）签发空头支票或者与其预留印鉴不符的支票，骗取财物的；</w:t>
      </w:r>
    </w:p>
    <w:p w14:paraId="0D0F984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（五）汇票、本票的出票人签发无资金保证的汇票、本票或者在出票时作虚假记载，骗取财物的。</w:t>
      </w:r>
    </w:p>
    <w:p w14:paraId="2A50883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【金融凭证诈骗罪】使用伪造、变造的委托收款凭证、汇款凭证、银行存单等其他银行结算凭证的，依照前款的规定处罚。</w:t>
      </w:r>
    </w:p>
    <w:p w14:paraId="6E85C1C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第一百九十五条 【信用证诈骗罪】有下列情形之一，进行信用证诈骗活动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14:paraId="1C68B4E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（一）使用伪造、变造的信用证或者附随的单据、文件的；</w:t>
      </w:r>
    </w:p>
    <w:p w14:paraId="77F1F82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（二）使用作废的信用证的；</w:t>
      </w:r>
    </w:p>
    <w:p w14:paraId="18CB083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（三）骗取信用证的；</w:t>
      </w:r>
    </w:p>
    <w:p w14:paraId="40077B4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（四）以其他方法进行信用证诈骗活动的。</w:t>
      </w:r>
    </w:p>
    <w:p w14:paraId="7A1217D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第一百九十六条 【信用卡诈骗罪】有下列情形之一，进行信用卡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14:paraId="23291E9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（一）使用伪造的信用卡，或者使用以虚假的身份证明骗领的信用卡的；</w:t>
      </w:r>
    </w:p>
    <w:p w14:paraId="7B8698E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（二）使用作废的信用卡的；</w:t>
      </w:r>
    </w:p>
    <w:p w14:paraId="75A5F71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（三）冒用他人信用卡的；</w:t>
      </w:r>
    </w:p>
    <w:p w14:paraId="7B06221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（四）恶意透支的。</w:t>
      </w:r>
    </w:p>
    <w:p w14:paraId="3557F29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前款所称恶意透支，是指持卡人以非法占有为目的，超过规定限额或者规定期限透支，并且经发卡银行催收后仍不归还的行为。</w:t>
      </w:r>
    </w:p>
    <w:p w14:paraId="0A01E03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【盗窃罪】盗窃信用卡并使用的，依照本法第二百六十四条的规定定罪处罚。</w:t>
      </w:r>
    </w:p>
    <w:p w14:paraId="0503B6F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第一百九十七条 【有价证券诈骗罪】使用伪造、变造的国库券或者国家发行的其他有价证券，进行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14:paraId="7A8FB7F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第一百九十八条 【保险诈骗罪】有下列情形之一，进行保险诈骗活动，数额较大的，处五年以下有期徒刑或者拘役，并处一万元以上十万元以下罚金；数额巨大或者有其他严重情节的，处五年以上十年以下有期徒刑，并处二万元以上二十万元以下罚金；数额特别巨大或者有其他特别严重情节的，处十年以上有期徒刑，并处二万元以上二十万元以下罚金或者没收财产：</w:t>
      </w:r>
    </w:p>
    <w:p w14:paraId="76905C95" w14:textId="77777777" w:rsidR="00F50CD8" w:rsidRDefault="00000000">
      <w:pPr>
        <w:autoSpaceDE w:val="0"/>
        <w:spacing w:afterLines="50" w:after="156" w:line="360" w:lineRule="auto"/>
        <w:ind w:firstLineChars="200" w:firstLine="480"/>
        <w:outlineLvl w:val="2"/>
        <w:rPr>
          <w:rFonts w:ascii="宋体" w:eastAsia="宋体" w:hAnsi="宋体" w:cs="宋体" w:hint="eastAsia"/>
          <w:sz w:val="24"/>
        </w:rPr>
      </w:pPr>
      <w:r>
        <w:rPr>
          <w:rFonts w:ascii="宋体" w:eastAsia="宋体" w:hAnsi="宋体" w:cs="宋体" w:hint="eastAsia"/>
          <w:sz w:val="24"/>
          <w:lang w:bidi="ar"/>
        </w:rPr>
        <w:t>（一）投保人故意虚构保险标的，骗取保险金的；</w:t>
      </w:r>
    </w:p>
    <w:p w14:paraId="1B3CBDA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（二）投保人、被保险人或者受益人对发生的保险事故编造虚假的原因或者夸大损失的程度，骗取保险金的；</w:t>
      </w:r>
    </w:p>
    <w:p w14:paraId="0443D34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（三）投保人、被保险人或者受益人编造未曾发生的保险事故，骗取保险金的；</w:t>
      </w:r>
    </w:p>
    <w:p w14:paraId="390D4C6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（四）投保人、被保险人故意造成财产损失的保险事故，骗取保险金的；</w:t>
      </w:r>
    </w:p>
    <w:p w14:paraId="4E3987D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（五）投保人、受益人故意造成被保险人死亡、伤残或者疾病，骗取保险金的。</w:t>
      </w:r>
    </w:p>
    <w:p w14:paraId="101D8E0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有前款第四项、第五项所</w:t>
      </w:r>
      <w:proofErr w:type="gramStart"/>
      <w:r>
        <w:rPr>
          <w:rFonts w:ascii="宋体" w:eastAsia="宋体" w:hAnsi="宋体" w:cs="宋体" w:hint="eastAsia"/>
          <w:sz w:val="24"/>
          <w:lang w:bidi="ar"/>
        </w:rPr>
        <w:t>列行</w:t>
      </w:r>
      <w:proofErr w:type="gramEnd"/>
      <w:r>
        <w:rPr>
          <w:rFonts w:ascii="宋体" w:eastAsia="宋体" w:hAnsi="宋体" w:cs="宋体" w:hint="eastAsia"/>
          <w:sz w:val="24"/>
          <w:lang w:bidi="ar"/>
        </w:rPr>
        <w:t>为，同时构成其他犯罪的，依照数罪并罚的规定处罚。</w:t>
      </w:r>
    </w:p>
    <w:p w14:paraId="58DDDE6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第一款罪的，对单位判处罚金，并对其直接负责的主管人员和其他直接责任人员，处五年以下有期徒刑或者拘役；数额巨大或者有其他严重情节的，处五年以上十年以下有期徒刑；数额特别巨大或者有其他特别严重情节的，处十年以上有期徒刑。</w:t>
      </w:r>
    </w:p>
    <w:p w14:paraId="52AB1DE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保险事故的鉴定人、证明人、财产评估人故意提供虚假的证明文件，为他人诈骗提供条件的，以保险诈骗的共犯论处。</w:t>
      </w:r>
    </w:p>
    <w:p w14:paraId="09A69E4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第一百九十九条 （删去）</w:t>
      </w:r>
    </w:p>
    <w:p w14:paraId="5813CE1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第二百条 【单位犯金融诈骗罪的处罚规定】单位犯本节第一百九十四条、第一百九十五条规定之罪的，对单位判处罚金，并对其直接负责的主管人员和其他直接责任人员，处五年以下有期徒刑或者拘役，可以并处罚金；数额巨大或者有其他严重情节的，处五年以上十年以下有期徒刑，并处罚金；数额特别巨大或者有其他特别严重情节的，处十年以上有期徒刑或者无期徒刑，并处罚金。</w:t>
      </w:r>
    </w:p>
    <w:p w14:paraId="0AD5DADE"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第六节 危害税收征管罪</w:t>
      </w:r>
    </w:p>
    <w:p w14:paraId="493A24F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第二百零一条 【逃税罪】纳税人采取欺骗、隐瞒手段进行虚假纳税申报或者不申报，逃避缴纳税款数额较大并且占应纳税额百分之十以上的，处三年以下有期徒刑或者拘役，并处罚金；数额巨大并且占应纳税额百分之三十以上的，处三年以上七年以下有期徒刑，并处罚金。</w:t>
      </w:r>
    </w:p>
    <w:p w14:paraId="56A8883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扣缴义务人采取前款所列手段，不缴或者少缴已扣、已收税款，数额较大的，依照前款的规定处罚。</w:t>
      </w:r>
    </w:p>
    <w:p w14:paraId="1A7EB58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对多次实施前两款行为，未经处理的，按照累计数额计算。</w:t>
      </w:r>
    </w:p>
    <w:p w14:paraId="0A07703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有第一款行为，经税务机关依法下达追缴通知后，补缴应纳税款，缴纳滞纳金，已受行政处罚的，不予追究刑事责任；但是，五年内因逃避缴纳税款受过刑事处罚</w:t>
      </w:r>
      <w:r>
        <w:rPr>
          <w:rFonts w:ascii="宋体" w:eastAsia="宋体" w:hAnsi="宋体" w:cs="宋体" w:hint="eastAsia"/>
          <w:sz w:val="24"/>
          <w:lang w:bidi="ar"/>
        </w:rPr>
        <w:lastRenderedPageBreak/>
        <w:t>或者被税务机关给予二次以上行政处罚的除外。</w:t>
      </w:r>
    </w:p>
    <w:p w14:paraId="5A69865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第二百零二条 【抗税罪】以暴力、威胁方法拒不缴纳税款的，处三年以下有期徒刑或者拘役，并处拒缴税款一倍以上五倍以下罚金；情节严重的，处三年以上七年以下有期徒刑，并处拒缴税款一倍以上五倍以下罚金。</w:t>
      </w:r>
    </w:p>
    <w:p w14:paraId="1D546C1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第二百零三条 【逃避追缴欠税罪】纳税人欠缴应纳税款，采取转移或者隐匿财产的手段，致使税务机关无法追缴欠缴的税款，数额在一万元以上不满十万元的，处三年以下有期徒刑或者拘役，并处或者单处欠缴税款一倍以上五倍以下罚金；数额在十万元以上的，处三年以上七年以下有期徒刑，并处欠缴税款一倍以上五倍以下罚金。</w:t>
      </w:r>
    </w:p>
    <w:p w14:paraId="4AC35AB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第二百零四条 【骗取出口退税罪】以假报出口或者其他欺骗手段，骗取国家出口退税款，数额较大的，处五年以下有期徒刑或者拘役，并处骗取税款一倍以上五倍以下罚金；数额巨大或者有其他严重情节的，处五年以上十年以下有期徒刑，并处骗取税款一倍以上五倍以下罚金；数额特别巨大或者有其他特别严重情节的，处十年以上有期徒刑或者无期徒刑，并处骗取税款一倍以上五倍以下罚金或者没收财产。</w:t>
      </w:r>
    </w:p>
    <w:p w14:paraId="437BE65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【逃税罪】纳税人缴纳税款后，采取前款规定的欺骗方法，骗取所缴纳的税款的，依照本法第二百零一条的规定定罪处罚；骗取税款超过所缴纳的税款部分，依照前款的规定处罚。</w:t>
      </w:r>
    </w:p>
    <w:p w14:paraId="0340528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第二百零五条 【虚开增值税专用发票、用于骗取出口退税、抵扣税款发票罪】虚开增值税专用发票或者虚开用于骗取出口退税、抵扣税款的其他发票的，处三年以下有期徒刑或者拘役，并处二万元以上二十万元以下罚金；虚开的税款数额较大或者有其他严重情节的，处三年以上十年以下有期徒刑，并处五万元以上五十万元以下罚金；虚开的税款数额巨大或者有其他特别严重情节的，处十年以上有期徒刑或者无期徒刑，并处五万元以上五十万元以下罚金或者没收财产。</w:t>
      </w:r>
    </w:p>
    <w:p w14:paraId="55A9C97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单位犯本条规定之罪的，对单位判处罚金，并对其直接负责的主管人员和其他</w:t>
      </w:r>
      <w:r>
        <w:rPr>
          <w:rFonts w:ascii="宋体" w:eastAsia="宋体" w:hAnsi="宋体" w:cs="宋体" w:hint="eastAsia"/>
          <w:sz w:val="24"/>
          <w:lang w:bidi="ar"/>
        </w:rPr>
        <w:lastRenderedPageBreak/>
        <w:t>直接责任人员，处三年以下有期徒刑或者拘役；虚开的税款数额较大或者有其他严重情节的，处三年以上十年以下有期徒刑；虚开的税款数额巨大或者有其他特别严重情节的，处十年以上有期徒刑或者无期徒刑。</w:t>
      </w:r>
    </w:p>
    <w:p w14:paraId="6DA3F48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虚开增值税专用发票或者虚开用于骗取出口退税、抵扣税款的其他发票，是指有为他人虚开、为自己虚开、让他人为自己虚开、介绍他人虚开行为之一的。</w:t>
      </w:r>
    </w:p>
    <w:p w14:paraId="45E9361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第二百零五条之一 【虚开发票罪】虚开本法第二百零五条规定以外的其他发票，情节严重的，处二年以下有期徒刑、拘役或者管制，并处罚金；情节特别严重的，处二年以上七年以下有期徒刑，并处罚金。</w:t>
      </w:r>
    </w:p>
    <w:p w14:paraId="1ECCCFD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324D7F5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第二百零六条 【伪造、出售伪造的增值税专用发票罪】伪造或者出售伪造的增值税专用发票的，处三年以下有期徒刑、拘役或者管制，并处二万元以上二十万元以下罚金；数量较大或者有其他严重情节的，处三年以上十年以下有期徒刑，并处五万元以上五十万元以下罚金；数量巨大或者有其他特别严重情节的，处十年以上有期徒刑或者无期徒刑，并处五万元以上五十万元以下罚金或者没收财产。</w:t>
      </w:r>
    </w:p>
    <w:p w14:paraId="621BBE9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本条规定之罪的，对单位判处罚金，并对其直接负责的主管人员和其他直接责任人员，处三年以下有期徒刑、拘役或者管制；数量较大或者有其他严重情节的，处三年以上十年以下有期徒刑；数量巨大或者有其他特别严重情节的，处十年以上有期徒刑或者无期徒刑。</w:t>
      </w:r>
    </w:p>
    <w:p w14:paraId="5D6C973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第二百零七条 【非法出售增值税专用发票罪】非法出售增值税专用发票的，处三年以下有期徒刑、拘役或者管制，并处二万元以上二十万元以下罚金；数量较大的，处三年以上十年以下有期徒刑，并处五万元以上五十万元以下罚金；数量巨大的，处十年以上有期徒刑或者无期徒刑，并处五万元以上五十万元以下罚金或者没收财产。</w:t>
      </w:r>
    </w:p>
    <w:p w14:paraId="29F17DA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第二百零八条 【非法购买增值税专用发票、购买伪造的增值税专用发票罪】非</w:t>
      </w:r>
      <w:r>
        <w:rPr>
          <w:rFonts w:ascii="宋体" w:eastAsia="宋体" w:hAnsi="宋体" w:cs="宋体" w:hint="eastAsia"/>
          <w:sz w:val="24"/>
          <w:lang w:bidi="ar"/>
        </w:rPr>
        <w:lastRenderedPageBreak/>
        <w:t>法购买增值税专用发票或者购买伪造的增值税专用发票的，处五年以下有期徒刑或者拘役，并处或者单处二万元以上二十万元以下罚金。</w:t>
      </w:r>
    </w:p>
    <w:p w14:paraId="306D7E3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虚开增值税专用发票、用于骗取出口退税、抵扣税款发票罪】【伪造、出售伪造的增值税专用发票罪】【非法出售增值税专用发票罪】非法购买增值税专用发票或者购买伪造的增值税专用发票又虚开或者出售的，分别依照本法第二百零五条、第二百零六条、第二百零七条的规定定罪处罚。</w:t>
      </w:r>
    </w:p>
    <w:p w14:paraId="739050C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第二百零九条 【非法制造、出售非法制造的用于骗取出口退税、抵扣税款发票罪】伪造、擅自制造或者出售伪造、擅自制造的可以用于骗取出口退税、抵扣税款的其他发票的，处三年以下有期徒刑、拘役或者管制，并处二万元以上二十万元以下罚金；数量巨大的，处三年以上七年以下有期徒刑，并处五万元以上五十万元以下罚金；数量特别巨大的，处七年以上有期徒刑，并处五万元以上五十万元以下罚金或者没收财产。</w:t>
      </w:r>
    </w:p>
    <w:p w14:paraId="02770C9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非法制造、出售非法制造的发票罪】伪造、擅自制造或者出售伪造、擅自制造的前款规定以外的其他发票的，处二年以下有期徒刑、拘役或者管制，并处或者单处一万元以上五万元以下罚金；情节严重的，处二年以上七年以下有期徒刑，并处五万元以上五十万元以下罚金。</w:t>
      </w:r>
    </w:p>
    <w:p w14:paraId="2C2A450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【非法出售用于骗取出口退税、抵扣税款发票罪】非法出售可以用于骗取出口退税、抵扣税款的其他发票的，依照第一款的规定处罚。</w:t>
      </w:r>
    </w:p>
    <w:p w14:paraId="6CA737B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【非法出售发票罪】非法出售第三款规定以外的其他发票的，依照第二款的规定处罚。</w:t>
      </w:r>
    </w:p>
    <w:p w14:paraId="6612842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第二百一十条 【盗窃罪】盗窃增值税专用发票或者可以用于骗取出口退税、抵扣税款的其他发票的，依照本法第二百六十四条的规定定罪处罚。</w:t>
      </w:r>
    </w:p>
    <w:p w14:paraId="6F65EB3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【诈骗罪】使用欺骗手段骗取增值税专用发票或者可以用于骗取出口退税、抵扣税款的其他发票的，依照本法第二百六十六条的规定定罪处罚。</w:t>
      </w:r>
    </w:p>
    <w:p w14:paraId="33FCBB2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第二百一十条之一 【持有伪造的发票罪】明知是伪造的发票而持有，数量较大</w:t>
      </w:r>
      <w:r>
        <w:rPr>
          <w:rFonts w:ascii="宋体" w:eastAsia="宋体" w:hAnsi="宋体" w:cs="宋体" w:hint="eastAsia"/>
          <w:sz w:val="24"/>
          <w:lang w:bidi="ar"/>
        </w:rPr>
        <w:lastRenderedPageBreak/>
        <w:t>的，处二年以下有期徒刑、拘役或者管制，并处罚金；数量巨大的，处二年以上七年以下有期徒刑，并处罚金。</w:t>
      </w:r>
    </w:p>
    <w:p w14:paraId="01A38C1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7A41796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第二百一十一条 【单位犯危害税收征管罪的处罚规定】单位犯本节第二百零一条、第二百零三条、第二百零四条、第二百零七条、第二百零八条、第二百零九条规定之罪的，对单位判处罚金，并对其直接负责的主管人员和其他直接责任人员，依照各该条的规定处罚。</w:t>
      </w:r>
    </w:p>
    <w:p w14:paraId="3CDAA58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第二百一十二条 【税收征缴优先原则】犯本节第二百零一条至第二百零五条规定之罪，被判处罚金、没收财产的，在执行前，应当先由税务机关追缴税款和所骗取的出口退税款。</w:t>
      </w:r>
    </w:p>
    <w:p w14:paraId="2B0E0ED4"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第七节 侵犯知识产权罪</w:t>
      </w:r>
    </w:p>
    <w:p w14:paraId="555BB77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第二百一十三条 【假冒注册商标罪】未经注册商标所有人许可，在同一种商品、服务上使用与其注册商标相同的商标，情节严重的，处三年以下有期徒刑，并处或者单处罚金；情节特别严重的，处三年以上十年以下有期徒刑，并处罚金。</w:t>
      </w:r>
    </w:p>
    <w:p w14:paraId="3A9AA2B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第二百一十四条 【销售假冒注册商标的商品罪】销售明知是假冒注册商标的商品，违法所得数额较大或者有其他严重情节的，处三年以下有期徒刑，并处或者单处罚金；违法所得数额巨大或者有其他特别严重情节的，处三年以上十年以下有期徒刑，并处罚金。</w:t>
      </w:r>
    </w:p>
    <w:p w14:paraId="5960B5F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第二百一十五条 【非法制造、销售非法制造的注册商标标识罪】伪造、擅自制造他人注册商标标识或者销售伪造、擅自制造的注册商标标识，情节严重的，处三年以下有期徒刑，并处或者单处罚金；情节特别严重的，处三年以上十年以下有期徒刑，并处罚金。</w:t>
      </w:r>
    </w:p>
    <w:p w14:paraId="6E32D2F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第二百一十六条 【假冒专利罪】假冒他人专利，情节严重的，处三年以下有期徒刑或者拘役，并处或者单处罚金。</w:t>
      </w:r>
    </w:p>
    <w:p w14:paraId="2ED4846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第二百一十七条 【侵犯著作权罪】以营利为目的，有下列侵犯著作权或者与著作权有关的权利的情形之一，违法所得数额较大或者有其他严重情节的，处三年以下有期徒刑，并处或者单处罚金；违法所得数额巨大或者有其他特别严重情节的，处三年以上十年以下有期徒刑，并处罚金：</w:t>
      </w:r>
    </w:p>
    <w:p w14:paraId="29E85DA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（一）未经著作权人许可，复制发行、通过信息网络向公众传播其文字作品、音乐、美术、视听作品、计算机软件及法律、行政法规规定的其他作品的；</w:t>
      </w:r>
    </w:p>
    <w:p w14:paraId="525CA6C7" w14:textId="77777777" w:rsidR="00F50CD8" w:rsidRDefault="00000000">
      <w:pPr>
        <w:autoSpaceDE w:val="0"/>
        <w:spacing w:afterLines="50" w:after="156" w:line="360" w:lineRule="auto"/>
        <w:ind w:firstLineChars="200" w:firstLine="480"/>
        <w:outlineLvl w:val="2"/>
        <w:rPr>
          <w:rFonts w:ascii="宋体" w:eastAsia="宋体" w:hAnsi="宋体" w:cs="宋体" w:hint="eastAsia"/>
          <w:sz w:val="24"/>
        </w:rPr>
      </w:pPr>
      <w:r>
        <w:rPr>
          <w:rFonts w:ascii="宋体" w:eastAsia="宋体" w:hAnsi="宋体" w:cs="宋体" w:hint="eastAsia"/>
          <w:sz w:val="24"/>
          <w:lang w:bidi="ar"/>
        </w:rPr>
        <w:t>（二）出版他人享有专有出版权的图书的；</w:t>
      </w:r>
    </w:p>
    <w:p w14:paraId="4777107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（三）未经录音录像制作者许可，复制发行、通过信息网络向公众传播其制作的录音录像的；</w:t>
      </w:r>
    </w:p>
    <w:p w14:paraId="3DBF557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（四）未经表演者许可，复制发行录有其表演的录音录像制品，或者通过信息网络向公众传播其表演的；</w:t>
      </w:r>
    </w:p>
    <w:p w14:paraId="703F4EFC" w14:textId="77777777" w:rsidR="00F50CD8" w:rsidRDefault="00000000">
      <w:pPr>
        <w:autoSpaceDE w:val="0"/>
        <w:spacing w:afterLines="50" w:after="156" w:line="360" w:lineRule="auto"/>
        <w:ind w:firstLineChars="200" w:firstLine="480"/>
        <w:outlineLvl w:val="2"/>
        <w:rPr>
          <w:rFonts w:ascii="宋体" w:eastAsia="宋体" w:hAnsi="宋体" w:cs="宋体" w:hint="eastAsia"/>
          <w:sz w:val="24"/>
        </w:rPr>
      </w:pPr>
      <w:r>
        <w:rPr>
          <w:rFonts w:ascii="宋体" w:eastAsia="宋体" w:hAnsi="宋体" w:cs="宋体" w:hint="eastAsia"/>
          <w:sz w:val="24"/>
          <w:lang w:bidi="ar"/>
        </w:rPr>
        <w:t>（五）制作、出售假冒他人署名的美术作品的；</w:t>
      </w:r>
    </w:p>
    <w:p w14:paraId="47C60AB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（六）未经著作权人或者与著作权有关的权利人许可，故意避开或者破坏权利人为其作品、录音录像制品等采取的保护著作权或者与著作权有关的权利的技术措施的。</w:t>
      </w:r>
    </w:p>
    <w:p w14:paraId="1394E69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第二百一十八条 【销售侵权复制品罪】以营利为目的，销售明知是本法第二百一十七条规定的侵权复制品，违法所得数额巨大或者有其他严重情节的，处五年以下有期徒刑，并处或者单处罚金。</w:t>
      </w:r>
    </w:p>
    <w:p w14:paraId="525E205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第二百一十九条 【侵犯商业秘密罪】有下列侵犯商业秘密行为之一，情节严重的，处三年以下有期徒刑，并处或者单处罚金；情节特别严重的，处三年以上十年以下有期徒刑，并处罚金：</w:t>
      </w:r>
    </w:p>
    <w:p w14:paraId="000B976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（一）以盗窃、贿赂、欺诈、胁迫、电子侵入或者其他不正当手段获取权利人的商业秘密的；</w:t>
      </w:r>
    </w:p>
    <w:p w14:paraId="57BB1BA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（二）披露、使用或者允许他人使用以前项手段获取的权利人的商业秘密的；</w:t>
      </w:r>
    </w:p>
    <w:p w14:paraId="4021F24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（三）违反保密义务或者违反权利人有关保守商业秘密的要求，披露、使用或者允许他人使用其所掌握的商业秘密的。</w:t>
      </w:r>
    </w:p>
    <w:p w14:paraId="7159406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明知前款所</w:t>
      </w:r>
      <w:proofErr w:type="gramStart"/>
      <w:r>
        <w:rPr>
          <w:rFonts w:ascii="宋体" w:eastAsia="宋体" w:hAnsi="宋体" w:cs="宋体" w:hint="eastAsia"/>
          <w:sz w:val="24"/>
          <w:lang w:bidi="ar"/>
        </w:rPr>
        <w:t>列行</w:t>
      </w:r>
      <w:proofErr w:type="gramEnd"/>
      <w:r>
        <w:rPr>
          <w:rFonts w:ascii="宋体" w:eastAsia="宋体" w:hAnsi="宋体" w:cs="宋体" w:hint="eastAsia"/>
          <w:sz w:val="24"/>
          <w:lang w:bidi="ar"/>
        </w:rPr>
        <w:t>为，获取、披露、使用或者允许他人使用该商业秘密的，以侵犯商业秘密论。</w:t>
      </w:r>
    </w:p>
    <w:p w14:paraId="08086D6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本条所称权利人，是指商业秘密的所有人和经商业秘密所有人许可的商业秘密使用人。</w:t>
      </w:r>
    </w:p>
    <w:p w14:paraId="46592AD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第二百一十九条之一 【为境外窃取、刺探、收买、非法提供商业秘密罪】为境外的机构、组织、人员窃取、刺探、收买、非法提供商业秘密的，处五年以下有期徒刑，并处或者单处罚金；情节严重的，处五年以上有期徒刑，并处罚金。</w:t>
      </w:r>
    </w:p>
    <w:p w14:paraId="65CD0C3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第二百二十条 【单位犯侵犯知识产权罪的处罚规定】单位犯本节第二百一十三条至第二百一十九条之一规定之罪的，对单位判处罚金，并对其直接负责的主管人员和其他直接责任人员，依照本节各该条的规定处罚。</w:t>
      </w:r>
    </w:p>
    <w:p w14:paraId="065B585B"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第八节 扰乱市场秩序罪</w:t>
      </w:r>
    </w:p>
    <w:p w14:paraId="7959468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第二百二十一条 【损害商业信誉、商品声誉罪】捏造并散布虚伪事实，损害他人的商业信誉、商品声誉，给他人造成重大损失或者有其他严重情节的，处二年以下有期徒刑或者拘役，并处或者单处罚金。</w:t>
      </w:r>
    </w:p>
    <w:p w14:paraId="70F31D4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第二百二十二条 【虚假广告罪】广告主、广告经营者、广告发布者违反国家规定，利用广告对商品或者服务作虚假宣传，情节严重的，处二年以下有期徒刑或者拘役，并处或者单处罚金。</w:t>
      </w:r>
    </w:p>
    <w:p w14:paraId="39B7193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第二百二十三条 【串通投标罪】投标人相互串通投标报价，损害招标人或者其他投标人利益，情节严重的，处三年以下有期徒刑或者拘役，并处或者单处罚金。</w:t>
      </w:r>
    </w:p>
    <w:p w14:paraId="404F268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投标人与招标人串通投标，损害国家、集体、公民的合法利益的，依照前款的规定处罚。</w:t>
      </w:r>
    </w:p>
    <w:p w14:paraId="3785D0D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第二百二十四条 【合同诈骗罪】有下列情形之一，以非法占有为目的，在签订、</w:t>
      </w:r>
      <w:r>
        <w:rPr>
          <w:rFonts w:ascii="宋体" w:eastAsia="宋体" w:hAnsi="宋体" w:cs="宋体" w:hint="eastAsia"/>
          <w:sz w:val="24"/>
          <w:lang w:bidi="ar"/>
        </w:rPr>
        <w:lastRenderedPageBreak/>
        <w:t>履行合同过程中，骗取对方当事人财物，数额较大的，处三年以下有期徒刑或者拘役，并处或者单处罚金；数额巨大或者有其他严重情节的，处三年以上十年以下有期徒刑，并处罚金；数额特别巨大或者有其他特别严重情节的，处十年以上有期徒刑或者无期徒刑，并处罚金或者没收财产：</w:t>
      </w:r>
    </w:p>
    <w:p w14:paraId="23A908F1" w14:textId="77777777" w:rsidR="00F50CD8" w:rsidRDefault="00000000">
      <w:pPr>
        <w:autoSpaceDE w:val="0"/>
        <w:spacing w:afterLines="50" w:after="156" w:line="360" w:lineRule="auto"/>
        <w:ind w:firstLineChars="200" w:firstLine="480"/>
        <w:outlineLvl w:val="2"/>
        <w:rPr>
          <w:rFonts w:ascii="宋体" w:eastAsia="宋体" w:hAnsi="宋体" w:cs="宋体" w:hint="eastAsia"/>
          <w:sz w:val="24"/>
        </w:rPr>
      </w:pPr>
      <w:r>
        <w:rPr>
          <w:rFonts w:ascii="宋体" w:eastAsia="宋体" w:hAnsi="宋体" w:cs="宋体" w:hint="eastAsia"/>
          <w:sz w:val="24"/>
          <w:lang w:bidi="ar"/>
        </w:rPr>
        <w:t>（一）以虚构的单位或者冒用他人名义签订合同的；</w:t>
      </w:r>
    </w:p>
    <w:p w14:paraId="26C8DAA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（二）以伪造、变造、作废的票据或者其他虚假的产权证明作担保的；</w:t>
      </w:r>
    </w:p>
    <w:p w14:paraId="0279B92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（三）没有实际履行能力，以先履行小额合同或者部分履行合同的方法，诱骗对方当事人继续签订和履行合同的；</w:t>
      </w:r>
    </w:p>
    <w:p w14:paraId="12C0B74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（四）收受对方当事人给付的货物、货款、预付款或者担保财产后逃匿的；</w:t>
      </w:r>
    </w:p>
    <w:p w14:paraId="0643FBC9" w14:textId="77777777" w:rsidR="00F50CD8" w:rsidRDefault="00000000">
      <w:pPr>
        <w:autoSpaceDE w:val="0"/>
        <w:spacing w:afterLines="50" w:after="156" w:line="360" w:lineRule="auto"/>
        <w:ind w:firstLineChars="200" w:firstLine="480"/>
        <w:outlineLvl w:val="2"/>
        <w:rPr>
          <w:rFonts w:ascii="宋体" w:eastAsia="宋体" w:hAnsi="宋体" w:cs="宋体" w:hint="eastAsia"/>
          <w:sz w:val="24"/>
        </w:rPr>
      </w:pPr>
      <w:r>
        <w:rPr>
          <w:rFonts w:ascii="宋体" w:eastAsia="宋体" w:hAnsi="宋体" w:cs="宋体" w:hint="eastAsia"/>
          <w:sz w:val="24"/>
          <w:lang w:bidi="ar"/>
        </w:rPr>
        <w:t>（五）以其他方法骗取对方当事人财物的。</w:t>
      </w:r>
    </w:p>
    <w:p w14:paraId="791F021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第二百二十四条之一 【组织、领导传销活动罪】组织、领导以推销商品、提供服务等经营活动为名，要求参加者以缴纳费用或者购买商品、服务等方式获得加入资格，并按照一定顺序组成层级，直接或者</w:t>
      </w:r>
      <w:proofErr w:type="gramStart"/>
      <w:r>
        <w:rPr>
          <w:rFonts w:ascii="宋体" w:eastAsia="宋体" w:hAnsi="宋体" w:cs="宋体" w:hint="eastAsia"/>
          <w:sz w:val="24"/>
          <w:lang w:bidi="ar"/>
        </w:rPr>
        <w:t>间接以</w:t>
      </w:r>
      <w:proofErr w:type="gramEnd"/>
      <w:r>
        <w:rPr>
          <w:rFonts w:ascii="宋体" w:eastAsia="宋体" w:hAnsi="宋体" w:cs="宋体" w:hint="eastAsia"/>
          <w:sz w:val="24"/>
          <w:lang w:bidi="ar"/>
        </w:rPr>
        <w:t>发展人员的数量作为计酬或者返利依据，引诱、胁迫参加者继续发展他人参加，骗取财物，扰乱经济社会秩序的传销活动的，处五年以下有期徒刑或者拘役，并处罚金；情节严重的，处五年以上有期徒刑，并处罚金。</w:t>
      </w:r>
    </w:p>
    <w:p w14:paraId="35A035C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第二百二十五条 【非法经营罪】违反国家规定，有下列非法经营行为之一，扰乱市场秩序，情节严重的，处五年以下有期徒刑或者拘役，并处或者单处违法所得一倍以上五倍以下罚金；情节特别严重的，处五年以上有期徒刑，并处违法所得一倍以上五倍以下罚金或者没收财产：</w:t>
      </w:r>
    </w:p>
    <w:p w14:paraId="5E3BCBD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（一）未经许可经营法律、行政法规规定的专营、专卖物品或者其他限制买卖的物品的；</w:t>
      </w:r>
    </w:p>
    <w:p w14:paraId="3708BC7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（二）买卖进出口许可证、进出口原产地证明以及其他法律、行政法规规定的经营许可证或者批准文件的；</w:t>
      </w:r>
    </w:p>
    <w:p w14:paraId="65322F1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（三）未经国家有关主管部门批准非法经营证券、期货、保险业务的，或者非法从事资金支付结算业务的；</w:t>
      </w:r>
    </w:p>
    <w:p w14:paraId="5146533C" w14:textId="77777777" w:rsidR="00F50CD8" w:rsidRDefault="00000000">
      <w:pPr>
        <w:autoSpaceDE w:val="0"/>
        <w:spacing w:afterLines="50" w:after="156" w:line="360" w:lineRule="auto"/>
        <w:ind w:firstLineChars="200" w:firstLine="480"/>
        <w:outlineLvl w:val="2"/>
        <w:rPr>
          <w:rFonts w:ascii="宋体" w:eastAsia="宋体" w:hAnsi="宋体" w:cs="宋体" w:hint="eastAsia"/>
          <w:sz w:val="24"/>
        </w:rPr>
      </w:pPr>
      <w:r>
        <w:rPr>
          <w:rFonts w:ascii="宋体" w:eastAsia="宋体" w:hAnsi="宋体" w:cs="宋体" w:hint="eastAsia"/>
          <w:sz w:val="24"/>
          <w:lang w:bidi="ar"/>
        </w:rPr>
        <w:t>（四）其他严重扰乱市场秩序的非法经营行为。</w:t>
      </w:r>
    </w:p>
    <w:p w14:paraId="11F40DA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第二百二十六条 【强迫交易罪】以暴力、威胁手段，实施下列行为之一，情节严重的，处三年以下有期徒刑或者拘役，并处或者单处罚金；情节特别严重的，处三年以上七年以下有期徒刑，并处罚金：</w:t>
      </w:r>
    </w:p>
    <w:p w14:paraId="5ABB6B0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（一）强买强卖商品的；</w:t>
      </w:r>
    </w:p>
    <w:p w14:paraId="63058BF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（二）强迫他人提供或者接受服务的；</w:t>
      </w:r>
    </w:p>
    <w:p w14:paraId="66D8355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（三）强迫他人参与或者退出投标、拍卖的；</w:t>
      </w:r>
    </w:p>
    <w:p w14:paraId="0F83089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（四）强迫他人转让或者收购公司、企业的股份、债券或者其他资产的；</w:t>
      </w:r>
    </w:p>
    <w:p w14:paraId="30ECAB3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（五）强迫他人参与或者退出特定的经营活动的。</w:t>
      </w:r>
    </w:p>
    <w:p w14:paraId="0270750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第二百二十七条 【伪造、倒卖伪造的有价票证罪】伪造或者倒卖伪造的车票、船票、邮票或者其他有价票证，数额较大的，处二年以下有期徒刑、拘役或者管制，并处或者单处票证价额一倍以上五倍以下罚金；数额巨大的，处二年以上七年以下有期徒刑，并处票证价额一倍以上五倍以下罚金。</w:t>
      </w:r>
    </w:p>
    <w:p w14:paraId="2F47766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【倒卖车票、船票罪】倒卖车票、船票，情节严重的，处三年以下有期徒刑、拘役或者管制，并处或者单处票证价额一倍以上五倍以下罚金。</w:t>
      </w:r>
    </w:p>
    <w:p w14:paraId="6395F88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第二百二十八条 【非法转让、倒卖土地使用权罪】以牟利为目的，违反土地管理法规，非法转让、倒卖土地使用权，情节严重的，处三年以下有期徒刑或者拘役，并处或者单处非法转让、倒卖土地使用权价额百分之五以上百分之二十以下罚金；情节特别严重的，处三年以上七年以下有期徒刑，并处非法转让、倒卖土地使用权价额百分之五以上百分之二十以下罚金。</w:t>
      </w:r>
    </w:p>
    <w:p w14:paraId="0B6B485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第二百二十九条 【提供虚假证明文件罪】承担资产评估、验资、验证、会计、审计、法律服务、保荐、安全评价、环境影响评价、环境监测等职责的中介组织的</w:t>
      </w:r>
      <w:r>
        <w:rPr>
          <w:rFonts w:ascii="宋体" w:eastAsia="宋体" w:hAnsi="宋体" w:cs="宋体" w:hint="eastAsia"/>
          <w:sz w:val="24"/>
          <w:lang w:bidi="ar"/>
        </w:rPr>
        <w:lastRenderedPageBreak/>
        <w:t>人员故意提供虚假证明文件，情节严重的，处五年以下有期徒刑或者拘役，并处罚金；有下列情形之一的，处五年以上十年以下有期徒刑，并处罚金：</w:t>
      </w:r>
    </w:p>
    <w:p w14:paraId="2DC3763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（一）提供与证券发行相关的虚假的资产评估、会计、审计、法律服务、保荐等证明文件，情节特别严重的；</w:t>
      </w:r>
    </w:p>
    <w:p w14:paraId="3E9B0DC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（二）提供与重大资产交易相关的虚假的资产评估、会计、审计等证明文件，情节特别严重的；</w:t>
      </w:r>
    </w:p>
    <w:p w14:paraId="5D6D219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（三）在涉及公共安全的重大工程、项目中提供虚假的安全评价、环境影响评价等证明文件，致使公共财产、国家和人民利益遭受特别重大损失的。</w:t>
      </w:r>
    </w:p>
    <w:p w14:paraId="3EADF5C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【提供虚假证明文件罪】有前款行为，同时索取他人财物或者非法收受他人财物构成犯罪的，依照处罚较重的规定定罪处罚。</w:t>
      </w:r>
    </w:p>
    <w:p w14:paraId="32BA599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【出具证明文件重大失实罪】第一款规定的人员，严重不负责任，出具的证明文件有重大失实，造成严重后果的，处三年以下有期徒刑或者拘役，并处或者单处罚金。</w:t>
      </w:r>
    </w:p>
    <w:p w14:paraId="320BB33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第二百三十条 【逃避商检罪】违反进出口商品检验法的规定，逃避商品检验，将必须经商检机构检验的进口商品未报经检验而擅自销售、使用，或者将必须经商检机构检验的出口商品未报经检验合格而擅自出口，情节严重的，处三年以下有期徒刑或者拘役，并处或者单处罚金。</w:t>
      </w:r>
    </w:p>
    <w:p w14:paraId="05E7627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第二百三十一条 【单位犯扰乱市场秩序罪的处罚规定】单位犯本节第二百二十一条至第二百三十条规定之罪的，对单位判处罚金，并对其直接负责的主管人员和其他直接责任人员，依照本节各该条的规定处罚。</w:t>
      </w:r>
    </w:p>
    <w:p w14:paraId="18B9DB2F" w14:textId="77777777" w:rsidR="00F50CD8" w:rsidRDefault="00000000">
      <w:pPr>
        <w:autoSpaceDE w:val="0"/>
        <w:spacing w:afterLines="50" w:after="156" w:line="360" w:lineRule="auto"/>
        <w:ind w:firstLineChars="200" w:firstLine="480"/>
        <w:outlineLvl w:val="0"/>
        <w:rPr>
          <w:rFonts w:ascii="宋体" w:eastAsia="宋体" w:hAnsi="宋体" w:cs="宋体" w:hint="eastAsia"/>
          <w:sz w:val="24"/>
        </w:rPr>
      </w:pPr>
      <w:r>
        <w:rPr>
          <w:rFonts w:ascii="宋体" w:eastAsia="宋体" w:hAnsi="宋体" w:cs="宋体" w:hint="eastAsia"/>
          <w:sz w:val="24"/>
          <w:lang w:bidi="ar"/>
        </w:rPr>
        <w:t>第四章 侵犯公民人身权利、民主权利罪</w:t>
      </w:r>
    </w:p>
    <w:p w14:paraId="2D1A4D0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第二百三十二条 【故意杀人罪】故意杀人的，处死刑、无期徒刑或者十年以上有期徒刑；情节较轻的，处三年以上十年以下有期徒刑。</w:t>
      </w:r>
    </w:p>
    <w:p w14:paraId="6509CCC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第二百三十三条 【过失致人死亡罪】过失致人死亡的，处三年以上七年以下有</w:t>
      </w:r>
      <w:r>
        <w:rPr>
          <w:rFonts w:ascii="宋体" w:eastAsia="宋体" w:hAnsi="宋体" w:cs="宋体" w:hint="eastAsia"/>
          <w:sz w:val="24"/>
          <w:lang w:bidi="ar"/>
        </w:rPr>
        <w:lastRenderedPageBreak/>
        <w:t>期徒刑；情节较轻的，处三年以下有期徒刑。本法另有规定的，依照规定。</w:t>
      </w:r>
    </w:p>
    <w:p w14:paraId="4402A45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第二百三十四条 【故意伤害罪】故意伤害他人身体的，处三年以下有期徒刑、拘役或者管制。</w:t>
      </w:r>
    </w:p>
    <w:p w14:paraId="3467B5F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犯前款罪，致人重伤的，处三年以上十年以下有期徒刑；致人死亡或者以特别残忍手段致人重伤造成严重残疾的，处十年以上有期徒刑、无期徒刑或者死刑。本法另有规定的，依照规定。</w:t>
      </w:r>
    </w:p>
    <w:p w14:paraId="09BB763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第二百三十四条之一 【组织出卖人体器官罪】组织他人出卖人体器官的，处五年以下有期徒刑，并处罚金；情节严重的，处五年以上有期徒刑，并处罚金或者没收财产。</w:t>
      </w:r>
    </w:p>
    <w:p w14:paraId="77B3783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【故意伤害罪】【故意杀人罪】未经本人同意摘取其器官，或者摘取不满十八周岁的人的器官，或者强迫、欺骗他人捐献器官的，依照本法第二百三十四条、第二百三十二条的规定定罪处罚。</w:t>
      </w:r>
    </w:p>
    <w:p w14:paraId="3B16E9E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【盗窃、侮辱、故意毁坏尸体、尸骨、骨灰罪】违背本人生前意愿摘取其尸体器官，或者本人生前未表示同意，违反国家规定，违背其近亲属意愿摘取其尸体器官的，依照本法第三百零二条的规定定罪处罚。</w:t>
      </w:r>
    </w:p>
    <w:p w14:paraId="791952A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第二百三十五条 【过失致人重伤罪】过失伤害他人致人重伤的，处三年以下有期徒刑或者拘役。本法另有规定的，依照规定。</w:t>
      </w:r>
    </w:p>
    <w:p w14:paraId="5B84F94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第二百三十六条 【强奸罪】以暴力、胁迫或者其他手段强奸妇女的，处三年以上十年以下有期徒刑。</w:t>
      </w:r>
    </w:p>
    <w:p w14:paraId="175B272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奸淫不满十四周岁的幼女的，以强奸论，从重处罚。</w:t>
      </w:r>
    </w:p>
    <w:p w14:paraId="1EF8E1C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强奸妇女、奸淫幼女，有下列情形之一的，处十年以上有期徒刑、无期徒刑或者死刑：</w:t>
      </w:r>
    </w:p>
    <w:p w14:paraId="4CFA390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（一）强奸妇女、奸淫幼女情节恶劣的；</w:t>
      </w:r>
    </w:p>
    <w:p w14:paraId="366AA20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（二）强奸妇女、奸淫幼女多人的；</w:t>
      </w:r>
    </w:p>
    <w:p w14:paraId="33D7A4C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（三）在公共场所当众强奸妇女、奸淫幼女的；</w:t>
      </w:r>
    </w:p>
    <w:p w14:paraId="72D8B71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（四）二人以上轮奸的；</w:t>
      </w:r>
    </w:p>
    <w:p w14:paraId="7EF4B68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（五）奸淫不满十周岁的幼女或者造成幼女伤害的；</w:t>
      </w:r>
    </w:p>
    <w:p w14:paraId="0D0C77A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（六）致使被害人重伤、死亡或者造成其他严重后果的。</w:t>
      </w:r>
    </w:p>
    <w:p w14:paraId="3255E95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第二百三十六条之一 【负有照护职责人员性侵罪】对已满十四周岁不满十六周岁的未成年女性负有监护、收养、看护、教育、医疗等特殊职责的人员，与该未成年女性发生性关系的，处三年以下有期徒刑；情节恶劣的，处三年以上十年以下有期徒刑。</w:t>
      </w:r>
    </w:p>
    <w:p w14:paraId="24E5EC5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有前款行为，同时又构成本法第二百三十六条规定之罪的，依照处罚较重的规定定罪处罚。</w:t>
      </w:r>
    </w:p>
    <w:p w14:paraId="23A802B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第二百三十七条 【强制猥亵、侮辱罪】以暴力、胁迫或者其他方法强制猥亵他人或者侮辱妇女的，处五年以下有期徒刑或者拘役。</w:t>
      </w:r>
    </w:p>
    <w:p w14:paraId="7F7C38A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聚众或者在公共场所当众犯前款罪的，或者有其他恶劣情节的，处五年以上有期徒刑。</w:t>
      </w:r>
    </w:p>
    <w:p w14:paraId="5B95941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【猥亵儿童罪】猥亵儿童的，处五年以下有期徒刑；有下列情形之一的，处五年以上有期徒刑：</w:t>
      </w:r>
    </w:p>
    <w:p w14:paraId="146000B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（一）猥亵儿童多人或者多次的；</w:t>
      </w:r>
    </w:p>
    <w:p w14:paraId="420840B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（二）聚众猥亵儿童的，或者在公共场所当众猥亵儿童，情节恶劣的；</w:t>
      </w:r>
    </w:p>
    <w:p w14:paraId="51A6F32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（三）造成儿童伤害或者其他严重后果的；</w:t>
      </w:r>
    </w:p>
    <w:p w14:paraId="0CCB477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（四）猥亵手段恶劣或者有其他恶劣情节的。</w:t>
      </w:r>
    </w:p>
    <w:p w14:paraId="6D812BF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第二百三十八条 【非法拘禁罪】非法拘禁他人或者以其他方法非法剥夺他人人身自由的，处三年以下有期徒刑、拘役、管制或者剥夺政治权利。具有殴打、侮辱情节的，从重处罚。</w:t>
      </w:r>
    </w:p>
    <w:p w14:paraId="0F819CF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故意伤害罪】【故意杀人罪】犯前款罪，致人重伤的，处三年以上十年以下有期徒刑；致人死亡的，处十年以上有期徒刑。使用暴力致人伤残、死亡的，依照本法第二百三十四条、第二百三十二条的规定定罪处罚。</w:t>
      </w:r>
    </w:p>
    <w:p w14:paraId="7A6FACE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为索取债务非法扣押、拘禁他人的，依照前两款的规定处罚。</w:t>
      </w:r>
    </w:p>
    <w:p w14:paraId="294A3AA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国家机关工作人员利用职权犯前三款罪的，依照前三款的规定从重处罚。</w:t>
      </w:r>
    </w:p>
    <w:p w14:paraId="1FB9970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第二百三十九条 【绑架罪】以勒索财物为目的绑架他人的，或者绑架他人作为人质的，处十年以上有期徒刑或者无期徒刑，并处罚金或者没收财产；情节较轻的，处五年以上十年以下有期徒刑，并处罚金。</w:t>
      </w:r>
    </w:p>
    <w:p w14:paraId="2DE49AE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犯前款罪，杀害被绑架人的，或者故意伤害被绑架人，致人重伤、死亡的，处无期徒刑或者死刑，并处没收财产。</w:t>
      </w:r>
    </w:p>
    <w:p w14:paraId="361746D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以勒索财物为目的偷盗婴幼儿的，依照前两款的规定处罚。</w:t>
      </w:r>
    </w:p>
    <w:p w14:paraId="3605856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第二百四十条 【拐卖妇女、儿童罪】拐卖妇女、儿童的，处五年以上十年以下有期徒刑，并处罚金；有下列情形之一的，处十年以上有期徒刑或者无期徒刑，并处罚金或者没收财产；情节特别严重的，处死刑，并处没收财产：</w:t>
      </w:r>
    </w:p>
    <w:p w14:paraId="0CDC0F2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（一）拐卖妇女、儿童集团的首要分子；</w:t>
      </w:r>
    </w:p>
    <w:p w14:paraId="713DDDE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（二）拐卖妇女、儿童三人以上的；</w:t>
      </w:r>
    </w:p>
    <w:p w14:paraId="6D76AA2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（三）奸淫被拐卖的妇女的；</w:t>
      </w:r>
    </w:p>
    <w:p w14:paraId="7C698B4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（四）诱骗、强迫被拐卖的妇女卖淫或者将被拐卖的妇女卖给他人迫使其卖淫的；</w:t>
      </w:r>
    </w:p>
    <w:p w14:paraId="7811142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（五）以出卖为目的，使用暴力、胁迫或者麻醉方法绑架妇女、儿童的；</w:t>
      </w:r>
    </w:p>
    <w:p w14:paraId="423F3BFD"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（六）以出卖为目的，偷盗婴幼儿的；</w:t>
      </w:r>
    </w:p>
    <w:p w14:paraId="0EED43B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（七）造成被拐卖的妇女、儿童或者其亲属重伤、死亡或者其他严重后果的；</w:t>
      </w:r>
    </w:p>
    <w:p w14:paraId="3F4A6432"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（八）将妇女、儿童卖往境外的。</w:t>
      </w:r>
    </w:p>
    <w:p w14:paraId="23F2A0E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拐卖妇女、儿童是指以出卖为目的，有拐骗、绑架、收买、贩卖、接送、中转妇女、儿童的行为之一的。</w:t>
      </w:r>
    </w:p>
    <w:p w14:paraId="2E14072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第二百四十一条 【收买被拐卖的妇女、儿童罪】收买被拐卖的妇女、儿童的，处三年以下有期徒刑、拘役或者管制。</w:t>
      </w:r>
    </w:p>
    <w:p w14:paraId="51641ED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【强奸罪】收买被拐卖的妇女，强行与其发生性关系的，依照本法第二百三十六条的规定定罪处罚。</w:t>
      </w:r>
    </w:p>
    <w:p w14:paraId="0900019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收买被拐卖的妇女、儿童，非法剥夺、限制其人身自由或者有伤害、侮辱等犯罪行为的，依照本法的有关规定定罪处罚。</w:t>
      </w:r>
    </w:p>
    <w:p w14:paraId="604A9FE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收买被拐卖的妇女、儿童，并有第二款、第三款规定的犯罪行为的，依照数罪并罚的规定处罚。</w:t>
      </w:r>
    </w:p>
    <w:p w14:paraId="29E53FC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【拐卖妇女、儿童罪】收买被拐卖的妇女、儿童又出卖的，依照本法第二百四十条的规定定罪处罚。</w:t>
      </w:r>
    </w:p>
    <w:p w14:paraId="5ACC8D7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收买被拐卖的妇女、儿童，对被买儿童没有虐待行为，不阻碍对其进行解救的，可以从轻处罚；按照被买妇女的意愿，不阻碍其返回原居住地的，可以从轻或者减轻处罚。</w:t>
      </w:r>
    </w:p>
    <w:p w14:paraId="745C9FD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第二百四十二条 【妨害公务罪】以暴力、威胁方法阻碍国家机关工作人员解救被收买的妇女、儿童的，依照本法第二百七十七条的规定定罪处罚。</w:t>
      </w:r>
    </w:p>
    <w:p w14:paraId="206DEEF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【聚众阻碍解救被收买的妇女、儿童罪】聚众阻碍国家机关工作人员解救被收买的妇女、儿童的首要分子，处五年以下有期徒刑或者拘役；其他参与者使用暴力、威胁方法的，依照前款的规定处罚。</w:t>
      </w:r>
    </w:p>
    <w:p w14:paraId="3475B2E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第二百四十三条 【诬告陷害罪】捏造事实诬告陷害他人，意图使他人受刑事追究，情节严重的，处三年以下有期徒刑、拘役或者管制；造成严重后果的，处三年以上十年以下有期徒刑。</w:t>
      </w:r>
    </w:p>
    <w:p w14:paraId="225C353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国家机关工作人员犯前款罪的，从重处罚。</w:t>
      </w:r>
    </w:p>
    <w:p w14:paraId="4672196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不是有意诬陷，而是错告，或者检举失实的，不适用前两款的规定。</w:t>
      </w:r>
    </w:p>
    <w:p w14:paraId="22466F5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第二百四十四条 【强迫劳动罪】以暴力、威胁或者限制人身自由的方法强迫他人劳动的，处三年以下有期徒刑或者拘役，并处罚金；情节严重的，处三年以上十年以下有期徒刑，并处罚金。</w:t>
      </w:r>
    </w:p>
    <w:p w14:paraId="032B644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明知他人实施前款行为，为其招募、运送人员或者有其他协助强迫他人劳动行为的，依照前款的规定处罚。</w:t>
      </w:r>
    </w:p>
    <w:p w14:paraId="32B1FC2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单位犯前两款罪的，对单位判处罚金，并对其直接负责的主管人员和其他直接责任人员，依照第一款的规定处罚。</w:t>
      </w:r>
    </w:p>
    <w:p w14:paraId="712395F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第二百四十四条之一 【雇用童工从事危重劳动罪】违反劳动管理法规，雇用未满十六周岁的未成年人从事超强度体力劳动的，或者从事高空、井下作业的，或者在爆炸性、易燃性、放射性、毒害性等危险环境下从事劳动，情节严重的，对直接责任人员，处三年以下有期徒刑或者拘役，并处罚金；情节特别严重的，处三年以上七年以下有期徒刑，并处罚金。</w:t>
      </w:r>
    </w:p>
    <w:p w14:paraId="7D3D639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有前款行为，造成事故，又构成其他犯罪的，依照数罪并罚的规定处罚。</w:t>
      </w:r>
    </w:p>
    <w:p w14:paraId="3721CA7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第二百四十五条 【非法搜查罪】【非法侵入住宅罪】非法搜查他人身体、住宅，或者非法侵入他人住宅的，处三年以下有期徒刑或者拘役。</w:t>
      </w:r>
    </w:p>
    <w:p w14:paraId="2660AC1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司法工作人员滥用职权，犯前款罪的，从重处罚。</w:t>
      </w:r>
    </w:p>
    <w:p w14:paraId="65B5DF8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第二百四十六条 【侮辱罪】【诽谤罪】以暴力或者其他方法公然侮辱他人或者捏造事实诽谤他人，情节严重的，处三年以下有期徒刑、拘役、管制或者剥夺政治权利。</w:t>
      </w:r>
    </w:p>
    <w:p w14:paraId="0D4DA96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前款罪，告诉的才处理，但是严重危害社会秩序和国家利益的除外。</w:t>
      </w:r>
    </w:p>
    <w:p w14:paraId="77684F9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通过信息网络实施第一款规定的行为，被害人向人民法院告诉，但提供证据确有困难的，人民法院可以要求公安机关提供协助。</w:t>
      </w:r>
    </w:p>
    <w:p w14:paraId="77C36EF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第二百四十七条 【刑讯逼供罪】【暴力取证罪】司法工作人员对犯罪嫌疑人、</w:t>
      </w:r>
      <w:r>
        <w:rPr>
          <w:rFonts w:ascii="宋体" w:eastAsia="宋体" w:hAnsi="宋体" w:cs="宋体" w:hint="eastAsia"/>
          <w:sz w:val="24"/>
          <w:lang w:bidi="ar"/>
        </w:rPr>
        <w:lastRenderedPageBreak/>
        <w:t>被告人实行刑讯逼供或者使用暴力逼取证人证言的，处三年以下有期徒刑或者拘役。致人伤残、死亡的，依照本法第二百三十四条、第二百三十二条的规定定罪从重处罚。</w:t>
      </w:r>
    </w:p>
    <w:p w14:paraId="1F85ACD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第二百四十八条 【虐待被监管人罪】监狱、拘留所、看守所等监管机构的监管人员对被监管人进行殴打或者体罚虐待，情节严重的，处三年以下有期徒刑或者拘役；情节特别严重的，处三年以上十年以下有期徒刑。致人伤残、死亡的，依照本法第二百三十四条、第二百三十二条的规定定罪从重处罚。</w:t>
      </w:r>
    </w:p>
    <w:p w14:paraId="664562B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监管人员指使被监管人殴打或者体罚虐待其他被监管人的，依照前款的规定处罚。</w:t>
      </w:r>
    </w:p>
    <w:p w14:paraId="0EE9DF4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第二百四十九条 【煽动民族仇恨、民族歧视罪】煽动民族仇恨、民族歧视，情节严重的，处三年以下有期徒刑、拘役、管制或者剥夺政治权利；情节特别严重的，处三年以上十年以下有期徒刑。</w:t>
      </w:r>
    </w:p>
    <w:p w14:paraId="3D28635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第二百五十条 【出版歧视、侮辱少数民族作品罪】在出版物中刊载歧视、侮辱少数民族的内容，情节恶劣，造成严重后果的，对直接责任人员，处三年以下有期徒刑、拘役或者管制。</w:t>
      </w:r>
    </w:p>
    <w:p w14:paraId="5178D12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第二百五十一条 【非法剥夺公民宗教信仰自由罪】【侵犯少数民族风俗习惯罪】国家机关工作人员非法剥夺公民的宗教信仰自由和侵犯少数民族风俗习惯，情节严重的，处二年以下有期徒刑或者拘役。</w:t>
      </w:r>
    </w:p>
    <w:p w14:paraId="22FDCF3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第二百五十二条 【侵犯通信自由罪】隐匿、毁弃或者非法开拆他人信件，侵犯公民通信自由权利，情节严重的，处一年以下有期徒刑或者拘役。</w:t>
      </w:r>
    </w:p>
    <w:p w14:paraId="7E03545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第二百五十三条 【私自开拆、隐匿、毁弃邮件、电报罪】邮政工作人员私自开拆或者隐匿、毁弃邮件、电报的，处二年以下有期徒刑或者拘役。</w:t>
      </w:r>
    </w:p>
    <w:p w14:paraId="60C73B8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【盗窃罪】犯前款罪而窃取财物的，依照本法第二百六十四条的规定定罪从重处罚。</w:t>
      </w:r>
    </w:p>
    <w:p w14:paraId="5643DDF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第二百五十三条之一 【侵犯公民个人信息罪】违反国家有关规定，向他人出售或者提供公民个人信息，情节严重的，处三年以下有期徒刑或者拘役，并处或者单处罚金；情节特别严重的，处三年以上七年以下有期徒刑，并处罚金。</w:t>
      </w:r>
    </w:p>
    <w:p w14:paraId="04A66B5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违反国家有关规定，将在履行职责或者提供服务过程中获得的公民个人信息，出售或者提供给他人的，依照前款的规定从重处罚。</w:t>
      </w:r>
    </w:p>
    <w:p w14:paraId="7F7023E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窃取或者以其他方法非法获取公民个人信息的，依照第一款的规定处罚。</w:t>
      </w:r>
    </w:p>
    <w:p w14:paraId="0C1DF2B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单位犯前三款罪的，对单位判处罚金，并对其直接负责的主管人员和其他直接责任人员，依照各该款的规定处罚。</w:t>
      </w:r>
    </w:p>
    <w:p w14:paraId="73F621E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第二百五十四条 【报复陷害罪】国家机关工作人员滥用职权、假公济私，对控告人、申诉人、批评人、举报人实行报复陷害的，处二年以下有期徒刑或者拘役；情节严重的，处二年以上七年以下有期徒刑。</w:t>
      </w:r>
    </w:p>
    <w:p w14:paraId="447EEA8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第二百五十五条 【打击报复会计、统计人员罪】公司、企业、事业单位、机关、团体的领导人，对依法履行职责、抵制违反会计法、统计法行为的会计、统计人员实行打击报复，情节恶劣的，处三年以下有期徒刑或者拘役。</w:t>
      </w:r>
    </w:p>
    <w:p w14:paraId="53F796E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第二百五十六条 【破坏选举罪】在选举各级人民代表大会代表和国家机关领导人员时，以暴力、威胁、欺骗、贿赂、伪造选举文件、虚报选举票数等手段破坏选举或者妨害选民和代表自由行使选举权和被选举权，情节严重的，处三年以下有期徒刑、拘役或者剥夺政治权利。</w:t>
      </w:r>
    </w:p>
    <w:p w14:paraId="5C650AA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第二百五十七条 【暴力干涉婚姻自由罪】以暴力干涉他人婚姻自由的，处二年以下有期徒刑或者拘役。</w:t>
      </w:r>
    </w:p>
    <w:p w14:paraId="2B56E11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犯前款罪，致使被害人死亡的，处二年以上七年以下有期徒刑。</w:t>
      </w:r>
    </w:p>
    <w:p w14:paraId="3F0523B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第一款罪，告诉的才处理。</w:t>
      </w:r>
    </w:p>
    <w:p w14:paraId="433700F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第二百五十八条 【重婚罪】有配偶而重婚的，或者明知他人有配偶而与之结婚的，处二年以下有期徒刑或者拘役。</w:t>
      </w:r>
    </w:p>
    <w:p w14:paraId="302CB80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第二百五十九条 【破坏军婚罪】明知是现役军人的配偶而与之同居或者结婚的，处三年以下有期徒刑或者拘役。</w:t>
      </w:r>
    </w:p>
    <w:p w14:paraId="3E9CDC8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【强奸罪】利用职权、从属关系，以胁迫手段奸淫现役军人的妻子的，依照本法第二百三十六条的规定定罪处罚。</w:t>
      </w:r>
    </w:p>
    <w:p w14:paraId="22C4134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第二百六十条 【虐待罪】虐待家庭成员，情节恶劣的，处二年以下有期徒刑、拘役或者管制。</w:t>
      </w:r>
    </w:p>
    <w:p w14:paraId="5724A9D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犯前款罪，致使被害人重伤、死亡的，处二年以上七年以下有期徒刑。</w:t>
      </w:r>
    </w:p>
    <w:p w14:paraId="3495750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第一款罪，告诉的才处理，但被害人没有能力告诉，或者因受到强制、威吓无法告诉的除外。</w:t>
      </w:r>
    </w:p>
    <w:p w14:paraId="64B75D0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第二百六十条之一 【虐待被监护、看护人罪】对未成年人、老年人、患病的人、残疾人等负有监护、看护职责的人虐待被监护、看护的人，情节恶劣的，处三年以下有期徒刑或者拘役。</w:t>
      </w:r>
    </w:p>
    <w:p w14:paraId="69793E1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6B50FDE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有第一款行为，同时构成其他犯罪的，依照处罚较重的规定定罪处罚。</w:t>
      </w:r>
    </w:p>
    <w:p w14:paraId="1D29948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第二百六十一条 【遗弃罪】对于年老、年幼、患病或者其他没有独立生活能力的人，负有扶养义务而拒绝扶养，情节恶劣的，处五年以下有期徒刑、拘役或者管制。</w:t>
      </w:r>
    </w:p>
    <w:p w14:paraId="5F340AE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第二百六十二条 【拐骗儿童罪】拐骗不满十四周岁的未成年人，脱离家庭或者监护人的，处五年以下有期徒刑或者拘役。</w:t>
      </w:r>
    </w:p>
    <w:p w14:paraId="6A94516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第二百六十二条之一 【组织残疾人、儿童乞讨罪】以暴力、胁迫手段组织残疾人或者不满十四周岁的未成年人乞讨的，处三年以下有期徒刑或者拘役，并处罚金；情节严重的，处三年以上七年以下有期徒刑，并处罚金。</w:t>
      </w:r>
    </w:p>
    <w:p w14:paraId="5702FF4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第二百六十二条之二 【组织未成年人进行违反治安管理活动罪】组织未成年人</w:t>
      </w:r>
      <w:r>
        <w:rPr>
          <w:rFonts w:ascii="宋体" w:eastAsia="宋体" w:hAnsi="宋体" w:cs="宋体" w:hint="eastAsia"/>
          <w:sz w:val="24"/>
          <w:lang w:bidi="ar"/>
        </w:rPr>
        <w:lastRenderedPageBreak/>
        <w:t>进行盗窃、诈骗、抢夺、敲诈勒索等违反治安管理活动的，处三年以下有期徒刑或者拘役，并处罚金；情节严重的，处三年以上七年以下有期徒刑，并处罚金。</w:t>
      </w:r>
    </w:p>
    <w:p w14:paraId="29084F77" w14:textId="77777777" w:rsidR="00F50CD8" w:rsidRDefault="00000000">
      <w:pPr>
        <w:autoSpaceDE w:val="0"/>
        <w:spacing w:afterLines="50" w:after="156" w:line="360" w:lineRule="auto"/>
        <w:ind w:firstLineChars="200" w:firstLine="480"/>
        <w:outlineLvl w:val="0"/>
        <w:rPr>
          <w:rFonts w:ascii="宋体" w:eastAsia="宋体" w:hAnsi="宋体" w:cs="宋体" w:hint="eastAsia"/>
          <w:sz w:val="24"/>
        </w:rPr>
      </w:pPr>
      <w:r>
        <w:rPr>
          <w:rFonts w:ascii="宋体" w:eastAsia="宋体" w:hAnsi="宋体" w:cs="宋体" w:hint="eastAsia"/>
          <w:sz w:val="24"/>
          <w:lang w:bidi="ar"/>
        </w:rPr>
        <w:t>第五章 侵犯财产罪</w:t>
      </w:r>
    </w:p>
    <w:p w14:paraId="3EDD47B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第二百六十三条 【抢劫罪】以暴力、胁迫或者其他方法抢劫公私财物的，处三年以上十年以下有期徒刑，并处罚金；有下列情形之一的，处十年以上有期徒刑、无期徒刑或者死刑，并处罚金或者没收财产：</w:t>
      </w:r>
    </w:p>
    <w:p w14:paraId="4A144BB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（一）入户抢劫的；</w:t>
      </w:r>
    </w:p>
    <w:p w14:paraId="07AA3D7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（二）在公共交通工具上抢劫的；</w:t>
      </w:r>
    </w:p>
    <w:p w14:paraId="2905EE9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（三）抢劫银行或者其他金融机构的；</w:t>
      </w:r>
    </w:p>
    <w:p w14:paraId="639E7B8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（四）多次抢劫或者抢劫数额巨大的；</w:t>
      </w:r>
    </w:p>
    <w:p w14:paraId="51F4F89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（五）抢劫致人重伤、死亡的；</w:t>
      </w:r>
    </w:p>
    <w:p w14:paraId="3DF205A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（六）冒充军警人员抢劫的；</w:t>
      </w:r>
    </w:p>
    <w:p w14:paraId="08CF01F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（七）持枪抢劫的；</w:t>
      </w:r>
    </w:p>
    <w:p w14:paraId="088AA8E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（八）抢劫军用物资或者抢险、救灾、救济物资的。</w:t>
      </w:r>
    </w:p>
    <w:p w14:paraId="4A7EC01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第二百六十四条 【盗窃罪】盗窃公私财物，数额较大的，或者多次盗窃、入户盗窃、携带凶器盗窃、扒窃的，处三年以下有期徒刑、拘役或者管制，并处或者单处罚金；数额巨大或者有其他严重情节的，处三年以上十年以下有期徒刑，并处罚金；数额特别巨大或者有其他特别严重情节的，处十年以上有期徒刑或者无期徒刑，并处罚金或者没收财产。</w:t>
      </w:r>
    </w:p>
    <w:p w14:paraId="7B9D380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第二百六十五条 【盗窃罪】以牟利为目的，盗接他人通信线路、复制他人电信码号或者明知是盗接、复制的电信设备、设施而使用的，依照本法第二百六十四条的规定定罪处罚。</w:t>
      </w:r>
    </w:p>
    <w:p w14:paraId="597C664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第二百六十六条 【诈骗罪】诈骗公私财物，数额较大的，处三年以下有期徒刑、</w:t>
      </w:r>
      <w:r>
        <w:rPr>
          <w:rFonts w:ascii="宋体" w:eastAsia="宋体" w:hAnsi="宋体" w:cs="宋体" w:hint="eastAsia"/>
          <w:sz w:val="24"/>
          <w:lang w:bidi="ar"/>
        </w:rPr>
        <w:lastRenderedPageBreak/>
        <w:t>拘役或者管制，并处或者单处罚金；数额巨大或者有其他严重情节的，处三年以上十年以下有期徒刑，并处罚金；数额特别巨大或者有其他特别严重情节的，处十年以上有期徒刑或者无期徒刑，并处罚金或者没收财产。本法另有规定的，依照规定。</w:t>
      </w:r>
    </w:p>
    <w:p w14:paraId="146C689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第二百六十七条 【抢夺罪】抢夺公私财物，数额较大的，或者多次抢夺的，处三年以下有期徒刑、拘役或者管制，并处或者单处罚金；数额巨大或者有其他严重情节的，处三年以上十年以下有期徒刑，并处罚金；数额特别巨大或者有其他特别严重情节的，处十年以上有期徒刑或者无期徒刑，并处罚金或者没收财产。</w:t>
      </w:r>
    </w:p>
    <w:p w14:paraId="1DF4540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【抢劫罪】携带凶器抢夺的，依照本法第二百六十三条的规定定罪处罚。</w:t>
      </w:r>
    </w:p>
    <w:p w14:paraId="4149343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第二百六十八条 【聚众哄抢罪】聚众哄抢公私财物，数额较大或者有其他严重情节的，对首要分子和积极参加的，处三年以下有期徒刑、拘役或者管制，并处罚金；数额巨大或者有其他特别严重情节的，处三年以上十年以下有期徒刑，并处罚金。</w:t>
      </w:r>
    </w:p>
    <w:p w14:paraId="3065E6D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第二百六十九条 【抢劫罪】犯盗窃、诈骗、抢夺罪，为窝藏赃物、抗拒抓捕或者毁灭罪证而当场使用暴力或者以暴力相威胁的，依照本法第二百六十三条的规定定罪处罚。</w:t>
      </w:r>
    </w:p>
    <w:p w14:paraId="5056C34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第二百七十条 【侵占罪】将代为保管的他人财物非法占为己有，数额较大，拒不退还的，处二年以下有期徒刑、拘役或者罚金；数额巨大或者有其他严重情节的，处二年以上五年以下有期徒刑，并处罚金。</w:t>
      </w:r>
    </w:p>
    <w:p w14:paraId="2B8DE1C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将他人的遗忘物或者埋藏物非法占为己有，数额较大，拒不交出的，依照前款的规定处罚。</w:t>
      </w:r>
    </w:p>
    <w:p w14:paraId="7D1B02C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本条罪，告诉的才处理。</w:t>
      </w:r>
    </w:p>
    <w:p w14:paraId="10467FB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第二百七十一条 【职务侵占罪】公司、企业或者其他单位的工作人员，利用职务上的便利，将本单位财物非法占为己有，数额较大的，处三年以下有期徒刑或者拘役，并处罚金；数额巨大的，处三年以上十年以下有期徒刑，并处罚金；数额特别巨大的，处十年以上有期徒刑或者无期徒刑，并处罚金。</w:t>
      </w:r>
    </w:p>
    <w:p w14:paraId="7B9D2BE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贪污罪】国有公司、企业或者其他国有单位中从事公务的人员和国有公司、企业或者其他国有单位委派到非国有公司、企业以及其他单位从事公务的人员有前款行为的，依照本法第三百八十二条、第三百八十三条的规定定罪处罚。</w:t>
      </w:r>
    </w:p>
    <w:p w14:paraId="57AAE44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第二百七十二条 【挪用资金罪】公司、企业或者其他单位的工作人员，利用职务上的便利，挪用本单位资金归个人使用或者借贷给他人，数额较大、超过三个月未还的，或者虽未超过三个月，但数额较大、进行营利活动的，或者进行非法活动的，处三年以下有期徒刑或者拘役；挪用本单位资金数额巨大的，处三年以上七年以下有期徒刑；数额特别巨大的，处七年以上有期徒刑。</w:t>
      </w:r>
    </w:p>
    <w:p w14:paraId="52049F8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挪用公款罪】国有公司、企业或者其他国有单位中从事公务的人员和国有公司、企业或者其他国有单位委派到非国有公司、企业以及其他单位从事公务的人员有前款行为的，依照本法第三百八十四条的规定定罪处罚。</w:t>
      </w:r>
    </w:p>
    <w:p w14:paraId="1669FF0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有第一款行为，在提起公诉前将挪用的资金退还的，可以从轻或者减轻处罚。其中，犯罪较轻的，可以减轻或者免除处罚。</w:t>
      </w:r>
    </w:p>
    <w:p w14:paraId="7B696D5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第二百七十三条 【挪用特定款物罪】挪用用于救灾、抢险、防汛、优抚、扶贫、移民、救济款物，情节严重，致使国家和人民群众利益遭受重大损害的，对直接责任人员，处三年以下有期徒刑或者拘役；情节特别严重的，处三年以上七年以下有期徒刑。</w:t>
      </w:r>
    </w:p>
    <w:p w14:paraId="169536A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第二百七十四条 【敲诈勒索罪】敲诈勒索公私财物，数额较大或者多次敲诈勒索的，处三年以下有期徒刑、拘役或者管制，并处或者单处罚金；数额巨大或者有其他严重情节的，处三年以上十年以下有期徒刑，并处罚金；数额特别巨大或者有其他特别严重情节的，处十年以上有期徒刑，并处罚金。</w:t>
      </w:r>
    </w:p>
    <w:p w14:paraId="755E11B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第二百七十五条 【故意毁坏财物罪】故意毁坏公私财物，数额较大或者有其他严重情节的，处三年以下有期徒刑、拘役或者罚金；数额巨大或者有其他特别严重情节的，处三年以上七年以下有期徒刑。</w:t>
      </w:r>
    </w:p>
    <w:p w14:paraId="34DA4EA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第二百七十六条 【破坏生产经营罪】由于泄愤报复或者其他个人目的，毁坏机</w:t>
      </w:r>
      <w:r>
        <w:rPr>
          <w:rFonts w:ascii="宋体" w:eastAsia="宋体" w:hAnsi="宋体" w:cs="宋体" w:hint="eastAsia"/>
          <w:sz w:val="24"/>
          <w:lang w:bidi="ar"/>
        </w:rPr>
        <w:lastRenderedPageBreak/>
        <w:t>器设备、残害耕畜或者以其他方法破坏生产经营的，处三年以下有期徒刑、拘役或者管制；情节严重的，处三年以上七年以下有期徒刑。</w:t>
      </w:r>
    </w:p>
    <w:p w14:paraId="360941D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第二百七十六条之一 【拒不支付劳动报酬罪】以转移财产、逃匿等方法逃避支付劳动者的劳动报酬或者有能力支付而不支付劳动者的劳动报酬，数额较大，经政府有关部门责令支付仍不支付的，处三年以下有期徒刑或者拘役，并处或者单处罚金；造成严重后果的，处三年以上七年以下有期徒刑，并处罚金。</w:t>
      </w:r>
    </w:p>
    <w:p w14:paraId="1C301D7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7CE72CD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有前两款行为，尚未造成严重后果，在提起公诉前支付劳动者的劳动报酬，并依法承担相应赔偿责任的，可以减轻或者免除处罚。</w:t>
      </w:r>
    </w:p>
    <w:p w14:paraId="4BAFAF9C" w14:textId="77777777" w:rsidR="00F50CD8" w:rsidRDefault="00000000">
      <w:pPr>
        <w:autoSpaceDE w:val="0"/>
        <w:spacing w:afterLines="50" w:after="156" w:line="360" w:lineRule="auto"/>
        <w:ind w:firstLineChars="200" w:firstLine="480"/>
        <w:outlineLvl w:val="0"/>
        <w:rPr>
          <w:rFonts w:ascii="宋体" w:eastAsia="宋体" w:hAnsi="宋体" w:cs="宋体" w:hint="eastAsia"/>
          <w:sz w:val="24"/>
        </w:rPr>
      </w:pPr>
      <w:r>
        <w:rPr>
          <w:rFonts w:ascii="宋体" w:eastAsia="宋体" w:hAnsi="宋体" w:cs="宋体" w:hint="eastAsia"/>
          <w:sz w:val="24"/>
          <w:lang w:bidi="ar"/>
        </w:rPr>
        <w:t>第六章 妨害社会管理秩序罪</w:t>
      </w:r>
    </w:p>
    <w:p w14:paraId="2DF0D169"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第一节 扰乱公共秩序罪</w:t>
      </w:r>
    </w:p>
    <w:p w14:paraId="0A9E658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第二百七十七条 【妨害公务罪】以暴力、威胁方法阻碍国家机关工作人员依法执行职务的，处三年以下有期徒刑、拘役、管制或者罚金。</w:t>
      </w:r>
    </w:p>
    <w:p w14:paraId="79AA220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以暴力、威胁方法阻碍全国人民代表大会和地方各级人民代表大会代表依法执行代表职务的，依照前款的规定处罚。</w:t>
      </w:r>
    </w:p>
    <w:p w14:paraId="0EE8E1B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在自然灾害和突发事件中，以暴力、威胁方法阻碍红十字会工作人员依法履行职责的，依照第一款的规定处罚。</w:t>
      </w:r>
    </w:p>
    <w:p w14:paraId="17278AD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故意阻碍国家安全机关、公安机关依法执行国家安全工作任务，未使用暴力、威胁方法，造成严重后果的，依照第一款的规定处罚。</w:t>
      </w:r>
    </w:p>
    <w:p w14:paraId="6306026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【袭警罪】暴力袭击正在依法执行职务的人民警察的，处三年以下有期徒刑、拘役或者管制；使用枪支、管制刀具，或者以驾驶机动车撞击等手段，严重危及其人身安全的，处三年以上七年以下有期徒刑。</w:t>
      </w:r>
    </w:p>
    <w:p w14:paraId="7897921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第二百七十八条 【煽动暴力抗拒法律实施罪】煽动群众暴力抗拒国家法律、行</w:t>
      </w:r>
      <w:r>
        <w:rPr>
          <w:rFonts w:ascii="宋体" w:eastAsia="宋体" w:hAnsi="宋体" w:cs="宋体" w:hint="eastAsia"/>
          <w:sz w:val="24"/>
          <w:lang w:bidi="ar"/>
        </w:rPr>
        <w:lastRenderedPageBreak/>
        <w:t>政法规实施的，处三年以下有期徒刑、拘役、管制或者剥夺政治权利；造成严重后果的，处三年以上七年以下有期徒刑。</w:t>
      </w:r>
    </w:p>
    <w:p w14:paraId="69CB962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第二百七十九条 【招摇撞骗罪】冒充国家机关工作人员招摇撞骗的，处三年以下有期徒刑、拘役、管制或者剥夺政治权利；情节严重的，处三年以上十年以下有期徒刑。</w:t>
      </w:r>
    </w:p>
    <w:p w14:paraId="424C394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冒充人民警察招摇撞骗的，依照前款的规定从重处罚。</w:t>
      </w:r>
    </w:p>
    <w:p w14:paraId="013EFE5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第二百八十条 【伪造、变造、买卖国家机关公文、证件、印章罪】【盗窃、抢夺、毁灭国家机关公文、证件、印章罪】伪造、变造、买卖或者盗窃、抢夺、毁灭国家机关的公文、证件、印章的，处三年以下有期徒刑、拘役、管制或者剥夺政治权利，并处罚金；情节严重的，处三年以上十年以下有期徒刑，并处罚金。</w:t>
      </w:r>
    </w:p>
    <w:p w14:paraId="68B102E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【伪造公司、企业、事业单位、人民团体印章罪】伪造公司、企业、事业单位、人民团体的印章的，处三年以下有期徒刑、拘役、管制或者剥夺政治权利，并处罚金。</w:t>
      </w:r>
    </w:p>
    <w:p w14:paraId="69C894C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伪造、变造、买卖身份证件罪】伪造、变造、买卖居民身份证、护照、社会保障卡、驾驶证等依法可以用于证明身份的证件的，处三年以下有期徒刑、拘役、管制或者剥夺政治权利，并处罚金；情节严重的，处三年以上七年以下有期徒刑，并处罚金。</w:t>
      </w:r>
    </w:p>
    <w:p w14:paraId="4F00AB8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第二百八十条之一 【使用虚假身份证件、盗用身份证件罪】在依照国家规定应当提供身份证明的活动中，使用伪造、变造的或者盗用他人的居民身份证、护照、社会保障卡、驾驶证等依法可以用于证明身份的证件，情节严重的，处拘役或者管制，并处或者单处罚金。</w:t>
      </w:r>
    </w:p>
    <w:p w14:paraId="67C2137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有前款行为，同时构成其他犯罪的，依照处罚较重的规定定罪处罚。</w:t>
      </w:r>
    </w:p>
    <w:p w14:paraId="1B71B4D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第二百八十条之二 【冒名顶替罪】盗用、冒用他人身份，顶替他人取得的高等学历教育入学资格、公务员录用资格、就业安置待遇的，处三年以下有期徒刑、拘役或者管制，并处罚金。</w:t>
      </w:r>
    </w:p>
    <w:p w14:paraId="74346D0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组织、指使他人实施前款行为的，依照前款的规定从重处罚。</w:t>
      </w:r>
    </w:p>
    <w:p w14:paraId="1A48AC1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国家工作人员有前两款行为，又构成其他犯罪的，依照数罪并罚的规定处罚。</w:t>
      </w:r>
    </w:p>
    <w:p w14:paraId="70FDFD4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第二百八十一条 【非法生产、买卖警用装备罪】非法生产、买卖人民警察制式服装、车辆号牌等专用标志、警械，情节严重的，处三年以下有期徒刑、拘役或者管制，并处或者单处罚金。</w:t>
      </w:r>
    </w:p>
    <w:p w14:paraId="5AEAD60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7E22865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第二百八十二条 【非法获取国家秘密罪】以窃取、刺探、收买方法，非法获取国家秘密的，处三年以下有期徒刑、拘役、管制或者剥夺政治权利；情节严重的，处三年以上七年以下有期徒刑。</w:t>
      </w:r>
    </w:p>
    <w:p w14:paraId="0D898F3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【非法持有国家绝密、机密文件、资料、物品罪】非法持有属于国家绝密、机密的文件、资料或者其他物品，拒不说明来源与用途的，处三年以下有期徒刑、拘役或者管制。</w:t>
      </w:r>
    </w:p>
    <w:p w14:paraId="71487E3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第二百八十三条 【非法生产、销售专用间谍器材、窃听、窃照专用器材罪】非法生产、销售专用间谍器材或者窃听、窃照专用器材的，处三年以下有期徒刑、拘役或者管制，并处或者单处罚金；情节严重的，处三年以上七年以下有期徒刑，并处罚金。</w:t>
      </w:r>
    </w:p>
    <w:p w14:paraId="051EA4C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03A5158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第二百八十四条 【非法使用窃听、窃照专用器材罪】非法使用窃听、窃照专用器材，造成严重后果的，处二年以下有期徒刑、拘役或者管制。</w:t>
      </w:r>
    </w:p>
    <w:p w14:paraId="6F37B9B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第二百八十四条之一 【组织考试作弊罪】在法律规定的国家考试中，组织作弊的，处三年以下有期徒刑或者拘役，并处或者单处罚金；情节严重的，处三年以上七年以下有期徒刑，并处罚金。</w:t>
      </w:r>
    </w:p>
    <w:p w14:paraId="47DC0A2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【组织考试作弊罪】为他人实施前款犯罪提供作弊器材或者其他帮助的，依照前款的规定处罚。</w:t>
      </w:r>
    </w:p>
    <w:p w14:paraId="5F7F4DD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【非法出售、提供试题、答案罪】为实施考试作弊行为，向他人非法出售或者提供第一款规定的考试的试题、答案的，依照第一款的规定处罚。</w:t>
      </w:r>
    </w:p>
    <w:p w14:paraId="31D9333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【代替考试罪】代替他人或者让他人代替自己参加第一款规定的考试的，处拘役或者管制，并处或者单处罚金。</w:t>
      </w:r>
    </w:p>
    <w:p w14:paraId="748F0BE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第二百八十五条 【非法侵入计算机信息系统罪】违反国家规定，侵入国家事务、国防建设、尖端科学技术领域的计算机信息系统的，处三年以下有期徒刑或者拘役。</w:t>
      </w:r>
    </w:p>
    <w:p w14:paraId="2EC8F3A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非法获取计算机信息系统数据、非法控制计算机信息系统罪】违反国家规定，侵入前款规定以外的计算机信息系统或者采用其他技术手段，获取该计算机信息系统中存储、处理或者传输的数据，或者对该计算机信息系统实施非法控制，情节严重的，处三年以下有期徒刑或者拘役，并处或者单处罚金；情节特别严重的，处三年以上七年以下有期徒刑，并处罚金。</w:t>
      </w:r>
    </w:p>
    <w:p w14:paraId="6E388AB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提供侵入、非法控制计算机信息系统程序、工具罪】提供专门用于侵入、非法控制计算机信息系统的程序、工具，或者明知他人实施侵入、非法控制计算机信息系统的违法犯罪行为而为其提供程序、工具，情节严重的，依照前款的规定处罚。</w:t>
      </w:r>
    </w:p>
    <w:p w14:paraId="0A2E4CA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单位犯前三款罪的，对单位判处罚金，并对其直接负责的主管人员和其他直接责任人员，依照各该款的规定处罚。</w:t>
      </w:r>
    </w:p>
    <w:p w14:paraId="2D40335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第二百八十六条 【破坏计算机信息系统罪】违反国家规定，对计算机信息系统功能进行删除、修改、增加、干扰，造成计算机信息系统不能正常运行，后果严重的，处五年以下有期徒刑或者拘役；后果特别严重的，处五年以上有期徒刑。</w:t>
      </w:r>
    </w:p>
    <w:p w14:paraId="12FE1D5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违反国家规定，对计算机信息系统中存储、处理或者传输的数据和应用程序进行删除、修改、增加的操作，后果严重的，依照前款的规定处罚。</w:t>
      </w:r>
    </w:p>
    <w:p w14:paraId="39B88E2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故意制作、传播计算机病毒等破坏性程序，影响计算机系统正常运行，后果严</w:t>
      </w:r>
      <w:r>
        <w:rPr>
          <w:rFonts w:ascii="宋体" w:eastAsia="宋体" w:hAnsi="宋体" w:cs="宋体" w:hint="eastAsia"/>
          <w:sz w:val="24"/>
          <w:lang w:bidi="ar"/>
        </w:rPr>
        <w:lastRenderedPageBreak/>
        <w:t>重的，依照第一款的规定处罚。</w:t>
      </w:r>
    </w:p>
    <w:p w14:paraId="7832A8E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单位犯前三款罪的，对单位判处罚金，并对其直接负责的主管人员和其他直接责任人员，依照第一款的规定处罚。</w:t>
      </w:r>
    </w:p>
    <w:p w14:paraId="4A85FF2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第二百八十六条之一 【拒不履行信息网络安全管理义务罪】网络服务提供者不履行法律、行政法规规定的信息网络安全管理义务，经监管部门责令采取改正措施而拒不改正，有下列情形之一的，处三年以下有期徒刑、拘役或者管制，并处或者单处罚金：</w:t>
      </w:r>
    </w:p>
    <w:p w14:paraId="119B652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（一）致使违法信息大量传播的；</w:t>
      </w:r>
    </w:p>
    <w:p w14:paraId="118429B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（二）致使用户信息泄露，造成严重后果的；</w:t>
      </w:r>
    </w:p>
    <w:p w14:paraId="1640185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（三）致使刑事案件证据灭失，情节严重的；</w:t>
      </w:r>
    </w:p>
    <w:p w14:paraId="33F2551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（四）有其他严重情节的。</w:t>
      </w:r>
    </w:p>
    <w:p w14:paraId="72B70F8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73DB5C0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有前两款行为，同时构成其他犯罪的，依照处罚较重的规定定罪处罚。</w:t>
      </w:r>
    </w:p>
    <w:p w14:paraId="4167269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第二百八十七条 【利用计算机实施犯罪的提示性规定】利用计算机实施金融诈骗、盗窃、贪污、挪用公款、窃取国家秘密或者其他犯罪的，依照本法有关规定定罪处罚。</w:t>
      </w:r>
    </w:p>
    <w:p w14:paraId="2D3FDD1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第二百八十七条之一 【非法利用信息网络罪】利用信息网络实施下列行为之一，情节严重的，处三年以下有期徒刑或者拘役，并处或者单处罚金：</w:t>
      </w:r>
    </w:p>
    <w:p w14:paraId="0611E00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（一）设立用于实施诈骗、传授犯罪方法、制作或者销售违禁物品、管制物品等违法犯罪活动的网站、通讯群组的；</w:t>
      </w:r>
    </w:p>
    <w:p w14:paraId="76CD0FA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（二）发布有关制作或者销售毒品、枪支、淫秽物品等违禁物品、管制物品或者其他违法犯罪信息的；</w:t>
      </w:r>
    </w:p>
    <w:p w14:paraId="33DDD3E8" w14:textId="77777777" w:rsidR="00F50CD8" w:rsidRDefault="00000000">
      <w:pPr>
        <w:autoSpaceDE w:val="0"/>
        <w:spacing w:afterLines="50" w:after="156" w:line="360" w:lineRule="auto"/>
        <w:ind w:firstLineChars="200" w:firstLine="480"/>
        <w:outlineLvl w:val="2"/>
        <w:rPr>
          <w:rFonts w:ascii="宋体" w:eastAsia="宋体" w:hAnsi="宋体" w:cs="宋体" w:hint="eastAsia"/>
          <w:sz w:val="24"/>
        </w:rPr>
      </w:pPr>
      <w:r>
        <w:rPr>
          <w:rFonts w:ascii="宋体" w:eastAsia="宋体" w:hAnsi="宋体" w:cs="宋体" w:hint="eastAsia"/>
          <w:sz w:val="24"/>
          <w:lang w:bidi="ar"/>
        </w:rPr>
        <w:lastRenderedPageBreak/>
        <w:t>（三）为实施诈骗等违法犯罪活动发布信息的。</w:t>
      </w:r>
    </w:p>
    <w:p w14:paraId="6017302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单位犯前款罪的，对单位判处罚金，并对其直接负责的主管人员和其他直接责任人员，依照第一款的规定处罚。</w:t>
      </w:r>
    </w:p>
    <w:p w14:paraId="749EAC2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有前两款行为，同时构成其他犯罪的，依照处罚较重的规定定罪处罚。</w:t>
      </w:r>
    </w:p>
    <w:p w14:paraId="063EE3D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第二百八十七条之二 【帮助信息网络犯罪活动罪】明知他人利用信息网络实施犯罪，为其犯罪提供互联网接入、服务器托管、网络存储、通讯传输等技术支持，或者提供广告推广、支付结算等帮助，情节严重的，处三年以下有期徒刑或者拘役，并处或者单处罚金。</w:t>
      </w:r>
    </w:p>
    <w:p w14:paraId="35B7148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单位犯前款罪的，对单位判处罚金，并对其直接负责的主管人员和其他直接责任人员，依照第一款的规定处罚。</w:t>
      </w:r>
    </w:p>
    <w:p w14:paraId="4B9A868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有前两款行为，同时构成其他犯罪的，依照处罚较重的规定定罪处罚。</w:t>
      </w:r>
    </w:p>
    <w:p w14:paraId="0228F2C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第二百八十八条 【扰乱无线电通讯管理秩序罪】违反国家规定，擅自设置、使用无线电台（站），或者擅自使用无线电频率，干扰无线电通讯秩序，情节严重的，处三年以下有期徒刑、拘役或者管制，并处或者单处罚金；情节特别严重的，处三年以上七年以下有期徒刑，并处罚金。</w:t>
      </w:r>
    </w:p>
    <w:p w14:paraId="77F71D3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5E291ED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第二百八十九条 【故意伤害罪】【故意杀人罪】【抢劫罪】聚众“打砸抢”，致人伤残、死亡的，依照本法第二百三十四条、第二百三十二条的规定定罪处罚。毁坏或者抢走公私财物的，除判令退赔外，对首要分子，依照本法第二百六十三条的规定定罪处罚。</w:t>
      </w:r>
    </w:p>
    <w:p w14:paraId="6A91676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第二百九十条 【聚众扰乱社会秩序罪】聚众扰乱社会秩序，情节严重，致使工作、生产、营业和教学、科研、医疗无法进行，造成严重损失的，对首要分子，处三年以上七年以下有期徒刑；对其他积极参加的，处三年以下有期徒刑、拘役、管</w:t>
      </w:r>
      <w:r>
        <w:rPr>
          <w:rFonts w:ascii="宋体" w:eastAsia="宋体" w:hAnsi="宋体" w:cs="宋体" w:hint="eastAsia"/>
          <w:sz w:val="24"/>
          <w:lang w:bidi="ar"/>
        </w:rPr>
        <w:lastRenderedPageBreak/>
        <w:t>制或者剥夺政治权利。</w:t>
      </w:r>
    </w:p>
    <w:p w14:paraId="673A102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聚众冲击国家机关罪】聚众冲击国家机关，致使国家机关工作无法进行，造成严重损失的，对首要分子，处五年以上十年以下有期徒刑；对其他积极参加的，处五年以下有期徒刑、拘役、管制或者剥夺政治权利。</w:t>
      </w:r>
    </w:p>
    <w:p w14:paraId="398A613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【扰乱国家机关工作秩序罪】多次扰乱国家机关工作秩序，经行政处罚后仍不改正，造成严重后果的，处三年以下有期徒刑、拘役或者管制。</w:t>
      </w:r>
    </w:p>
    <w:p w14:paraId="0CBF510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【组织、资助非法聚集罪】多次组织、资助他人非法聚集，扰乱社会秩序，情节严重的，依照前款的规定处罚。</w:t>
      </w:r>
    </w:p>
    <w:p w14:paraId="2294EE5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第二百九十一条 【聚众扰乱公共场所秩序、交通秩序罪】聚众扰乱车站、码头、民用航空站、商场、公园、影剧院、展览会、运动场或者其他公共场所秩序，聚众堵塞交通或者破坏交通秩序，抗拒、阻碍国家治安管理工作人员依法执行职务，情节严重的，对首要分子，处五年以下有期徒刑、拘役或者管制。</w:t>
      </w:r>
    </w:p>
    <w:p w14:paraId="46881CD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第二百九十一条之一 【投放虚假危险物质罪】【编造、故意传播虚假恐怖信息罪】投放虚假的爆炸性、毒害性、放射性、传染病病原体等物质，或者编造爆炸威胁、生化威胁、放射威胁等恐怖信息，或者明知是编造的恐怖信息而故意传播，严重扰乱社会秩序的，处五年以下有期徒刑、拘役或者管制；造成严重后果的，处五年以上有期徒刑。</w:t>
      </w:r>
    </w:p>
    <w:p w14:paraId="6EC6C4B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编造、故意传播虚假信息罪】编造虚假的险情、疫情、灾情、警情，在信息网络或者其他媒体上传播，或者明知是上述虚假信息，故意在信息网络或者其他媒体上传播，严重扰乱社会秩序的，处三年以下有期徒刑、拘役或者管制；造成严重后果的，处三年以上七年以下有期徒刑。</w:t>
      </w:r>
    </w:p>
    <w:p w14:paraId="5A754FD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第二百九十一条之二 【高空抛物罪】从建筑物或者其他高空抛掷物品，情节严重的，处一年以下有期徒刑、拘役或者管制，并处或者单处罚金。</w:t>
      </w:r>
    </w:p>
    <w:p w14:paraId="618496C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有前款行为，同时构成其他犯罪的，依照处罚较重的规定定罪处罚。</w:t>
      </w:r>
    </w:p>
    <w:p w14:paraId="3699994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第二百九十二条 【聚众斗殴罪】聚众斗殴的，对首要分子和其他积极参加的，处三年以下有期徒刑、拘役或者管制；有下列情形之一的，对首要分子和其他积极参加的，处三年以上十年以下有期徒刑：</w:t>
      </w:r>
    </w:p>
    <w:p w14:paraId="3D990C3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（一）多次聚众斗殴的；</w:t>
      </w:r>
    </w:p>
    <w:p w14:paraId="3377276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（二）聚众斗殴人数多，规模大，社会影响恶劣的；</w:t>
      </w:r>
    </w:p>
    <w:p w14:paraId="7D303AF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（三）在公共场所或者交通要道聚众斗殴，造成社会秩序严重混乱的；</w:t>
      </w:r>
    </w:p>
    <w:p w14:paraId="3E5302A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（四）持械聚众斗殴的。</w:t>
      </w:r>
    </w:p>
    <w:p w14:paraId="119A84E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【故意伤害罪】【故意杀人罪】聚众斗殴，致人重伤、死亡的，依照本法第二百三十四条、第二百三十二条的规定定罪处罚。</w:t>
      </w:r>
    </w:p>
    <w:p w14:paraId="6FE8AA5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第二百九十三条 【寻衅滋事罪】有下列寻衅滋事行为之一，破坏社会秩序的，处五年以下有期徒刑、拘役或者管制：</w:t>
      </w:r>
    </w:p>
    <w:p w14:paraId="4BDCB0F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（一）随意殴打他人，情节恶劣的；</w:t>
      </w:r>
    </w:p>
    <w:p w14:paraId="6C7CCA7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（二）追逐、拦截、辱骂、恐吓他人，情节恶劣的；</w:t>
      </w:r>
    </w:p>
    <w:p w14:paraId="0A702AE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（三）强拿硬要或者任意损毁、占用公私财物，情节严重的；</w:t>
      </w:r>
    </w:p>
    <w:p w14:paraId="0C2B649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（四）在公共场所起哄闹事，造成公共场所秩序严重混乱的。</w:t>
      </w:r>
    </w:p>
    <w:p w14:paraId="77BEF24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纠集他人多次实施前款行为，严重破坏社会秩序的，处五年以上十年以下有期徒刑，可以并处罚金。</w:t>
      </w:r>
    </w:p>
    <w:p w14:paraId="7361B6E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第二百九十三条之一 【催收非法债务罪】有下列情形之一，催收高利放贷等产生的非法债务，情节严重的，处三年以下有期徒刑、拘役或者管制，并处或者单处罚金：</w:t>
      </w:r>
    </w:p>
    <w:p w14:paraId="06B2BAC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（一）使用暴力、胁迫方法的；</w:t>
      </w:r>
    </w:p>
    <w:p w14:paraId="11B4055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（二）限制他人人身自由或者侵入他人住宅的；</w:t>
      </w:r>
    </w:p>
    <w:p w14:paraId="423D920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（三）恐吓、跟踪、骚扰他人的。</w:t>
      </w:r>
    </w:p>
    <w:p w14:paraId="4F18E67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第二百九十四条 【组织、领导、参加黑社会性质组织罪】组织、领导黑社会性质的组织的，处七年以上有期徒刑，并处没收财产；积极参加的，处三年以上七年以下有期徒刑，可以并处罚金或者没收财产；其他参加的，处三年以下有期徒刑、拘役、管制或者剥夺政治权利，可以并处罚金。</w:t>
      </w:r>
    </w:p>
    <w:p w14:paraId="094D889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【入境发展黑社会组织罪】境外的黑社会组织的人员到中华人民共和国境内发展组织成员的，处三年以上十年以下有期徒刑。</w:t>
      </w:r>
    </w:p>
    <w:p w14:paraId="7E7D04C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【包庇、纵容黑社会性质组织罪】国家机关工作人员包庇黑社会性质的组织，或者纵容黑社会性质的组织进行违法犯罪活动的，处五年以下有期徒刑；情节严重的，处五年以上有期徒刑。</w:t>
      </w:r>
    </w:p>
    <w:p w14:paraId="1D2C576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犯前三款罪又有其他犯罪行为的，依照数罪并罚的规定处罚。</w:t>
      </w:r>
    </w:p>
    <w:p w14:paraId="4921C47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黑社会性质的组织应当同时具备以下特征：</w:t>
      </w:r>
    </w:p>
    <w:p w14:paraId="2F7BC07C" w14:textId="77777777" w:rsidR="00F50CD8" w:rsidRDefault="00000000">
      <w:pPr>
        <w:autoSpaceDE w:val="0"/>
        <w:spacing w:afterLines="50" w:after="156" w:line="360" w:lineRule="auto"/>
        <w:ind w:firstLineChars="200" w:firstLine="480"/>
        <w:outlineLvl w:val="2"/>
        <w:rPr>
          <w:rFonts w:ascii="宋体" w:eastAsia="宋体" w:hAnsi="宋体" w:cs="宋体" w:hint="eastAsia"/>
          <w:sz w:val="24"/>
        </w:rPr>
      </w:pPr>
      <w:r>
        <w:rPr>
          <w:rFonts w:ascii="宋体" w:eastAsia="宋体" w:hAnsi="宋体" w:cs="宋体" w:hint="eastAsia"/>
          <w:sz w:val="24"/>
          <w:lang w:bidi="ar"/>
        </w:rPr>
        <w:t>（一）形成较稳定的犯罪组织，人数较多，有明确的组织者、领导者，骨干成员基本固定；</w:t>
      </w:r>
    </w:p>
    <w:p w14:paraId="39941D0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（二）有组织地通过违法犯罪活动或者其他手段获取经济利益，具有一定的经济实力，以支持该组织的活动；</w:t>
      </w:r>
    </w:p>
    <w:p w14:paraId="022B6AE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（三）以暴力、威胁或者其他手段，有组织地多次进行违法犯罪活动，为非作恶，欺压、残害群众；</w:t>
      </w:r>
    </w:p>
    <w:p w14:paraId="56B1822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（四）通过实施违法犯罪活动，或者利用国家工作人员的包庇或者纵容，称霸一方，在一定区域或者行业内，形成非法控制或者重大影响，严重破坏经济、社会生活秩序。</w:t>
      </w:r>
    </w:p>
    <w:p w14:paraId="72D9EDC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第二百九十五条 【传授犯罪方法罪】传授犯罪方法的，处五年以下有期徒刑、拘役或者管制；情节严重的，处五年以上十年以下有期徒刑；情节特别严重的，处十年以上有期徒刑或者无期徒刑。</w:t>
      </w:r>
    </w:p>
    <w:p w14:paraId="2D83C83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第二百九十六条 【非法集会、游行、示威罪】举行集会、游行、示威，未依照法律规定申请或者申请未获许可，或者未按照主管机关许可的起止时间、地点、路线进行，又拒不服从解散命令，严重破坏社会秩序的，对集会、游行、示威的负责人和直接责任人员，处五年以下有期徒刑、拘役、管制或者剥夺政治权利。</w:t>
      </w:r>
    </w:p>
    <w:p w14:paraId="33A455B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第二百九十七条 【非法携带武器、管制刀具、爆炸物参加集会、游行、示威罪】违反法律规定，携带武器、管制刀具或者爆炸物参加集会、游行、示威的，处三年以下有期徒刑、拘役、管制或者剥夺政治权利。</w:t>
      </w:r>
    </w:p>
    <w:p w14:paraId="4279641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第二百九十八条 【破坏集会、游行、示威罪】扰乱、冲击或者以其他方法破坏依法举行的集会、游行、示威，造成公共秩序混乱的，处五年以下有期徒刑、拘役、管制或者剥夺政治权利。</w:t>
      </w:r>
    </w:p>
    <w:p w14:paraId="46017D9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第二百九十九条 【侮辱国旗、国徽、国歌罪】在公共场合，故意以焚烧、毁损、涂划、玷污、践踏等方式侮辱中华人民共和国国旗、国徽的，处三年以下有期徒刑、拘役、管制或者剥夺政治权利。</w:t>
      </w:r>
    </w:p>
    <w:p w14:paraId="423B6B9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在公共场合，故意篡改中华人民共和国国歌歌词、曲谱，以歪曲、贬损方式奏唱国歌，或者以其他方式侮辱国歌，情节严重的，依照前款的规定处罚。</w:t>
      </w:r>
    </w:p>
    <w:p w14:paraId="7C9B24A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第二百九十九条之一 【侵害英雄烈士名誉、荣誉罪】侮辱、诽谤或者以其他方式侵害英雄烈士的名誉、荣誉，损害社会公共利益，情节严重的，处三年以下有期徒刑、拘役、管制或者剥夺政治权利。</w:t>
      </w:r>
    </w:p>
    <w:p w14:paraId="66D9AEE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第三百条 【组织、利用会道门、邪教组织、利用迷信破坏法律实施罪】组织、利用会道门、邪教组织或者利用迷信破坏国家法律、行政法规实施的，处三年以上七年以下有期徒刑，并处罚金；情节特别严重的，处七年以上有期徒刑或者无期徒刑，并处罚金或者没收财产；情节较轻的，处三年以下有期徒刑、拘役、管制或者剥夺政治权利，并处或者单处罚金。</w:t>
      </w:r>
    </w:p>
    <w:p w14:paraId="4817893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【组织、利用会道门、邪教组织、利用迷信致人重伤、死亡罪】组织、利用会道门、邪教组织或者利用迷信蒙骗他人，致人重伤、死亡的，依照前款的规定处罚。</w:t>
      </w:r>
    </w:p>
    <w:p w14:paraId="49F6FC4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犯第一款罪又有奸淫妇女、诈骗财物等犯罪行为的，依照数罪并罚的规定处罚。</w:t>
      </w:r>
    </w:p>
    <w:p w14:paraId="2338598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第三百零一条 【聚众淫乱罪】聚众进行淫乱活动的，对首要分子或者多次参加的，处五年以下有期徒刑、拘役或者管制。</w:t>
      </w:r>
    </w:p>
    <w:p w14:paraId="43D04D7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【引诱未成年人聚众淫乱罪】引诱未成年人参加聚众淫乱活动的，依照前款的规定从重处罚。</w:t>
      </w:r>
    </w:p>
    <w:p w14:paraId="2937AC0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第三百零二条 【盗窃、侮辱、故意毁坏尸体、尸骨、骨灰罪】盗窃、侮辱、故意毁坏尸体、尸骨、骨灰的，处三年以下有期徒刑、拘役或者管制。</w:t>
      </w:r>
    </w:p>
    <w:p w14:paraId="57CEBF4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第三百零三条 【赌博罪】以营利为目的，聚众赌博或者以赌博为业的，处三年以下有期徒刑、拘役或者管制，并处罚金。</w:t>
      </w:r>
    </w:p>
    <w:p w14:paraId="318C54D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【开设赌场罪】开设赌场的，处五年以下有期徒刑、拘役或者管制，并处罚金；情节严重的，处五年以上十年以下有期徒刑，并处罚金。</w:t>
      </w:r>
    </w:p>
    <w:p w14:paraId="6F9EA9D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【组织参与国（境）外赌博罪】组织中华人民共和国公民参与国（境）外赌博，数额巨大或者有其他严重情节的，依照前款的规定处罚。</w:t>
      </w:r>
    </w:p>
    <w:p w14:paraId="34E6AE1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第三百零四条 【故意延误投递邮件罪】邮政工作人员严重不负责任，故意延误投递邮件，致使公共财产、国家和人民利益遭受重大损失的，处二年以下有期徒刑或者拘役。</w:t>
      </w:r>
    </w:p>
    <w:p w14:paraId="10B1947B"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第二节 妨害司法罪</w:t>
      </w:r>
    </w:p>
    <w:p w14:paraId="0799EA4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第三百零五条 【伪证罪】在刑事诉讼中，证人、鉴定人、记录人、翻译人对与案件有重要关系的情节，故意作虚假证明、鉴定、记录、翻译，意图陷害他人或者隐匿罪证的，处三年以下有期徒刑或者拘役；情节严重的，处三年以上七年以下有期徒刑。</w:t>
      </w:r>
    </w:p>
    <w:p w14:paraId="36BD9D7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第三百零六条 【辩护人、诉讼代理人毁灭证据、伪造证据、妨害作证罪】在刑事诉讼中，辩护人、诉讼代理人毁灭、伪造证据，帮助当事人毁灭、伪造证据，威胁、引诱证人违背事实改变证言或者作伪证的，处三年以下有期徒刑或者拘役；情</w:t>
      </w:r>
      <w:r>
        <w:rPr>
          <w:rFonts w:ascii="宋体" w:eastAsia="宋体" w:hAnsi="宋体" w:cs="宋体" w:hint="eastAsia"/>
          <w:sz w:val="24"/>
          <w:lang w:bidi="ar"/>
        </w:rPr>
        <w:lastRenderedPageBreak/>
        <w:t>节严重的，处三年以上七年以下有期徒刑。</w:t>
      </w:r>
    </w:p>
    <w:p w14:paraId="234E480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辩护人、诉讼代理人提供、出示、引用的证人证言或者其他证据失实，不是有意伪造的，不属于伪造证据。</w:t>
      </w:r>
    </w:p>
    <w:p w14:paraId="0D2EFD8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第三百零七条 【妨害作证罪】以暴力、威胁、贿买等方法阻止证人作证或者指使他人作伪证的，处三年以下有期徒刑或者拘役；情节严重的，处三年以上七年以下有期徒刑。</w:t>
      </w:r>
    </w:p>
    <w:p w14:paraId="5EC1FA7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【帮助毁灭、伪造证据罪】帮助当事人毁灭、伪造证据，情节严重的，处三年以下有期徒刑或者拘役。</w:t>
      </w:r>
    </w:p>
    <w:p w14:paraId="52B284D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司法工作人员犯前两款罪的，从重处罚。</w:t>
      </w:r>
    </w:p>
    <w:p w14:paraId="259E1AB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第三百零七条之一 【虚假诉讼罪】以捏造的事实提起民事诉讼，妨害司法秩序或者严重侵害他人合法权益的，处三年以下有期徒刑、拘役或者管制，并处或者单处罚金；情节严重的，处三年以上七年以下有期徒刑，并处罚金。</w:t>
      </w:r>
    </w:p>
    <w:p w14:paraId="3D74DC8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473D7B1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有第一款行为，非法占有他人财产或者逃避合法债务，又构成其他犯罪的，依照处罚较重的规定定罪从重处罚。</w:t>
      </w:r>
    </w:p>
    <w:p w14:paraId="1CA7FCD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司法工作人员利用职权，与他人共同实施前三款行为的，从重处罚；同时构成其他犯罪的，依照处罚较重的规定定罪从重处罚。</w:t>
      </w:r>
    </w:p>
    <w:p w14:paraId="739BBBF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第三百零八条 【打击报复证人罪】对证人进行打击报复的，处三年以下有期徒刑或者拘役；情节严重的，处三年以上七年以下有期徒刑。</w:t>
      </w:r>
    </w:p>
    <w:p w14:paraId="3887CAB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第三百零八条之一 【泄露不应公开的案件信息罪】司法工作人员、辩护人、诉讼代理人或者其他诉讼参与人，泄露依法不公开审理的案件中不应当公开的信息，造成信息公开传播或者其他严重后果的，处三年以下有期徒刑、拘役或者管制，并处或者单处罚金。</w:t>
      </w:r>
    </w:p>
    <w:p w14:paraId="4C79181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【故意泄露国家秘密罪】【过失泄露国家秘密罪】有前款行为，泄露国家秘密的，依照本法第三百九十八条的规定定罪处罚。</w:t>
      </w:r>
    </w:p>
    <w:p w14:paraId="5C9EE28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【披露、报道不应公开的案件信息罪】公开披露、报道第一款规定的案件信息，情节严重的，依照第一款的规定处罚。</w:t>
      </w:r>
    </w:p>
    <w:p w14:paraId="5664642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单位犯前款罪的，对单位判处罚金，并对其直接负责的主管人员和其他直接责任人员，依照第一款的规定处罚。</w:t>
      </w:r>
    </w:p>
    <w:p w14:paraId="646203B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第三百零九条 【扰乱法庭秩序罪】有下列扰乱法庭秩序情形之一的，处三年以下有期徒刑、拘役、管制或者罚金：</w:t>
      </w:r>
    </w:p>
    <w:p w14:paraId="1F35EA3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（一）聚众哄闹、冲击法庭的；</w:t>
      </w:r>
    </w:p>
    <w:p w14:paraId="7265F15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（二）殴打司法工作人员或者诉讼参与人的；</w:t>
      </w:r>
    </w:p>
    <w:p w14:paraId="4BE7FEB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（三）侮辱、诽谤、威胁司法工作人员或者诉讼参与人，不听法庭制止，严重扰乱法庭秩序的；</w:t>
      </w:r>
    </w:p>
    <w:p w14:paraId="1E231B7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（四）有毁坏法庭设施，抢夺、损毁诉讼文书、证据等扰乱法庭秩序行为，情节严重的。</w:t>
      </w:r>
    </w:p>
    <w:p w14:paraId="43E1FA3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第三百一十条 【窝藏、包庇罪】明知是犯罪的人而为其提供隐藏处所、财物，帮助其逃匿或者作假证明包庇的，处三年以下有期徒刑、拘役或者管制；情节严重的，处三年以上十年以下有期徒刑。</w:t>
      </w:r>
    </w:p>
    <w:p w14:paraId="4F4953E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犯前款罪，事前通谋的，以共同犯罪论处。</w:t>
      </w:r>
    </w:p>
    <w:p w14:paraId="4B2537D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第三百一十一条 【拒绝提供间谍犯罪、恐怖主义犯罪、极端主义犯罪证据罪】明知他人有间谍犯罪或者恐怖主义、极端主义犯罪行为，在司法机关向其调查有关情况、收集有关证据时，拒绝提供，情节严重的，处三年以下有期徒刑、拘役或者管制。</w:t>
      </w:r>
    </w:p>
    <w:p w14:paraId="6DDBE1E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第三百一十二条 【掩饰、隐瞒犯罪所得、犯罪所得收益罪】明知是犯罪所得及其产生的收益而予以窝藏、转移、收购、代为销售或者以其他方法掩饰、隐瞒的，</w:t>
      </w:r>
      <w:r>
        <w:rPr>
          <w:rFonts w:ascii="宋体" w:eastAsia="宋体" w:hAnsi="宋体" w:cs="宋体" w:hint="eastAsia"/>
          <w:sz w:val="24"/>
          <w:lang w:bidi="ar"/>
        </w:rPr>
        <w:lastRenderedPageBreak/>
        <w:t>处三年以下有期徒刑、拘役或者管制，并处或者单处罚金；情节严重的，处三年以上七年以下有期徒刑，并处罚金。</w:t>
      </w:r>
    </w:p>
    <w:p w14:paraId="27777BD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2DD5F3A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第三百一十三条 【拒不执行判决、裁定罪】对人民法院的判决、裁定有能力执行而拒不执行，情节严重的，处三年以下有期徒刑、拘役或者罚金；情节特别严重的，处三年以上七年以下有期徒刑，并处罚金。</w:t>
      </w:r>
    </w:p>
    <w:p w14:paraId="03F0B7F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44CD587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第三百一十四条 【非法处置查封、扣押、冻结的财产罪】隐藏、转移、变卖、故意毁损已被司法机关查封、扣押、冻结的财产，情节严重的，处三年以下有期徒刑、拘役或者罚金。</w:t>
      </w:r>
    </w:p>
    <w:p w14:paraId="14C7A4C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第三百一十五条 【破坏监管秩序罪】依法被关押的罪犯，有下列破坏监管秩序行为之一，情节严重的，处三年以下有期徒刑：</w:t>
      </w:r>
    </w:p>
    <w:p w14:paraId="4A08133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（一）殴打监管人员的；</w:t>
      </w:r>
    </w:p>
    <w:p w14:paraId="32D6316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（二）组织其他被监管人破坏监管秩序的；</w:t>
      </w:r>
    </w:p>
    <w:p w14:paraId="5E31D8A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（三）聚众闹事，扰乱正常监管秩序的；</w:t>
      </w:r>
    </w:p>
    <w:p w14:paraId="3951DDF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（四）殴打、体罚或者指使他人殴打、体罚其他被监管人的。</w:t>
      </w:r>
    </w:p>
    <w:p w14:paraId="14BCBE9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第三百一十六条 【脱逃罪】依法被关押的罪犯、被告人、犯罪嫌疑人脱逃的，处五年以下有期徒刑或者拘役。</w:t>
      </w:r>
    </w:p>
    <w:p w14:paraId="27E7B43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【劫夺被押解人员罪】劫夺押解途中的罪犯、被告人、犯罪嫌疑人的，处三年以上七年以下有期徒刑；情节严重的，处七年以上有期徒刑。</w:t>
      </w:r>
    </w:p>
    <w:p w14:paraId="7EF97F4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第三百一十七条 【组织越狱罪】组织越狱的首要分子和积极参加的，处五年以</w:t>
      </w:r>
      <w:r>
        <w:rPr>
          <w:rFonts w:ascii="宋体" w:eastAsia="宋体" w:hAnsi="宋体" w:cs="宋体" w:hint="eastAsia"/>
          <w:sz w:val="24"/>
          <w:lang w:bidi="ar"/>
        </w:rPr>
        <w:lastRenderedPageBreak/>
        <w:t>上有期徒刑；其他参加的，处五年以下有期徒刑或者拘役。</w:t>
      </w:r>
    </w:p>
    <w:p w14:paraId="4494330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【暴动越狱罪】【聚众持械劫狱罪】暴动越狱或者聚众持械劫狱的首要分子和积极参加的，处十年以上有期徒刑或者无期徒刑；情节特别严重的，处死刑；其他参加的，处三年以上十年以下有期徒刑。</w:t>
      </w:r>
    </w:p>
    <w:p w14:paraId="0475D5BB"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第三节 妨害国（边）境管理罪</w:t>
      </w:r>
    </w:p>
    <w:p w14:paraId="3795200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第三百一十八条 【组织他人偷越国（边）境罪】组织他人偷越国（边）境的，处二年以上七年以下有期徒刑，并处罚金；有下列情形之一的，处七年以上有期徒刑或者无期徒刑，并处罚金或者没收财产：</w:t>
      </w:r>
    </w:p>
    <w:p w14:paraId="6EFA961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（一）组织他人偷越国（边）境集团的首要分子；</w:t>
      </w:r>
    </w:p>
    <w:p w14:paraId="1E5DD41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（二）多次组织他人偷越国（边）境或者组织他人偷越国（边）境人数众多的；</w:t>
      </w:r>
    </w:p>
    <w:p w14:paraId="109F46D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（三）造成被组织人重伤、死亡的；</w:t>
      </w:r>
    </w:p>
    <w:p w14:paraId="496E361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（四）剥夺或者限制被组织人人身自由的；</w:t>
      </w:r>
    </w:p>
    <w:p w14:paraId="241E1E3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（五）以暴力、威胁方法抗拒检查的；</w:t>
      </w:r>
    </w:p>
    <w:p w14:paraId="3279381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（六）违法所得数额巨大的；</w:t>
      </w:r>
    </w:p>
    <w:p w14:paraId="6F69684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（七）有其他特别严重情节的。</w:t>
      </w:r>
    </w:p>
    <w:p w14:paraId="39D14B4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犯前款罪，对被组织人有杀害、伤害、强奸、拐卖等犯罪行为，或者对检查人员有杀害、伤害等犯罪行为的，依照数罪并罚的规定处罚。</w:t>
      </w:r>
    </w:p>
    <w:p w14:paraId="2D4279C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第三百一十九条 【骗取出境证件罪】以劳务输出、经贸往来或者其他名义，弄虚作假，骗取护照、签证等出境证件，为组织他人偷越国（边）境使用的，处三年以下有期徒刑，并处罚金；情节严重的，处三年以上十年以下有期徒刑，并处罚金。</w:t>
      </w:r>
    </w:p>
    <w:p w14:paraId="6A459E1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0BCF461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第三百二十条 【提供伪造、变造的出入境证件罪】【出售出入境证件罪】为他</w:t>
      </w:r>
      <w:r>
        <w:rPr>
          <w:rFonts w:ascii="宋体" w:eastAsia="宋体" w:hAnsi="宋体" w:cs="宋体" w:hint="eastAsia"/>
          <w:sz w:val="24"/>
          <w:lang w:bidi="ar"/>
        </w:rPr>
        <w:lastRenderedPageBreak/>
        <w:t>人提供伪造、变造的护照、签证等出入境证件，或者出售护照、签证等出入境证件的，处五年以下有期徒刑，并处罚金；情节严重的，处五年以上有期徒刑，并处罚金。</w:t>
      </w:r>
    </w:p>
    <w:p w14:paraId="29C13A8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第三百二十一条 【运送他人偷越国（边）境罪】运送他人偷越国（边）境的，处五年以下有期徒刑、拘役或者管制，并处罚金；有下列情形之一的，处五年以上十年以下有期徒刑，并处罚金：</w:t>
      </w:r>
    </w:p>
    <w:p w14:paraId="74EFE44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（一）多次实施运送行为或者运送人数众多的；</w:t>
      </w:r>
    </w:p>
    <w:p w14:paraId="321636D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（二）所使用的船只、车辆等交通工具不具备必要的安全条件，足以造成严重后果的；</w:t>
      </w:r>
    </w:p>
    <w:p w14:paraId="19429A1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（三）违法所得数额巨大的；</w:t>
      </w:r>
    </w:p>
    <w:p w14:paraId="2B1D4E5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（四）有其他特别严重情节的。</w:t>
      </w:r>
    </w:p>
    <w:p w14:paraId="1E5393C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在运送他人偷越国（边）境中造成被运送人重伤、死亡，或者以暴力、威胁方法抗拒检查的，处七年以上有期徒刑，并处罚金。</w:t>
      </w:r>
    </w:p>
    <w:p w14:paraId="075A401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犯前两款罪，对被运送人有杀害、伤害、强奸、拐卖等犯罪行为，或者对检查人员有杀害、伤害等犯罪行为的，依照数罪并罚的规定处罚。</w:t>
      </w:r>
    </w:p>
    <w:p w14:paraId="2C5AA98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第三百二十二条 【偷越国（边）境罪】违反国（边）境管理法规，偷越国（边）境，情节严重的，处一年以下有期徒刑、拘役或者管制，并处罚金；为参加恐怖活动组织、接受恐怖活动培训或者实施恐怖活动，偷越国（边）境的，处一年以上三年以下有期徒刑，并处罚金。</w:t>
      </w:r>
    </w:p>
    <w:p w14:paraId="2D263F5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第三百二十三条 【破坏界碑、界桩罪】【破坏永久性测量标志罪】故意破坏国家边境的界碑、界桩或者永久性测量标志的，处三年以下有期徒刑或者拘役。</w:t>
      </w:r>
    </w:p>
    <w:p w14:paraId="2F59A9C7"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第四节 妨害文物管理罪</w:t>
      </w:r>
    </w:p>
    <w:p w14:paraId="1DD30CB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第三百二十四条 【故意损毁文物罪】故意损毁国家保护的珍贵文物或者被确定为全国重点文物保护单位、省级文物保护单位的文物的，处三年以下有期徒刑或者</w:t>
      </w:r>
      <w:r>
        <w:rPr>
          <w:rFonts w:ascii="宋体" w:eastAsia="宋体" w:hAnsi="宋体" w:cs="宋体" w:hint="eastAsia"/>
          <w:sz w:val="24"/>
          <w:lang w:bidi="ar"/>
        </w:rPr>
        <w:lastRenderedPageBreak/>
        <w:t>拘役，并处或者单处罚金；情节严重的，处三年以上十年以下有期徒刑，并处罚金。</w:t>
      </w:r>
    </w:p>
    <w:p w14:paraId="449B7EA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【故意损毁名胜古迹罪】故意损毁国家保护的名胜古迹，情节严重的，处五年以下有期徒刑或者拘役，并处或者单处罚金。</w:t>
      </w:r>
    </w:p>
    <w:p w14:paraId="1C56B30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【过失损毁文物罪】过失损毁国家保护的珍贵文物或者被确定为全国重点文物保护单位、省级文物保护单位的文物，造成严重后果的，处三年以下有期徒刑或者拘役。</w:t>
      </w:r>
    </w:p>
    <w:p w14:paraId="451EA54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第三百二十五条 【非法向外国人出售、赠送珍贵文物罪】违反文物保护法规，将收藏的国家禁止出口的珍贵文物私自出售或者私自赠送给外国人的，处五年以下有期徒刑或者拘役，可以并处罚金。</w:t>
      </w:r>
    </w:p>
    <w:p w14:paraId="43B856A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11E25E0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第三百二十六条 【倒卖文物罪】以牟利为目的，倒卖国家禁止经营的文物，情节严重的，处五年以下有期徒刑或者拘役，并处罚金；情节特别严重的，处五年以上十年以下有期徒刑，并处罚金。</w:t>
      </w:r>
    </w:p>
    <w:p w14:paraId="343D0B7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24ED38B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第三百二十七条 【非法出售、私赠文物藏品罪】违反文物保护法规，国有博物馆、图书馆等单位将国家保护的文物藏品出售或者私自送给非国有单位或者个人的，对单位判处罚金，并对其直接负责的主管人员和其他直接责任人员，处三年以下有期徒刑或者拘役。</w:t>
      </w:r>
    </w:p>
    <w:p w14:paraId="3BA644B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第三百二十八条 【盗掘古文化遗址、古墓葬罪】盗掘具有历史、艺术、科学价值的古文化遗址、古墓葬的，处三年以上十年以下有期徒刑，并处罚金；情节较轻的，处三年以下有期徒刑、拘役或者管制，并处罚金；有下列情形之一的，处十年以上有期徒刑或者无期徒刑，并处罚金或者没收财产：</w:t>
      </w:r>
    </w:p>
    <w:p w14:paraId="74A7C23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（一）盗掘确定为全国重点文物保护单位和省级文物保护单位的古文化遗址、古墓葬的；</w:t>
      </w:r>
    </w:p>
    <w:p w14:paraId="62D3146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（二）盗掘古文化遗址、古墓葬集团的首要分子；</w:t>
      </w:r>
    </w:p>
    <w:p w14:paraId="56C335B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（三）多次盗掘古文化遗址、古墓葬的；</w:t>
      </w:r>
    </w:p>
    <w:p w14:paraId="19EFCBE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（四）盗掘古文化遗址、古墓葬，并盗窃珍贵文物或者造成珍贵文物严重破坏的。</w:t>
      </w:r>
    </w:p>
    <w:p w14:paraId="1F6F09E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【盗掘古人类化石、古脊椎动物化石罪】盗掘国家保护的具有科学价值的古人类化石和古脊椎动物化石的，依照前款的规定处罚。</w:t>
      </w:r>
    </w:p>
    <w:p w14:paraId="01DBD5B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第三百二十九条 【抢夺、窃取国有档案罪】抢夺、窃取国家所有的档案的，处五年以下有期徒刑或者拘役。</w:t>
      </w:r>
    </w:p>
    <w:p w14:paraId="69A2651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【擅自出卖、转让国有档案罪】违反档案法的规定，擅自出卖、转让国家所有的档案，情节严重的，处三年以下有期徒刑或者拘役。</w:t>
      </w:r>
    </w:p>
    <w:p w14:paraId="160CB8C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有前两款行为，同时又构成本法规定的其他犯罪的，依照处罚较重的规定定罪处罚。</w:t>
      </w:r>
    </w:p>
    <w:p w14:paraId="0119E5EB"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第五节 危害公共卫生罪</w:t>
      </w:r>
    </w:p>
    <w:p w14:paraId="5996154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第三百三十条 【妨害传染病防治罪】违反传染病防治法的规定，有下列情形之一，引起甲类传染病以及依法确定采取甲类传染病预防、控制措施的传染病传播或者有传播严重危险的，处三年以下有期徒刑或者拘役；后果特别严重的，处三年以上七年以下有期徒刑：</w:t>
      </w:r>
    </w:p>
    <w:p w14:paraId="6DBA30E2" w14:textId="77777777" w:rsidR="00F50CD8" w:rsidRDefault="00000000">
      <w:pPr>
        <w:autoSpaceDE w:val="0"/>
        <w:spacing w:afterLines="50" w:after="156" w:line="360" w:lineRule="auto"/>
        <w:ind w:firstLineChars="200" w:firstLine="480"/>
        <w:outlineLvl w:val="2"/>
        <w:rPr>
          <w:rFonts w:ascii="宋体" w:eastAsia="宋体" w:hAnsi="宋体" w:cs="宋体" w:hint="eastAsia"/>
          <w:sz w:val="24"/>
        </w:rPr>
      </w:pPr>
      <w:r>
        <w:rPr>
          <w:rFonts w:ascii="宋体" w:eastAsia="宋体" w:hAnsi="宋体" w:cs="宋体" w:hint="eastAsia"/>
          <w:sz w:val="24"/>
          <w:lang w:bidi="ar"/>
        </w:rPr>
        <w:t>（一）供水单位供应的饮用水不符合国家规定的卫生标准的；</w:t>
      </w:r>
    </w:p>
    <w:p w14:paraId="1AF2445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（二）拒绝按照疾病预防控制机构提出的卫生要求，对传染病病原体污染的污水、污物、场所和物品进行消毒处理的；</w:t>
      </w:r>
    </w:p>
    <w:p w14:paraId="5B34895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（三）准许或者纵容传染病病人、病原携带者和疑似传染病病人从事国务院卫</w:t>
      </w:r>
      <w:r>
        <w:rPr>
          <w:rFonts w:ascii="宋体" w:eastAsia="宋体" w:hAnsi="宋体" w:cs="宋体" w:hint="eastAsia"/>
          <w:sz w:val="24"/>
          <w:lang w:bidi="ar"/>
        </w:rPr>
        <w:lastRenderedPageBreak/>
        <w:t>生行政部门规定禁止从事的易使该传染病扩散的工作的；</w:t>
      </w:r>
    </w:p>
    <w:p w14:paraId="09865A6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（四）出售、运输疫区中被传染病病原体污染或者可能被传染病病原体污染的物品，未进行消毒处理的；</w:t>
      </w:r>
    </w:p>
    <w:p w14:paraId="0246DBF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（五）拒绝执行县级以上人民政府、疾病预防控制机构依照传染病防治法提出的预防、控制措施的。</w:t>
      </w:r>
    </w:p>
    <w:p w14:paraId="73705AB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3854A76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甲类传染病的范围，依照《中华人民共和国传染病防治法》和国务院有关规定确定。</w:t>
      </w:r>
    </w:p>
    <w:p w14:paraId="22A6D62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第三百三十一条 【传染病菌种、毒种扩散罪】从事实验、保藏、携带、运输传染病菌种、毒种的人员，违反国务院卫生行政部门的有关规定，造成传染病菌种、毒种扩散，后果严重的，处三年以下有期徒刑或者拘役；后果特别严重的，处三年以上七年以下有期徒刑。</w:t>
      </w:r>
    </w:p>
    <w:p w14:paraId="7571CDA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第三百三十二条 【妨害国境卫生检疫罪】违反国境卫生检疫规定，引起检疫传染病传播或者有传播严重危险的，处三年以下有期徒刑或者拘役，并处或者单处罚金。</w:t>
      </w:r>
    </w:p>
    <w:p w14:paraId="29EAC6A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2ED39F7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第三百三十三条 【非法组织卖血罪】【强迫卖血罪】非法组织他人出卖血液的，处五年以下有期徒刑，并处罚金；以暴力、威胁方法强迫他人出卖血液的，处五年以上十年以下有期徒刑，并处罚金。</w:t>
      </w:r>
    </w:p>
    <w:p w14:paraId="0798F41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【故意伤害罪】有前款行为，对他人造成伤害的，依照本法第二百三十四条的规定定罪处罚。</w:t>
      </w:r>
    </w:p>
    <w:p w14:paraId="11D9E79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第三百三十四条 【非法采集、供应血液、制作、供应血液制品罪】非法采集、</w:t>
      </w:r>
      <w:r>
        <w:rPr>
          <w:rFonts w:ascii="宋体" w:eastAsia="宋体" w:hAnsi="宋体" w:cs="宋体" w:hint="eastAsia"/>
          <w:sz w:val="24"/>
          <w:lang w:bidi="ar"/>
        </w:rPr>
        <w:lastRenderedPageBreak/>
        <w:t>供应血液或者制作、供应血液制品，不符合国家规定的标准，足以危害人体健康的，处五年以下有期徒刑或者拘役，并处罚金；对人体健康造成严重危害的，处五年以上十年以下有期徒刑，并处罚金；造成特别严重后果的，处十年以上有期徒刑或者无期徒刑，并处罚金或者没收财产。</w:t>
      </w:r>
    </w:p>
    <w:p w14:paraId="6F9714C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采集、供应血液、制作、供应血液制品事故罪】经国家主管部门批准采集、供应血液或者制作、供应血液制品的部门，不依照规定进行检测或者违背其他操作规定，造成危害他人身体健康后果的，对单位判处罚金，并对其直接负责的主管人员和其他直接责任人员，处五年以下有期徒刑或者拘役。</w:t>
      </w:r>
    </w:p>
    <w:p w14:paraId="1205E11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第三百三十四条之一 【非法采集人类遗传资源、走私人类遗传资源材料罪】违反国家有关规定，非法采集我国人类遗传资源或者非法运送、邮寄、携带我国人类遗传资源材料出境，危害公众健康或者社会公共利益，情节严重的，处三年以下有期徒刑、拘役或者管制，并处或者单处罚金；情节特别严重的，处三年以上七年以下有期徒刑，并处罚金。</w:t>
      </w:r>
    </w:p>
    <w:p w14:paraId="06997A3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第三百三十五条 【医疗事故罪】医务人员由于严重不负责任，造成就诊人死亡或者严重损害就诊人身体健康的，处三年以下有期徒刑或者拘役。</w:t>
      </w:r>
    </w:p>
    <w:p w14:paraId="48F151D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第三百三十六条 【非法行医罪】未取得医生执业资格的人非法行医，情节严重的，处三年以下有期徒刑、拘役或者管制，并处或者单处罚金；严重损害就诊人身体健康的，处三年以上十年以下有期徒刑，并处罚金；造成就诊人死亡的，处十年以上有期徒刑，并处罚金。</w:t>
      </w:r>
    </w:p>
    <w:p w14:paraId="6CDC724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非法进行节育手术罪】未取得医生执业资格的人擅自为他人进行节育复通手术、假节育手术、终止妊娠手术或者摘取宫内节育器，情节严重的，处三年以下有期徒刑、拘役或者管制，并处或者单处罚金；严重损害就诊人身体健康的，处三年以上十年以下有期徒刑，并处罚金；造成就诊人死亡的，处十年以上有期徒刑，并处罚金。</w:t>
      </w:r>
    </w:p>
    <w:p w14:paraId="6017EB5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第三百三十六条之一 【非法植入基因编辑、克隆胚胎罪】将基因编辑、克隆的</w:t>
      </w:r>
      <w:r>
        <w:rPr>
          <w:rFonts w:ascii="宋体" w:eastAsia="宋体" w:hAnsi="宋体" w:cs="宋体" w:hint="eastAsia"/>
          <w:sz w:val="24"/>
          <w:lang w:bidi="ar"/>
        </w:rPr>
        <w:lastRenderedPageBreak/>
        <w:t>人类胚胎植入人体或者动物体内，或者将基因编辑、克隆的动物胚胎植入人体内，情节严重的，处三年以下有期徒刑或者拘役，并处罚金；情节特别严重的，处三年以上七年以下有期徒刑，并处罚金。</w:t>
      </w:r>
    </w:p>
    <w:p w14:paraId="10AC96F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第三百三十七条 【妨害动植物防疫、检疫罪】违反有关动植物防疫、检疫的国家规定，引起重大动植物疫情的，或者有引起重大动植物疫情危险，情节严重的，处三年以下有期徒刑或者拘役，并处或者单处罚金。</w:t>
      </w:r>
    </w:p>
    <w:p w14:paraId="48284F3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4D73770D"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第六节 破坏环境资源保护罪</w:t>
      </w:r>
    </w:p>
    <w:p w14:paraId="61AAFC8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第三百三十八条 【污染环境罪】违反国家规定，排放、倾倒或者处置有放射性的废物、含传染病病原体的废物、有毒物质或者其他有害物质，严重污染环境的，处三年以下有期徒刑或者拘役，并处或者单处罚金；情节严重的，处三年以上七年以下有期徒刑，并处罚金；有下列情形之一的，处七年以上有期徒刑，并处罚金：</w:t>
      </w:r>
    </w:p>
    <w:p w14:paraId="77A763F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（一）在饮用水水源保护区、自然保护</w:t>
      </w:r>
      <w:proofErr w:type="gramStart"/>
      <w:r>
        <w:rPr>
          <w:rFonts w:ascii="宋体" w:eastAsia="宋体" w:hAnsi="宋体" w:cs="宋体" w:hint="eastAsia"/>
          <w:sz w:val="24"/>
          <w:lang w:bidi="ar"/>
        </w:rPr>
        <w:t>地核心</w:t>
      </w:r>
      <w:proofErr w:type="gramEnd"/>
      <w:r>
        <w:rPr>
          <w:rFonts w:ascii="宋体" w:eastAsia="宋体" w:hAnsi="宋体" w:cs="宋体" w:hint="eastAsia"/>
          <w:sz w:val="24"/>
          <w:lang w:bidi="ar"/>
        </w:rPr>
        <w:t>保护区等依法确定的重点保护区域排放、倾倒、处置有放射性的废物、含传染病病原体的废物、有毒物质，情节特别严重的；</w:t>
      </w:r>
    </w:p>
    <w:p w14:paraId="6BB3FF0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（二）向国家确定的重要江河、湖泊水域排放、倾倒、处置有放射性的废物、含传染病病原体的废物、有毒物质，情节特别严重的；</w:t>
      </w:r>
    </w:p>
    <w:p w14:paraId="734AD3C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（三）致使大量永久基本农田基本功能丧失或者遭受永久性破坏的；</w:t>
      </w:r>
    </w:p>
    <w:p w14:paraId="18AA7FD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（四）致使多人重伤、严重疾病，或者致人严重残疾、死亡的。</w:t>
      </w:r>
    </w:p>
    <w:p w14:paraId="5FF6FDC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有前款行为，同时构成其他犯罪的，依照处罚较重的规定定罪处罚。</w:t>
      </w:r>
    </w:p>
    <w:p w14:paraId="217358C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第三百三十九条 【非法处置进口的固体废物罪】违反国家规定，将境外的固体废物进境倾倒、堆放、处置的，处五年以下有期徒刑或者拘役，并处罚金；造成重大环境污染事故，致使公私财产遭受重大损失或者严重危害人体健康的，处五年以</w:t>
      </w:r>
      <w:r>
        <w:rPr>
          <w:rFonts w:ascii="宋体" w:eastAsia="宋体" w:hAnsi="宋体" w:cs="宋体" w:hint="eastAsia"/>
          <w:sz w:val="24"/>
          <w:lang w:bidi="ar"/>
        </w:rPr>
        <w:lastRenderedPageBreak/>
        <w:t>上十年以下有期徒刑，并处罚金；后果特别严重的，处十年以上有期徒刑，并处罚金。</w:t>
      </w:r>
    </w:p>
    <w:p w14:paraId="6121595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擅自进口固体废物罪】未经国务院有关主管部门许可，擅自进口固体废物用作原料，造成重大环境污染事故，致使公私财产遭受重大损失或者严重危害人体健康的，处五年以下有期徒刑或者拘役，并处罚金；后果特别严重的，处五年以上十年以下有期徒刑，并处罚金。</w:t>
      </w:r>
    </w:p>
    <w:p w14:paraId="576DBF1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【走私废物罪】以原料利用为名，进口不能用作原料的固体废物、液态废物和气态废物的，依照本法第一百五十二条第二款、第三款的规定定罪处罚。</w:t>
      </w:r>
    </w:p>
    <w:p w14:paraId="2848B6B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第三百四十条 【非法捕捞水产品罪】违反保护水产资源法规，在禁渔区、禁渔期或者使用禁用的工具、方法捕捞水产品，情节严重的，处三年以下有期徒刑、拘役、管制或者罚金。</w:t>
      </w:r>
    </w:p>
    <w:p w14:paraId="089555E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第三百四十一条 【危害珍贵、濒危野生动物罪】非法猎捕、杀害国家重点保护的珍贵、濒危野生动物的，或者非法收购、运输、出售国家重点保护的珍贵、濒危野生动物及其制品的，处五年以下有期徒刑或者拘役，并处罚金；情节严重的，处五年以上十年以下有期徒刑，并处罚金；情节特别严重的，处十年以上有期徒刑，并处罚金或者没收财产。</w:t>
      </w:r>
    </w:p>
    <w:p w14:paraId="640D623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【非法狩猎罪】违反狩猎法规，在禁猎区、禁猎期或者使用禁用的工具、方法进行狩猎，破坏野生动物资源，情节严重的，处三年以下有期徒刑、拘役、管制或者罚金。</w:t>
      </w:r>
    </w:p>
    <w:p w14:paraId="707D0BD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非法猎捕、收购、运输、出售陆生野生动物罪】违反野生动物保护管理法规，以食用为目的非法猎捕、收购、运输、出售第一款规定以外的在野外环境自然生长繁殖的陆生野生动物，情节严重的，依照前款的规定处罚。</w:t>
      </w:r>
    </w:p>
    <w:p w14:paraId="083C956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第三百四十二条 【非法占用农用地罪】违反土地管理法规，非法占用耕地、林地等农用地，改变被占用土地用途，数量较大，造成耕地、林地等农用地大量毁坏的，处五年以下有期徒刑或者拘役，并处或者单处罚金。</w:t>
      </w:r>
    </w:p>
    <w:p w14:paraId="173D010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第三百四十二条之一 【破坏自然保护地罪】违反自然保护地管理法规，在国家公园、国家级自然保护区进行开垦、开发活动或者修建建筑物，造成严重后果或者有其他恶劣情节的，处五年以下有期徒刑或者拘役，并处或者单处罚金。</w:t>
      </w:r>
    </w:p>
    <w:p w14:paraId="1A5CB37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有前款行为，同时构成其他犯罪的，依照处罚较重的规定定罪处罚。</w:t>
      </w:r>
    </w:p>
    <w:p w14:paraId="715CF0B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第三百四十三条 【非法采矿罪】违反矿产资源法的规定，未取得采矿许可证擅自采矿，擅自进入国家规划矿区、对国民经济具有重要价值的矿区和他人矿区范围采矿，或者擅自开采国家规定实行保护性开采的特定矿种，情节严重的，处三年以下有期徒刑、拘役或者管制，并处或者单处罚金；情节特别严重的，处三年以上七年以下有期徒刑，并处罚金。</w:t>
      </w:r>
    </w:p>
    <w:p w14:paraId="158B36D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【破坏性采矿罪】违反矿产资源法的规定，采取破坏性的开采方法开采矿产资源，造成矿产资源严重破坏的，处五年以下有期徒刑或者拘役，并处罚金。</w:t>
      </w:r>
    </w:p>
    <w:p w14:paraId="18C4470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第三百四十四条 【危害国家重点保护植物罪】违反国家规定，非法采伐、毁坏珍贵树木或者国家重点保护的其他植物的，或者非法收购、运输、加工、出售珍贵树木或者国家重点保护的其他植物及其制品的，处三年以下有期徒刑、拘役或者管制，并处罚金；情节严重的，处三年以上七年以下有期徒刑，并处罚金。</w:t>
      </w:r>
    </w:p>
    <w:p w14:paraId="3CE4A3D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第三百四十四条之一 【非法引进、释放、丢弃外来入侵物种罪】违反国家规定，非法引进、释放或者丢弃外来入侵物种，情节严重的，处三年以下有期徒刑或者拘役，并处或者单处罚金。</w:t>
      </w:r>
    </w:p>
    <w:p w14:paraId="2A6F3F7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第三百四十五条 【盗伐林木罪】盗伐森林或者其他林木，数量较大的，处三年以下有期徒刑、拘役或者管制，并处或者单处罚金；数量巨大的，处三年以上七年以下有期徒刑，并处罚金；数量特别巨大的，处七年以上有期徒刑，并处罚金。</w:t>
      </w:r>
    </w:p>
    <w:p w14:paraId="08E2541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【滥伐林木罪】违反森林法的规定，滥伐森林或者其他林木，数量较大的，处三年以下有期徒刑、拘役或者管制，并处或者单处罚金；数量巨大的，处三年以上七年以下有期徒刑，并处罚金。</w:t>
      </w:r>
    </w:p>
    <w:p w14:paraId="6DC1592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【非法收购、运输盗伐、滥伐的林木罪】非法收购、运输明知是盗伐、滥伐的</w:t>
      </w:r>
      <w:r>
        <w:rPr>
          <w:rFonts w:ascii="宋体" w:eastAsia="宋体" w:hAnsi="宋体" w:cs="宋体" w:hint="eastAsia"/>
          <w:sz w:val="24"/>
          <w:lang w:bidi="ar"/>
        </w:rPr>
        <w:lastRenderedPageBreak/>
        <w:t>林木，情节严重的，处三年以下有期徒刑、拘役或者管制，并处或者单处罚金；情节特别严重的，处三年以上七年以下有期徒刑，并处罚金。</w:t>
      </w:r>
    </w:p>
    <w:p w14:paraId="2D86736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盗伐、滥伐国家级自然保护区内的森林或者其他林木的，从重处罚。</w:t>
      </w:r>
    </w:p>
    <w:p w14:paraId="1A070E6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第三百四十六条 【单位犯破坏环境资源保护罪的处罚规定】单位犯本节第三百三十八条至第三百四十五条规定之罪的，对单位判处罚金，并对其直接负责的主管人员和其他直接责任人员，依照本节各该条的规定处罚。</w:t>
      </w:r>
    </w:p>
    <w:p w14:paraId="1BC0CEFA"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第七节 走私、贩卖、运输、制造毒品罪</w:t>
      </w:r>
    </w:p>
    <w:p w14:paraId="4ED117D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第三百四十七条 【走私、贩卖、运输、制造毒品罪】走私、贩卖、运输、制造毒品，无论数量多少，都应当追究刑事责任，予以刑事处罚。</w:t>
      </w:r>
    </w:p>
    <w:p w14:paraId="468BCCA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走私、贩卖、运输、制造毒品，有下列情形之一的，处十五年有期徒刑、无期徒刑或者死刑，并处没收财产：</w:t>
      </w:r>
    </w:p>
    <w:p w14:paraId="7C37C63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（一）走私、贩卖、运输、制造鸦片一千克以上、海洛因或者甲基苯丙胺五十克以上或者其他毒品数量大的；</w:t>
      </w:r>
    </w:p>
    <w:p w14:paraId="02BBFCC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（二）走私、贩卖、运输、制造毒品集团的首要分子；</w:t>
      </w:r>
    </w:p>
    <w:p w14:paraId="00DC4AC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（三）武装掩护走私、贩卖、运输、制造毒品的；</w:t>
      </w:r>
    </w:p>
    <w:p w14:paraId="1E2CDBB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（四）以暴力抗拒检查、拘留、逮捕，情节严重的；</w:t>
      </w:r>
    </w:p>
    <w:p w14:paraId="39F66AF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（五）参与有组织的国际贩毒活动的。</w:t>
      </w:r>
    </w:p>
    <w:p w14:paraId="3D71A0B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走私、贩卖、运输、制造鸦片二百克以上不满一千克、海洛因或者甲基苯丙胺十克以上不满五十克或者其他毒品数量较大的，处七年以上有期徒刑，并处罚金。</w:t>
      </w:r>
    </w:p>
    <w:p w14:paraId="4B2E6F2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走私、贩卖、运输、制造鸦片不满二百克、海洛因或者甲基苯丙胺不满十克或者其他少量毒品的，处三年以下有期徒刑、拘役或者管制，并处罚金；情节严重的，处三年以上七年以下有期徒刑，并处罚金。</w:t>
      </w:r>
    </w:p>
    <w:p w14:paraId="4F6A341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单位犯第二款、第三款、第四款罪的，对单位判处罚金，并对其直接负责的主</w:t>
      </w:r>
      <w:r>
        <w:rPr>
          <w:rFonts w:ascii="宋体" w:eastAsia="宋体" w:hAnsi="宋体" w:cs="宋体" w:hint="eastAsia"/>
          <w:sz w:val="24"/>
          <w:lang w:bidi="ar"/>
        </w:rPr>
        <w:lastRenderedPageBreak/>
        <w:t>管人员和其他直接责任人员，依照各该款的规定处罚。</w:t>
      </w:r>
    </w:p>
    <w:p w14:paraId="385DD7F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利用、教唆未成年人走私、贩卖、运输、制造毒品，或者向未成年人出售毒品的，从重处罚。</w:t>
      </w:r>
    </w:p>
    <w:p w14:paraId="0332BE4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对多次走私、贩卖、运输、制造毒品，未经处理的，毒品数量累计计算。</w:t>
      </w:r>
    </w:p>
    <w:p w14:paraId="4CBA6F5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第三百四十八条 【非法持有毒品罪】非法持有鸦片一千克以上、海洛因或者甲基苯丙胺五十克以上或者其他毒品数量大的，处七年以上有期徒刑或者无期徒刑，并处罚金；非法持有鸦片二百克以上不满一千克、海洛因或者甲基苯丙胺十克以上不满五十克或者其他毒品数量较大的，处三年以下有期徒刑、拘役或者管制，并处罚金；情节严重的，处三年以上七年以下有期徒刑，并处罚金。</w:t>
      </w:r>
    </w:p>
    <w:p w14:paraId="274DB29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第三百四十九条 【包庇毒品犯罪分子罪】【窝藏、转移、隐瞒毒品、毒赃罪】包庇走私、贩卖、运输、制造毒品的犯罪分子的，为犯罪分子窝藏、转移、隐瞒毒品或者犯罪所得的财物的，处三年以下有期徒刑、拘役或者管制；情节严重的，处三年以上十年以下有期徒刑。</w:t>
      </w:r>
    </w:p>
    <w:p w14:paraId="6AC87FB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【包庇毒品犯罪分子罪】缉毒人员或者其他国家机关工作人员掩护、包庇走私、贩卖、运输、制造毒品的犯罪分子的，依照前款的规定从重处罚。</w:t>
      </w:r>
    </w:p>
    <w:p w14:paraId="28D7EF1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犯前两款罪，事先通谋的，以走私、贩卖、运输、制造毒品罪的共犯论处。</w:t>
      </w:r>
    </w:p>
    <w:p w14:paraId="7EFCF36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第三百五十条 【非法生产、买卖、运输制毒物品、走私制毒物品罪】违反国家规定，非法生产、买卖、运输</w:t>
      </w:r>
      <w:proofErr w:type="gramStart"/>
      <w:r>
        <w:rPr>
          <w:rFonts w:ascii="宋体" w:eastAsia="宋体" w:hAnsi="宋体" w:cs="宋体" w:hint="eastAsia"/>
          <w:sz w:val="24"/>
          <w:lang w:bidi="ar"/>
        </w:rPr>
        <w:t>醋</w:t>
      </w:r>
      <w:proofErr w:type="gramEnd"/>
      <w:r>
        <w:rPr>
          <w:rFonts w:ascii="宋体" w:eastAsia="宋体" w:hAnsi="宋体" w:cs="宋体" w:hint="eastAsia"/>
          <w:sz w:val="24"/>
          <w:lang w:bidi="ar"/>
        </w:rPr>
        <w:t>酸酐、乙醚、三氯甲烷或者其他用于制造毒品的原料、配剂，或者携带上述物品进出境，情节较重的，处三年以下有期徒刑、拘役或者管制，并处罚金；情节严重的，处三年以上七年以下有期徒刑，并处罚金；情节特别严重的，处七年以上有期徒刑，并处罚金或者没收财产。</w:t>
      </w:r>
    </w:p>
    <w:p w14:paraId="4912249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明知他人制造毒品而为其生产、买卖、运输前款规定的物品的，以制造毒品罪的共犯论处。</w:t>
      </w:r>
    </w:p>
    <w:p w14:paraId="58125FA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单位犯前两款罪的，对单位判处罚金，并对其直接负责的主管人员和其他直接</w:t>
      </w:r>
      <w:r>
        <w:rPr>
          <w:rFonts w:ascii="宋体" w:eastAsia="宋体" w:hAnsi="宋体" w:cs="宋体" w:hint="eastAsia"/>
          <w:sz w:val="24"/>
          <w:lang w:bidi="ar"/>
        </w:rPr>
        <w:lastRenderedPageBreak/>
        <w:t>责任人员，依照前两款的规定处罚。</w:t>
      </w:r>
    </w:p>
    <w:p w14:paraId="53EBE58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第三百五十一条 【非法种植毒品原植物罪】非法种植罂粟、大麻等毒品原植物的，一律强制铲除。有下列情形之一的，处五年以下有期徒刑、拘役或者管制，并处罚金：</w:t>
      </w:r>
    </w:p>
    <w:p w14:paraId="1BD23D4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（一）种植罂粟五百株以上不满三千株或者其他毒品原植物数量较大的；</w:t>
      </w:r>
    </w:p>
    <w:p w14:paraId="6B8655B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（二）经公安机关处理后又种植的；</w:t>
      </w:r>
    </w:p>
    <w:p w14:paraId="1B94184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（三）抗拒铲除的。</w:t>
      </w:r>
    </w:p>
    <w:p w14:paraId="1B74A6A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非法种植罂粟三千株以上或者其他毒品原植物数量大的，处五年以上有期徒刑，并处罚金或者没收财产。</w:t>
      </w:r>
    </w:p>
    <w:p w14:paraId="6529168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非法种植罂粟或者其他毒品原植物，在收获前自动铲除的，可以免除处罚。</w:t>
      </w:r>
    </w:p>
    <w:p w14:paraId="7451063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第三百五十二条 【非法买卖、运输、携带、持有毒品原植物种子、幼苗罪】非法买卖、运输、携带、持有未经灭活的罂粟等毒品原植物种子或者幼苗，数量较大的，处三年以下有期徒刑、拘役或者管制，并处或者单处罚金。</w:t>
      </w:r>
    </w:p>
    <w:p w14:paraId="6367498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第三百五十三条 【引诱、教唆、欺骗他人吸毒罪】引诱、教唆、欺骗他人吸食、注射毒品的，处三年以下有期徒刑、拘役或者管制，并处罚金；情节严重的，处三年以上七年以下有期徒刑，并处罚金。</w:t>
      </w:r>
    </w:p>
    <w:p w14:paraId="0C7CEE6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【强迫他人吸毒罪】强迫他人吸食、注射毒品的，处三年以上十年以下有期徒刑，并处罚金。</w:t>
      </w:r>
    </w:p>
    <w:p w14:paraId="2FD2B2E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引诱、教唆、欺骗或者强迫未成年人吸食、注射毒品的，从重处罚。</w:t>
      </w:r>
    </w:p>
    <w:p w14:paraId="4125CDF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第三百五十四条 【容留他人吸毒罪】容留他人吸食、注射毒品的，处三年以下有期徒刑、拘役或者管制，并处罚金。</w:t>
      </w:r>
    </w:p>
    <w:p w14:paraId="625C31B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第三百五十五条 【非法提供麻醉药品、精神药品罪】依法从事生产、运输、管理、使用国家管制的麻醉药品、精神药品的人员，违反国家规定，向吸食、注射毒</w:t>
      </w:r>
      <w:r>
        <w:rPr>
          <w:rFonts w:ascii="宋体" w:eastAsia="宋体" w:hAnsi="宋体" w:cs="宋体" w:hint="eastAsia"/>
          <w:sz w:val="24"/>
          <w:lang w:bidi="ar"/>
        </w:rPr>
        <w:lastRenderedPageBreak/>
        <w:t>品的人提供国家规定管制的能够使人形成瘾癖的麻醉药品、精神药品的，处三年以下有期徒刑或者拘役，并处罚金；情节严重的，处三年以上七年以下有期徒刑，并处罚金。向走私、贩卖毒品的犯罪分子或者以牟利为目的，向吸食、注射毒品的人提供国家规定管制的能够使人形成瘾癖的麻醉药品、精神药品的，依照本法第三百四十七条的规定定罪处罚。</w:t>
      </w:r>
    </w:p>
    <w:p w14:paraId="05ECD67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69EB31B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第三百五十五条之一 【妨害兴奋剂管理罪】引诱、教唆、欺骗运动员使用兴奋剂参加国内、国际重大体育竞赛，或者明知运动员参加上述竞赛而向其提供兴奋剂，情节严重的，处三年以下有期徒刑或者拘役，并处罚金。</w:t>
      </w:r>
    </w:p>
    <w:p w14:paraId="7EDE5D8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组织、强迫运动员使用兴奋剂参加国内、国际重大体育竞赛的，依照前款的规定从重处罚。</w:t>
      </w:r>
    </w:p>
    <w:p w14:paraId="33B77C3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第三百五十六条 【毒品犯罪的再犯】因走私、贩卖、运输、制造、非法持有毒品罪被判过刑，又犯本节规定之罪的，从重处罚。</w:t>
      </w:r>
    </w:p>
    <w:p w14:paraId="2124C78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第三百五十七条 【毒品的范围及数量的计算原则】本法所称的毒品，是指鸦片、海洛因、甲基苯丙胺（冰毒）、吗啡、大麻、可卡因以及国家规定管制的其他能够使人形成瘾癖的麻醉药品和精神药品。</w:t>
      </w:r>
    </w:p>
    <w:p w14:paraId="1B06A04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毒品的数量以查证属实的走私、贩卖、运输、制造、非法持有毒品的数量计算，不以纯度折算。</w:t>
      </w:r>
    </w:p>
    <w:p w14:paraId="68401D75"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第八节 组织、强迫、引诱、容留、介绍卖淫罪</w:t>
      </w:r>
    </w:p>
    <w:p w14:paraId="7EB704E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第三百五十八条 【组织卖淫罪】【强迫卖淫罪】组织、强迫他人卖淫的，处五年以上十年以下有期徒刑，并处罚金；情节严重的，处十年以上有期徒刑或者无期徒刑，并处罚金或者没收财产。</w:t>
      </w:r>
    </w:p>
    <w:p w14:paraId="4E43948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组织、强迫未成年人卖淫的，依照前款的规定从重处罚。</w:t>
      </w:r>
    </w:p>
    <w:p w14:paraId="11A659C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犯前两款罪，并有杀害、伤害、强奸、绑架等犯罪行为的，依照数罪并罚的规定处罚。</w:t>
      </w:r>
    </w:p>
    <w:p w14:paraId="35CE495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【协助组织卖淫罪】为组织卖淫的人招募、运送人员或者有其他协助组织他人卖淫行为的，处五年以下有期徒刑，并处罚金；情节严重的，处五年以上十年以下有期徒刑，并处罚金。</w:t>
      </w:r>
    </w:p>
    <w:p w14:paraId="45E0244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第三百五十九条 【引诱、容留、介绍卖淫罪】引诱、容留、介绍他人卖淫的，处五年以下有期徒刑、拘役或者管制，并处罚金；情节严重的，处五年以上有期徒刑，并处罚金。</w:t>
      </w:r>
    </w:p>
    <w:p w14:paraId="42DBE4C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【引诱幼女卖淫罪】引诱不满十四周岁的幼女卖淫的，处五年以上有期徒刑，并处罚金。</w:t>
      </w:r>
    </w:p>
    <w:p w14:paraId="08E44FE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第三百六十条 【传播性病罪】明知自己患有梅毒、淋病等严重性病卖淫、嫖娼的，处五年以下有期徒刑、拘役或者管制，并处罚金。</w:t>
      </w:r>
    </w:p>
    <w:p w14:paraId="39D93D4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第三百六十一条 【组织卖淫罪】【强迫卖淫罪】【协助组织卖淫罪】【引诱、容留、介绍卖淫罪】【引诱幼女卖淫罪】旅馆业、饮食服务业、文化娱乐业、出租汽车业等单位的人员，利用本单位的条件，组织、强迫、引诱、容留、介绍他人卖淫的，依照本法第三百五十八条、第三百五十九条的规定定罪处罚。</w:t>
      </w:r>
    </w:p>
    <w:p w14:paraId="5E11DFF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前款所列单位的主要负责人，犯前款罪的，从重处罚。</w:t>
      </w:r>
    </w:p>
    <w:p w14:paraId="6ECA89A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第三百六十二条 【窝藏、包庇罪】旅馆业、饮食服务业、文化娱乐业、出租汽车业等单位的人员，在公安机关查处卖淫、嫖娼活动时，为违法犯罪分子通风报信，情节严重的，依照本法第三百一十条的规定定罪处罚。</w:t>
      </w:r>
    </w:p>
    <w:p w14:paraId="6B10CED2"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t>第九节 制作、贩卖、传播淫秽物品罪</w:t>
      </w:r>
    </w:p>
    <w:p w14:paraId="7EDB3CC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第三百六十三条 【制作、复制、出版、贩卖、传播淫秽物品牟利罪】以牟利为目的，制作、复制、出版、贩卖、传播淫秽物品的，处三年以下有期徒刑、拘役或者管制，并处罚金；情节严重的，处三年以上十年以下有期徒刑，并处罚金；情节</w:t>
      </w:r>
      <w:r>
        <w:rPr>
          <w:rFonts w:ascii="宋体" w:eastAsia="宋体" w:hAnsi="宋体" w:cs="宋体" w:hint="eastAsia"/>
          <w:sz w:val="24"/>
          <w:lang w:bidi="ar"/>
        </w:rPr>
        <w:lastRenderedPageBreak/>
        <w:t>特别严重的，处十年以上有期徒刑或者无期徒刑，并处罚金或者没收财产。</w:t>
      </w:r>
    </w:p>
    <w:p w14:paraId="3BB8A80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【为他人提供书号出版淫秽书刊罪】为他人提供书号，出版淫秽书刊的，处三年以下有期徒刑、拘役或者管制，并处或者单处罚金；明知他人用于出版淫秽书刊而提供书号的，依照前款的规定处罚。</w:t>
      </w:r>
    </w:p>
    <w:p w14:paraId="3613758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第三百六十四条 【传播淫秽物品罪】传播淫秽的书刊、影片、音像、图片或者其他淫秽物品，情节严重的，处二年以下有期徒刑、拘役或者管制。</w:t>
      </w:r>
    </w:p>
    <w:p w14:paraId="23918DF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【组织播放淫秽音像制品罪】组织播放淫秽的电影、录像等音像制品的，处三年以下有期徒刑、拘役或者管制，并处罚金；情节严重的，处三年以上十年以下有期徒刑，并处罚金。</w:t>
      </w:r>
    </w:p>
    <w:p w14:paraId="2200449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制作、复制淫秽的电影、录像等音像制品组织播放的，依照第二款的规定从重处罚。</w:t>
      </w:r>
    </w:p>
    <w:p w14:paraId="7F53A14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向不满十八周岁的未成年人传播淫秽物品的，从重处罚。</w:t>
      </w:r>
    </w:p>
    <w:p w14:paraId="4660086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第三百六十五条 【组织淫秽表演罪】组织进行淫秽表演的，处三年以下有期徒刑、拘役或者管制，并处罚金；情节严重的，处三年以上十年以下有期徒刑，并处罚金。</w:t>
      </w:r>
    </w:p>
    <w:p w14:paraId="6D2E190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第三百六十六条 【单位犯制作、贩卖、传播淫秽物品罪的处罚规定】单位犯本节第三百六十三条、第三百六十四条、第三百六十五条规定之罪的，对单位判处罚金，并对其直接负责的主管人员和其他直接责任人员，依照各该条的规定处罚。</w:t>
      </w:r>
    </w:p>
    <w:p w14:paraId="1C82E65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第三百六十七条 【淫秽物品的范围】本法所称淫秽物品，是指具体描绘性行为或者露骨宣扬色情的</w:t>
      </w:r>
      <w:proofErr w:type="gramStart"/>
      <w:r>
        <w:rPr>
          <w:rFonts w:ascii="宋体" w:eastAsia="宋体" w:hAnsi="宋体" w:cs="宋体" w:hint="eastAsia"/>
          <w:sz w:val="24"/>
          <w:lang w:bidi="ar"/>
        </w:rPr>
        <w:t>诲</w:t>
      </w:r>
      <w:proofErr w:type="gramEnd"/>
      <w:r>
        <w:rPr>
          <w:rFonts w:ascii="宋体" w:eastAsia="宋体" w:hAnsi="宋体" w:cs="宋体" w:hint="eastAsia"/>
          <w:sz w:val="24"/>
          <w:lang w:bidi="ar"/>
        </w:rPr>
        <w:t>淫性的书刊、影片、录像带、录音带、图片及其他淫秽物品。</w:t>
      </w:r>
    </w:p>
    <w:p w14:paraId="64CAF4C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有关人体生理、医学知识的科学著作不是淫秽物品。</w:t>
      </w:r>
    </w:p>
    <w:p w14:paraId="591CCB4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包含有色情内容的有艺术价值的文学、艺术作品</w:t>
      </w:r>
      <w:proofErr w:type="gramStart"/>
      <w:r>
        <w:rPr>
          <w:rFonts w:ascii="宋体" w:eastAsia="宋体" w:hAnsi="宋体" w:cs="宋体" w:hint="eastAsia"/>
          <w:sz w:val="24"/>
          <w:lang w:bidi="ar"/>
        </w:rPr>
        <w:t>不</w:t>
      </w:r>
      <w:proofErr w:type="gramEnd"/>
      <w:r>
        <w:rPr>
          <w:rFonts w:ascii="宋体" w:eastAsia="宋体" w:hAnsi="宋体" w:cs="宋体" w:hint="eastAsia"/>
          <w:sz w:val="24"/>
          <w:lang w:bidi="ar"/>
        </w:rPr>
        <w:t>视为淫秽物品。</w:t>
      </w:r>
    </w:p>
    <w:p w14:paraId="40AF7F52" w14:textId="77777777" w:rsidR="00F50CD8" w:rsidRDefault="00000000">
      <w:pPr>
        <w:autoSpaceDE w:val="0"/>
        <w:spacing w:afterLines="50" w:after="156" w:line="360" w:lineRule="auto"/>
        <w:ind w:firstLineChars="200" w:firstLine="480"/>
        <w:outlineLvl w:val="0"/>
        <w:rPr>
          <w:rFonts w:ascii="宋体" w:eastAsia="宋体" w:hAnsi="宋体" w:cs="宋体" w:hint="eastAsia"/>
          <w:sz w:val="24"/>
        </w:rPr>
      </w:pPr>
      <w:r>
        <w:rPr>
          <w:rFonts w:ascii="宋体" w:eastAsia="宋体" w:hAnsi="宋体" w:cs="宋体" w:hint="eastAsia"/>
          <w:sz w:val="24"/>
          <w:lang w:bidi="ar"/>
        </w:rPr>
        <w:t>第七章 危害国防利益罪</w:t>
      </w:r>
    </w:p>
    <w:p w14:paraId="27B4316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第三百六十八条 【阻碍军人执行职务罪】以暴力、威胁方法阻碍军人依法执行职务的，处三年以下有期徒刑、拘役、管制或者罚金。</w:t>
      </w:r>
    </w:p>
    <w:p w14:paraId="46D8E4C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【阻碍军事行动罪】故意阻碍武装部队军事行动，造成严重后果的，处五年以下有期徒刑或者拘役。</w:t>
      </w:r>
    </w:p>
    <w:p w14:paraId="09CCCF3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第三百六十九条 【破坏武器装备、军事设施、军事通信罪】破坏武器装备、军事设施、军事通信的，处三年以下有期徒刑、拘役或者管制；破坏重要武器装备、军事设施、军事通信的，处三年以上十年以下有期徒刑；情节特别严重的，处十年以上有期徒刑、无期徒刑或者死刑。</w:t>
      </w:r>
    </w:p>
    <w:p w14:paraId="1136BB5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【过失损坏武器装备、军事设施、军事通信罪】过失犯前款罪，造成严重后果的，处三年以下有期徒刑或者拘役；造成特别严重后果的，处三年以上七年以下有期徒刑。</w:t>
      </w:r>
    </w:p>
    <w:p w14:paraId="7BBEA9B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战时犯前两款罪的，从重处罚。</w:t>
      </w:r>
    </w:p>
    <w:p w14:paraId="5C819D8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第三百七十条 【故意提供不合格武器装备、军事设施罪】明知是不合格的武器装备、军事设施而提供给武装部队的，处五年以下有期徒刑或者拘役；情节严重的，处五年以上十年以下有期徒刑；情节特别严重的，处十年以上有期徒刑、无期徒刑或者死刑。</w:t>
      </w:r>
    </w:p>
    <w:p w14:paraId="7385525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【过失提供不合格武器装备、军事设施罪】过失犯前款罪，造成严重后果的，处三年以下有期徒刑或者拘役；造成特别严重后果的，处三年以上七年以下有期徒刑。</w:t>
      </w:r>
    </w:p>
    <w:p w14:paraId="5CB45E3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单位犯第一款罪的，对单位判处罚金，并对其直接负责的主管人员和其他直接责任人员，依照第一款的规定处罚。</w:t>
      </w:r>
    </w:p>
    <w:p w14:paraId="0E9068F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第三百七十一条 【聚众冲击军事禁区罪】聚众冲击军事禁区，严重扰乱军事禁区秩序的，对首要分子，处五年以上十年以下有期徒刑；对其他积极参加的，处五年以下有期徒刑、拘役、管制或者剥夺政治权利。</w:t>
      </w:r>
    </w:p>
    <w:p w14:paraId="55166EB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聚众扰乱军事管理区秩序罪】聚众扰乱军事管理区秩序，情节严重，致使军事管理区工作无法进行，造成严重损失的，对首要分子，处三年以上七年以下有期徒刑；对其他积极参加的，处三年以下有期徒刑、拘役、管制或者剥夺政治权利。</w:t>
      </w:r>
    </w:p>
    <w:p w14:paraId="58A15C4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第三百七十二条 【冒充军人招摇撞骗罪】冒充军人招摇撞骗的，处三年以下有期徒刑、拘役、管制或者剥夺政治权利；情节严重的，处三年以上十年以下有期徒刑。</w:t>
      </w:r>
    </w:p>
    <w:p w14:paraId="415E2A2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第三百七十三条 【煽动军人逃离部队罪】【雇用逃离部队军人罪】煽动军人逃离部队或者明知是逃离部队的军人而雇用，情节严重的，处三年以下有期徒刑、拘役或者管制。</w:t>
      </w:r>
    </w:p>
    <w:p w14:paraId="5483AE2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第三百七十四条 【接送不合格兵员罪】在征兵工作中徇私舞弊，接送不合格兵员，情节严重的，处三年以下有期徒刑或者拘役；造成特别严重后果的，处三年以上七年以下有期徒刑。</w:t>
      </w:r>
    </w:p>
    <w:p w14:paraId="5ABDBAE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第三百七十五条 【伪造、变造、买卖武装部队公文、证件、印章罪】【盗窃、抢夺武装部队公文、证件、印章罪】伪造、变造、买卖或者盗窃、抢夺武装部队公文、证件、印章的，处三年以下有期徒刑、拘役、管制或者剥夺政治权利；情节严重的，处三年以上十年以下有期徒刑。</w:t>
      </w:r>
    </w:p>
    <w:p w14:paraId="3BB91A5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【非法生产、买卖武装部队制式服装罪】非法生产、买卖武装部队制式服装，情节严重的，处三年以下有期徒刑、拘役或者管制，并处或者单处罚金。</w:t>
      </w:r>
    </w:p>
    <w:p w14:paraId="473492A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伪造、盗窃、买卖、非法提供、非法使用武装部队专用标志罪】伪造、盗窃、买卖或者非法提供、使用武装部队车辆号牌等专用标志，情节严重的，处三年以下有期徒刑、拘役或者管制，并处或者单处罚金；情节特别严重的，处三年以上七年以下有期徒刑，并处罚金。</w:t>
      </w:r>
    </w:p>
    <w:p w14:paraId="46EB3E6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单位犯第二款、第三款罪的，对单位判处罚金，并对其直接负责的主管人员和其他直接责任人员，依照各该款的规定处罚。</w:t>
      </w:r>
    </w:p>
    <w:p w14:paraId="49C6BE0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第三百七十六条 【战时拒绝、逃避征召、军事训练罪】预备役人员战时拒绝、</w:t>
      </w:r>
      <w:r>
        <w:rPr>
          <w:rFonts w:ascii="宋体" w:eastAsia="宋体" w:hAnsi="宋体" w:cs="宋体" w:hint="eastAsia"/>
          <w:sz w:val="24"/>
          <w:lang w:bidi="ar"/>
        </w:rPr>
        <w:lastRenderedPageBreak/>
        <w:t>逃避征召或者军事训练，情节严重的，处三年以下有期徒刑或者拘役。</w:t>
      </w:r>
    </w:p>
    <w:p w14:paraId="6875EC7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【战时拒绝、逃避服役罪】公民战时拒绝、逃避服役，情节严重的，处二年以下有期徒刑或者拘役。</w:t>
      </w:r>
    </w:p>
    <w:p w14:paraId="0EFE433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第三百七十七条 【战时故意提供虚假敌情罪】战时故意向武装部队提供虚假敌情，造成严重后果的，处三年以上十年以下有期徒刑；造成特别严重后果的，处十年以上有期徒刑或者无期徒刑。</w:t>
      </w:r>
    </w:p>
    <w:p w14:paraId="4B664E1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第三百七十八条 【战时造谣扰乱军心罪】战时造谣惑众，扰乱军心的，处三年以下有期徒刑、拘役或者管制；情节严重的，处三年以上十年以下有期徒刑。</w:t>
      </w:r>
    </w:p>
    <w:p w14:paraId="2ECF3E9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第三百七十九条 【战时窝藏逃离部队军人罪】战时明知是逃离部队的军人而为其提供隐蔽处所、财物，情节严重的，处三年以下有期徒刑或者拘役。</w:t>
      </w:r>
    </w:p>
    <w:p w14:paraId="5FA03BE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第三百八十条 【战时拒绝、故意延误军事订货罪】战时拒绝或者故意延误军事订货，情节严重的，对单位判处罚金，并对其直接负责的主管人员和其他直接责任人员，处五年以下有期徒刑或者拘役；造成严重后果的，处五年以上有期徒刑。</w:t>
      </w:r>
    </w:p>
    <w:p w14:paraId="212811F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第三百八十一条 【战时拒绝军事征收、征用罪】战时拒绝军事征收、征用，情节严重的，处三年以下有期徒刑或者拘役。</w:t>
      </w:r>
    </w:p>
    <w:p w14:paraId="19454DC1" w14:textId="77777777" w:rsidR="00F50CD8" w:rsidRDefault="00000000">
      <w:pPr>
        <w:autoSpaceDE w:val="0"/>
        <w:spacing w:afterLines="50" w:after="156" w:line="360" w:lineRule="auto"/>
        <w:ind w:firstLineChars="200" w:firstLine="480"/>
        <w:outlineLvl w:val="0"/>
        <w:rPr>
          <w:rFonts w:ascii="宋体" w:eastAsia="宋体" w:hAnsi="宋体" w:cs="宋体" w:hint="eastAsia"/>
          <w:sz w:val="24"/>
        </w:rPr>
      </w:pPr>
      <w:r>
        <w:rPr>
          <w:rFonts w:ascii="宋体" w:eastAsia="宋体" w:hAnsi="宋体" w:cs="宋体" w:hint="eastAsia"/>
          <w:sz w:val="24"/>
          <w:lang w:bidi="ar"/>
        </w:rPr>
        <w:t>第八章 贪污贿赂罪</w:t>
      </w:r>
    </w:p>
    <w:p w14:paraId="12C49A9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第三百八十二条 【贪污罪】国家工作人员利用职务上的便利，侵吞、窃取、骗取或者以其他手段非法占有公共财物的，是贪污罪。</w:t>
      </w:r>
    </w:p>
    <w:p w14:paraId="1B6C470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受国家机关、国有公司、企业、事业单位、人民团体委托管理、经营国有财产的人员，利用职务上的便利，侵吞、窃取、骗取或者以其他手段非法占有国有财物的，以贪污论。</w:t>
      </w:r>
    </w:p>
    <w:p w14:paraId="23EE017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与前两款所列人员勾结，伙同贪污的，以共犯论处。</w:t>
      </w:r>
    </w:p>
    <w:p w14:paraId="7CBBA40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第三百八十三条 【贪污罪的处罚规定】对犯贪污罪的，根据情节轻重，分别依照下列规定处罚：</w:t>
      </w:r>
    </w:p>
    <w:p w14:paraId="459059F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（一）贪污数额较大或者有其他较重情节的，处三年以下有期徒刑或者拘役，并处罚金。</w:t>
      </w:r>
    </w:p>
    <w:p w14:paraId="4DD72B6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（二）贪污数额巨大或者有其他严重情节的，处三年以上十年以下有期徒刑，并处罚金或者没收财产。</w:t>
      </w:r>
    </w:p>
    <w:p w14:paraId="52A9A2E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贪污数额特别巨大或者有其他特别严重情节的，处十年以上有期徒刑或者无期徒刑，并处罚金或者没收财产；数额特别巨大，并使国家和人民利益遭受特别重大损失的，处无期徒刑或者死刑，并处没收财产。</w:t>
      </w:r>
    </w:p>
    <w:p w14:paraId="50DB5B7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对多次贪污未经处理的，按照累计贪污数额处罚。</w:t>
      </w:r>
    </w:p>
    <w:p w14:paraId="0A52005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犯第一款罪，在提起公诉前如实供述自己罪行、真诚悔罪、积极退赃，避免、减少损害结果的发生，有第一项规定情形的，可以从轻、减轻或者免除处罚；有第二项、第三项规定情形的，可以从轻处罚。</w:t>
      </w:r>
    </w:p>
    <w:p w14:paraId="06E3BDF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犯第一款罪，有第三项规定情形被判处死刑缓期执行的，人民法院根据犯罪情节等情况可以同时决定在其死刑缓期执行二年期满依法减为无期徒刑后，终身监禁，不得减刑、假释。</w:t>
      </w:r>
    </w:p>
    <w:p w14:paraId="69FC1EB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第三百八十四条 【挪用公款罪】国家工作人员利用职务上的便利，挪用公款归个人使用，进行非法活动的，或者挪用公款数额较大、进行营利活动的，或者挪用公款数额较大、超过三个月未还的，是挪用公款罪，处五年以下有期徒刑或者拘役；情节严重的，处五年以上有期徒刑。挪用公款数额巨大不退还的，处十年以上有期徒刑或者无期徒刑。</w:t>
      </w:r>
    </w:p>
    <w:p w14:paraId="08347A0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挪用用于救灾、抢险、防汛、优抚、扶贫、移民、救济款物归个人使用的，从重处罚。</w:t>
      </w:r>
    </w:p>
    <w:p w14:paraId="603B177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第三百八十五条 【受贿罪】国家工作人员利用职务上的便利，索取他人财物的，或者非法收受他人财物，为他人谋取利益的，是受贿罪。</w:t>
      </w:r>
    </w:p>
    <w:p w14:paraId="55FF384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国家工作人员在经济往来中，违反国家规定，收受各种名义的回扣、手续费，</w:t>
      </w:r>
      <w:r>
        <w:rPr>
          <w:rFonts w:ascii="宋体" w:eastAsia="宋体" w:hAnsi="宋体" w:cs="宋体" w:hint="eastAsia"/>
          <w:sz w:val="24"/>
          <w:lang w:bidi="ar"/>
        </w:rPr>
        <w:lastRenderedPageBreak/>
        <w:t>归个人所有的，以受贿论处。</w:t>
      </w:r>
    </w:p>
    <w:p w14:paraId="3B1E905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第三百八十六条 【受贿罪的处罚规定】对犯受贿罪的，根据受贿所得数额及情节，依照本法第三百八十三条的规定处罚。索贿的从重处罚。</w:t>
      </w:r>
    </w:p>
    <w:p w14:paraId="1E93912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第三百八十七条 【单位受贿罪】国家机关、国有公司、企业、事业单位、人民团体，索取、非法收受他人财物，为他人谋取利益，情节严重的，对单位判处罚金，并对其直接负责的主管人员和其他直接责任人员，处五年以下有期徒刑或者拘役。</w:t>
      </w:r>
    </w:p>
    <w:p w14:paraId="1E34463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前款所列单位，在经济往来中，在帐外暗中收受各种名义的回扣、手续费的，以受贿论，依照前款的规定处罚。</w:t>
      </w:r>
    </w:p>
    <w:p w14:paraId="56762C3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第三百八十八条 【斡旋受贿犯罪】国家工作人员利用本人职权或者地位形成的便利条件，通过其他国家工作人员职务上的行为，为请托人谋取不正当利益，索取请托人财物或者收受请托人财物的，以受贿论处。</w:t>
      </w:r>
    </w:p>
    <w:p w14:paraId="0E8AB5A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第三百八十八条之一 【利用影响力受贿罪】国家工作人员的近亲属或者其他与该国家工作人员关系密切的人，通过该国家工作人员职务上的行为，或者利用该国家工作人员职权或者地位形成的便利条件，通过其他国家工作人员职务上的行为，为请托人谋取不正当利益，索取请托人财物或者收受请托人财物，数额较大或者有其他较重情节的，处三年以下有期徒刑或者拘役，并处罚金；数额巨大或者有其他严重情节的，处三年以上七年以下有期徒刑，并处罚金；数额特别巨大或者有其他特别严重情节的，处七年以上有期徒刑，并处罚金或者没收财产。</w:t>
      </w:r>
    </w:p>
    <w:p w14:paraId="7A66F38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离职的国家工作人员或者其近亲属以及其他与其关系密切的人，利用该离职的国家工作人员原职权或者地位形成的便利条件实施前款行为的，依照前款的规定定罪处罚。</w:t>
      </w:r>
    </w:p>
    <w:p w14:paraId="5A99363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第三百八十九条 【行贿罪】为谋取不正当利益，给予国家工作人员以财物的，是行贿罪。</w:t>
      </w:r>
    </w:p>
    <w:p w14:paraId="42C0DFD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在经济往来中，违反国家规定，给予国家工作人员以财物，数额较大的，或者违反国家规定，给予国家工作人员以各种名义的回扣、手续费的，以行贿论处。</w:t>
      </w:r>
    </w:p>
    <w:p w14:paraId="7C577C5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因被勒索给予国家工作人员以财物，没有获得不正当利益的，不是行贿。</w:t>
      </w:r>
    </w:p>
    <w:p w14:paraId="4349010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第三百九十条 【行贿罪的处罚规定】对犯行贿罪的，处五年以下有期徒刑或者拘役，并处罚金；因行贿谋取不正当利益，情节严重的，或者使国家利益遭受重大损失的，处五年以上十年以下有期徒刑，并处罚金；情节特别严重的，或者使国家利益遭受特别重大损失的，处十年以上有期徒刑或者无期徒刑，并处罚金或者没收财产。</w:t>
      </w:r>
    </w:p>
    <w:p w14:paraId="62B915A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行贿人在被追诉前主动交待行贿行为的，可以从轻或者减轻处罚。其中，犯罪较轻的，对侦破重大案件起关键作用的，或者有重大立功表现的，可以减轻或者免除处罚。</w:t>
      </w:r>
    </w:p>
    <w:p w14:paraId="7181672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第三百九十条之一 【对有影响力的人行贿罪】为谋取不正当利益，向国家工作人员的近亲属或者其他与该国家工作人员关系密切的人，或者向离职的国家工作人员或者其近亲属以及其他与其关系密切的人行贿的，处三年以下有期徒刑或者拘役，并处罚金；情节严重的，或者使国家利益遭受重大损失的，处三年以上七年以下有期徒刑，并处罚金；情节特别严重的，或者使国家利益遭受特别重大损失的，处七年以上十年以下有期徒刑，并处罚金。</w:t>
      </w:r>
    </w:p>
    <w:p w14:paraId="0C5F7D8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单位犯前款罪的，对单位判处罚金，并对其直接负责的主管人员和其他直接责任人员，处三年以下有期徒刑或者拘役，并处罚金。</w:t>
      </w:r>
    </w:p>
    <w:p w14:paraId="465F00E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第三百九十一条 【对单位行贿罪】为谋取不正当利益，给予国家机关、国有公司、企业、事业单位、人民团体以财物的，或者在经济往来中，违反国家规定，给予各种名义的回扣、手续费的，处三年以下有期徒刑或者拘役，并处罚金。</w:t>
      </w:r>
    </w:p>
    <w:p w14:paraId="45B2707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单位犯前款罪的，对单位判处罚金，并对其直接负责的主管人员和其他直接责任人员，依照前款的规定处罚。</w:t>
      </w:r>
    </w:p>
    <w:p w14:paraId="69924BB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第三百九十二条 【介绍贿赂罪】向国家工作人员介绍贿赂，情节严重的，处三年以下有期徒刑或者拘役，并处罚金。</w:t>
      </w:r>
    </w:p>
    <w:p w14:paraId="2C6EAEC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介绍贿赂人在被追诉前主动交待介绍贿赂行为的，可以减轻处罚或者免除处罚。</w:t>
      </w:r>
    </w:p>
    <w:p w14:paraId="2D34BEB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第三百九十三条 【单位行贿罪】单位为谋取不正当利益而行贿，或者违反国家规定，给予国家工作人员以回扣、手续费，情节严重的，对单位判处罚金，并对其直接负责的主管人员和其他直接责任人员，处五年以下有期徒刑或者拘役，并处罚金。因行贿取得的违法所得归个人所有的，依照本法第三百八十九条、第三百九十条的规定定罪处罚。</w:t>
      </w:r>
    </w:p>
    <w:p w14:paraId="5B85874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第三百九十四条 【贪污罪】国家工作人员在国内公务活动或者对外交往中接受礼物，依照国家规定应当交公而</w:t>
      </w:r>
      <w:proofErr w:type="gramStart"/>
      <w:r>
        <w:rPr>
          <w:rFonts w:ascii="宋体" w:eastAsia="宋体" w:hAnsi="宋体" w:cs="宋体" w:hint="eastAsia"/>
          <w:sz w:val="24"/>
          <w:lang w:bidi="ar"/>
        </w:rPr>
        <w:t>不</w:t>
      </w:r>
      <w:proofErr w:type="gramEnd"/>
      <w:r>
        <w:rPr>
          <w:rFonts w:ascii="宋体" w:eastAsia="宋体" w:hAnsi="宋体" w:cs="宋体" w:hint="eastAsia"/>
          <w:sz w:val="24"/>
          <w:lang w:bidi="ar"/>
        </w:rPr>
        <w:t>交公，数额较大的，依照本法第三百八十二条、第三百八十三条的规定定罪处罚。</w:t>
      </w:r>
    </w:p>
    <w:p w14:paraId="2CA3F1A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第三百九十五条 【巨额财产来源不明罪】国家工作人员的财产、支出明显超过合法收入，差额巨大的，可以责令该国家工作人员说明来源，不能说明来源的，差额部分以非法所得论，处五年以下有期徒刑或者拘役；差额特别巨大的，处五年以上十年以下有期徒刑。财产的差额部分予以追缴。</w:t>
      </w:r>
    </w:p>
    <w:p w14:paraId="287B8B3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【隐瞒境外存款罪】国家工作人员在境外的存款，应当依照国家规定申报。数额较大、隐瞒不报的，处二年以下有期徒刑或者拘役；情节较轻的，由其所在单位或者上级主管机关酌情给予行政处分。</w:t>
      </w:r>
    </w:p>
    <w:p w14:paraId="269858C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第三百九十六条 【私分国有资产罪】国家机关、国有公司、企业、事业单位、人民团体，违反国家规定，以单位名义将国有资产集体私分给个人，数额较大的，对其直接负责的主管人员和其他直接责任人员，处三年以下有期徒刑或者拘役，并处或者单处罚金；数额巨大的，处三年以上七年以下有期徒刑，并处罚金。</w:t>
      </w:r>
    </w:p>
    <w:p w14:paraId="3D92B30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【私分罚没财物罪】司法机关、行政执法机关违反国家规定，将应当上缴国家的罚没财物，以单位名义集体私分给个人的，依照前款的规定处罚。</w:t>
      </w:r>
    </w:p>
    <w:p w14:paraId="3FEB844A" w14:textId="77777777" w:rsidR="00F50CD8" w:rsidRDefault="00000000">
      <w:pPr>
        <w:autoSpaceDE w:val="0"/>
        <w:spacing w:afterLines="50" w:after="156" w:line="360" w:lineRule="auto"/>
        <w:ind w:firstLineChars="200" w:firstLine="480"/>
        <w:outlineLvl w:val="0"/>
        <w:rPr>
          <w:rFonts w:ascii="宋体" w:eastAsia="宋体" w:hAnsi="宋体" w:cs="宋体" w:hint="eastAsia"/>
          <w:sz w:val="24"/>
        </w:rPr>
      </w:pPr>
      <w:r>
        <w:rPr>
          <w:rFonts w:ascii="宋体" w:eastAsia="宋体" w:hAnsi="宋体" w:cs="宋体" w:hint="eastAsia"/>
          <w:sz w:val="24"/>
          <w:lang w:bidi="ar"/>
        </w:rPr>
        <w:t>第九章 渎职罪</w:t>
      </w:r>
    </w:p>
    <w:p w14:paraId="493ED5D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第三百九十七条 【滥用职权罪】【玩忽职守罪】国家机关工作人员滥用职权或者玩忽职守，致使公共财产、国家和人民利益遭受重大损失的，处三年以下有期徒刑或者拘役；情节特别严重的，处三年以上七年以下有期徒刑。本法另有规定的，</w:t>
      </w:r>
      <w:r>
        <w:rPr>
          <w:rFonts w:ascii="宋体" w:eastAsia="宋体" w:hAnsi="宋体" w:cs="宋体" w:hint="eastAsia"/>
          <w:sz w:val="24"/>
          <w:lang w:bidi="ar"/>
        </w:rPr>
        <w:lastRenderedPageBreak/>
        <w:t>依照规定。</w:t>
      </w:r>
    </w:p>
    <w:p w14:paraId="0A9D589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国家机关工作人员徇私舞弊，犯前款罪的，处五年以下有期徒刑或者拘役；情节特别严重的，处五年以上十年以下有期徒刑。本法另有规定的，依照规定。</w:t>
      </w:r>
    </w:p>
    <w:p w14:paraId="515D66E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第三百九十八条 【故意泄露国家秘密罪】【过失泄露国家秘密罪】国家机关工作人员违反保守国家秘密法的规定，故意或者过失泄露国家秘密，情节严重的，处三年以下有期徒刑或者拘役；情节特别严重的，处三年以上七年以下有期徒刑。</w:t>
      </w:r>
    </w:p>
    <w:p w14:paraId="0740E2D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非国家机关工作人员犯前款罪的，依照前款的规定酌情处罚。</w:t>
      </w:r>
    </w:p>
    <w:p w14:paraId="5F4C0E4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第三百九十九条 【徇私枉法罪】司法工作人员徇私枉法、徇情枉法，对明知是无罪的人而使他受追诉、对明知是有罪的人而故意包庇不使他受追诉，或者在刑事审判活动中故意违背事实和法律作枉法裁判的，处五年以下有期徒刑或者拘役；情节严重的，处五年以上十年以下有期徒刑；情节特别严重的，处十年以上有期徒刑。</w:t>
      </w:r>
    </w:p>
    <w:p w14:paraId="03CD8DE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【民事、行政枉法裁判罪】在民事、行政审判活动中故意违背事实和法律作枉法裁判，情节严重的，处五年以下有期徒刑或者拘役；情节特别严重的，处五年以上十年以下有期徒刑。</w:t>
      </w:r>
    </w:p>
    <w:p w14:paraId="7FC94F9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执行判决、裁定失职罪】【执行判决、裁定滥用职权罪】在执行判决、裁定活动中，严重不负责任或者滥用职权，不依法采取诉讼保全措施、不履行法定执行职责，或者违法采取诉讼保全措施、强制执行措施，致使当事人或者其他人的利益遭受重大损失的，处五年以下有期徒刑或者拘役；致使当事人或者其他人的利益遭受特别重大损失的，处五年以上十年以下有期徒刑。</w:t>
      </w:r>
    </w:p>
    <w:p w14:paraId="68FE9BE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司法工作人员收受贿赂，有前三款行为的，同时又构成本法第三百八十五条规定之罪的，依照处罚较重的规定定罪处罚。</w:t>
      </w:r>
    </w:p>
    <w:p w14:paraId="0AAF131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第三百九十九条之一 【枉法仲裁罪】依法承担仲裁职责的人员，在仲裁活动中故意违背事实和法律作枉法裁决，情节严重的，处三年以下有期徒刑或者拘役；情节特别严重的，处三年以上七年以下有期徒刑。</w:t>
      </w:r>
    </w:p>
    <w:p w14:paraId="797BC84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第四百条 【私放在押人员罪】司法工作人员私放在押的犯罪嫌疑人、被告人或者罪犯的，处五年以下有期徒刑或者拘役；情节严重的，处五年以上十年以下有期徒刑；情节特别严重的，处十年以上有期徒刑。</w:t>
      </w:r>
    </w:p>
    <w:p w14:paraId="1CBEEF6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失职致使在押人员脱逃罪】司法工作人员由于严重不负责任，致使在押的犯罪嫌疑人、被告人或者罪犯脱逃，造成严重后果的，处三年以下有期徒刑或者拘役；造成特别严重后果的，处三年以上十年以下有期徒刑。</w:t>
      </w:r>
    </w:p>
    <w:p w14:paraId="63F2673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第四百零一条 【徇私舞弊减刑、假释、暂予监外执行罪】司法工作人员徇私舞弊，对不符合减刑、假释、暂予监外执行条件的罪犯，予以减刑、假释或者暂予监外执行的，处三年以下有期徒刑或者拘役；情节严重的，处三年以上七年以下有期徒刑。</w:t>
      </w:r>
    </w:p>
    <w:p w14:paraId="656F1A1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第四百零二条 【徇私舞弊不移交刑事案件罪】行政执法人员徇私舞弊，对依法应当移交司法机关追究刑事责任的不移交，情节严重的，处三年以下有期徒刑或者拘役；造成严重后果的，处三年以上七年以下有期徒刑。</w:t>
      </w:r>
    </w:p>
    <w:p w14:paraId="72491ED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第四百零三条 【滥用管理公司、证券职权罪】国家有关主管部门的国家机关工作人员，徇私舞弊，滥用职权，对不符合法律规定条件的公司设立、登记申请或者股票、债券发行、上市申请，予以批准或者登记，致使公共财产、国家和人民利益遭受重大损失的，处五年以下有期徒刑或者拘役。</w:t>
      </w:r>
    </w:p>
    <w:p w14:paraId="7A316F0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上级部门强令登记机关及其工作人员实施前款行为的，对其直接负责的主管人员，依照前款的规定处罚。</w:t>
      </w:r>
    </w:p>
    <w:p w14:paraId="557C631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第四百零四条 【徇私舞弊不征、少征税款罪】税务机关的工作人员徇私舞弊，不征或者少征应征税款，致使国家税收遭受重大损失的，处五年以下有期徒刑或者拘役；造成特别重大损失的，处五年以上有期徒刑。</w:t>
      </w:r>
    </w:p>
    <w:p w14:paraId="1FF2283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第四百零五条 【徇私舞弊发售发票、抵扣税款、出口退税罪】税务机关的工作人员违反法律、行政法规的规定，在办理发售发票、抵扣税款、出口退税工作中，徇私舞弊，致使国家利益遭受重大损失的，处五年以下有期徒刑或者拘役；致使国</w:t>
      </w:r>
      <w:r>
        <w:rPr>
          <w:rFonts w:ascii="宋体" w:eastAsia="宋体" w:hAnsi="宋体" w:cs="宋体" w:hint="eastAsia"/>
          <w:sz w:val="24"/>
          <w:lang w:bidi="ar"/>
        </w:rPr>
        <w:lastRenderedPageBreak/>
        <w:t>家利益遭受特别重大损失的，处五年以上有期徒刑。</w:t>
      </w:r>
    </w:p>
    <w:p w14:paraId="27FDD56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【违法提供出口退税凭证罪】其他国家机关工作人员违反国家规定，在提供出口货物报关单、出口收汇核销单等出口退税凭证的工作中，徇私舞弊，致使国家利益遭受重大损失的，依照前款的规定处罚。</w:t>
      </w:r>
    </w:p>
    <w:p w14:paraId="4FF0507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第四百零六条 【国家机关工作人员签订、履行合同失职被骗罪】国家机关工作人员在签订、履行合同过程中，因严重不负责任被诈骗，致使国家利益遭受重大损失的，处三年以下有期徒刑或者拘役；致使国家利益遭受特别重大损失的，处三年以上七年以下有期徒刑。</w:t>
      </w:r>
    </w:p>
    <w:p w14:paraId="514CD29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第四百零七条 【违法发放林木采伐许可证罪】林业主管部门的工作人员违反森林法的规定，超过批准的年采伐限额发放林木采伐许可证或者违反规定滥发林木采伐许可证，情节严重，致使森林遭受严重破坏的，处三年以下有期徒刑或者拘役。</w:t>
      </w:r>
    </w:p>
    <w:p w14:paraId="0B376BA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第四百零八条 【环境监管失职罪】负有环境保护监督管理职责的国家机关工作人员严重不负责任，导致发生重大环境污染事故，致使公私财产遭受重大损失或者造成人身伤亡的严重后果的，处三年以下有期徒刑或者拘役。</w:t>
      </w:r>
    </w:p>
    <w:p w14:paraId="682ACBF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第四百零八条之一 【食品、药品监管渎职罪】负有食品药品安全监督管理职责的国家机关工作人员，滥用职权或者玩忽职守，有下列情形之一，造成严重后果或者有其他严重情节的，处五年以下有期徒刑或者拘役；造成特别严重后果或者有其他特别严重情节的，处五年以上十年以下有期徒刑：</w:t>
      </w:r>
    </w:p>
    <w:p w14:paraId="4CE0008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（一）瞒报、谎报食品安全事故、药品安全事件的；</w:t>
      </w:r>
    </w:p>
    <w:p w14:paraId="4880F23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（二）对发现的严重食品药品安全违法行为未按规定查处的；</w:t>
      </w:r>
    </w:p>
    <w:p w14:paraId="15D80FA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（三）在药品和特殊食品审批审评过程中，对不符合条件的申请准予许可的；</w:t>
      </w:r>
    </w:p>
    <w:p w14:paraId="1CDD48F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（四）依法应当移交司法机关追究刑事责任不移交的；</w:t>
      </w:r>
    </w:p>
    <w:p w14:paraId="7044262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（五）有其他滥用职权或者玩忽职守行为的。</w:t>
      </w:r>
    </w:p>
    <w:p w14:paraId="0177C55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徇私舞弊犯前款罪的，从重处罚。</w:t>
      </w:r>
    </w:p>
    <w:p w14:paraId="6ADB408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第四百零九条 【传染病防治失职罪】从事传染病防治的政府卫生行政部门的工作人员严重不负责任，导致传染病传播或者流行，情节严重的，处三年以下有期徒刑或者拘役。</w:t>
      </w:r>
    </w:p>
    <w:p w14:paraId="78482AC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第四百一十条 【非法批准征收、征用、占用土地罪】【非法低价出让国有土地使用权罪】国家机关工作人员徇私舞弊，违反土地管理法规，滥用职权，非法批准征收、征用、占用土地，或者非法低价出让国有土地使用权，情节严重的，处三年以下有期徒刑或者拘役；致使国家或者集体利益遭受特别重大损失的，处三年以上七年以下有期徒刑。</w:t>
      </w:r>
    </w:p>
    <w:p w14:paraId="039EEE1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第四百一十一条 【放纵走私罪】海关工作人员徇私舞弊，放纵走私，情节严重的，处五年以下有期徒刑或者拘役；情节特别严重的，处五年以上有期徒刑。</w:t>
      </w:r>
    </w:p>
    <w:p w14:paraId="0320A65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第四百一十二条 【商检徇私舞弊罪】国家商检部门、商检机构的工作人员徇私舞弊，伪造检验结果的，处五年以下有期徒刑或者拘役；造成严重后果的，处五年以上十年以下有期徒刑。</w:t>
      </w:r>
    </w:p>
    <w:p w14:paraId="169979F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【商检失职罪】前款所列人员严重不负责任，对应当检验的物品不检验，或者延误检验出证、错误出证，致使国家利益遭受重大损失的，处三年以下有期徒刑或者拘役。</w:t>
      </w:r>
    </w:p>
    <w:p w14:paraId="18E810C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第四百一十三条 【动植物检疫徇私舞弊罪】动植物检疫机关的检疫人员徇私舞弊，伪造检疫结果的，处五年以下有期徒刑或者拘役；造成严重后果的，处五年以上十年以下有期徒刑。</w:t>
      </w:r>
    </w:p>
    <w:p w14:paraId="19D9A22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【动植物检疫失职罪】前款所列人员严重不负责任，对应当检疫的检疫物</w:t>
      </w:r>
      <w:proofErr w:type="gramStart"/>
      <w:r>
        <w:rPr>
          <w:rFonts w:ascii="宋体" w:eastAsia="宋体" w:hAnsi="宋体" w:cs="宋体" w:hint="eastAsia"/>
          <w:sz w:val="24"/>
          <w:lang w:bidi="ar"/>
        </w:rPr>
        <w:t>不</w:t>
      </w:r>
      <w:proofErr w:type="gramEnd"/>
      <w:r>
        <w:rPr>
          <w:rFonts w:ascii="宋体" w:eastAsia="宋体" w:hAnsi="宋体" w:cs="宋体" w:hint="eastAsia"/>
          <w:sz w:val="24"/>
          <w:lang w:bidi="ar"/>
        </w:rPr>
        <w:t>检疫，或者延误检疫出证、错误出证，致使国家利益遭受重大损失的，处三年以下有期徒刑或者拘役。</w:t>
      </w:r>
    </w:p>
    <w:p w14:paraId="4D2E7A8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第四百一十四条 【放纵制售伪劣商品犯罪行为罪】对生产、销售伪劣商品犯罪行为负有追究责任的国家机关工作人员，徇私舞弊，不履行法律规定的追究职责，情节严重的，处五年以下有期徒刑或者拘役。</w:t>
      </w:r>
    </w:p>
    <w:p w14:paraId="0B20388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第四百一十五条 【办理偷越国（边）境人员出入境证件罪】【放行偷越国（边）境人员罪】负责办理护照、签证以及其他出入境证件的国家机关工作人员，对明知是企图偷越国（边）境的人员，予以办理出入境证件的，或者边防、海关等国家机关工作人员，对明知是偷越国（边）境的人员，予以放行的，处三年以下有期徒刑或者拘役；情节严重的，处三年以上七年以下有期徒刑。</w:t>
      </w:r>
    </w:p>
    <w:p w14:paraId="6E2593E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第四百一十六条 【不解救被拐卖、绑架妇女、儿童罪】对被拐卖、绑架的妇女、儿童负有解救职责的国家机关工作人员，接到被拐卖、绑架的妇女、儿童及其家属的解救要求或者接到其他人的举报，而对被拐卖、绑架的妇女、儿童不进行解救，造成严重后果的，处五年以下有期徒刑或者拘役。</w:t>
      </w:r>
    </w:p>
    <w:p w14:paraId="32A8886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【阻碍解救被拐卖、绑架妇女、儿童罪】负有解救职责的国家机关工作人员利用职务阻碍解救的，处二年以上七年以下有期徒刑；情节较轻的，处二年以下有期徒刑或者拘役。</w:t>
      </w:r>
    </w:p>
    <w:p w14:paraId="0685656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第四百一十七条 【帮助犯罪分子逃避处罚罪】有查禁犯罪活动职责的国家机关工作人员，向犯罪分子通风报信、提供便利，帮助犯罪分子逃避处罚的，处三年以下有期徒刑或者拘役；情节严重的，处三年以上十年以下有期徒刑。</w:t>
      </w:r>
    </w:p>
    <w:p w14:paraId="4691058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第四百一十八条 【招收公务员、学生徇私舞弊罪】国家机关工作人员在招收公务员、学生工作中徇私舞弊，情节严重的，处三年以下有期徒刑或者拘役。</w:t>
      </w:r>
    </w:p>
    <w:p w14:paraId="448DDA5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第四百一十九条 【失职造成珍贵文物损毁、流失罪】国家机关工作人员严重不负责任，造成珍贵文物损毁或者流失，后果严重的，处三年以下有期徒刑或者拘役。</w:t>
      </w:r>
    </w:p>
    <w:p w14:paraId="10FE34B1" w14:textId="77777777" w:rsidR="00F50CD8" w:rsidRDefault="00000000">
      <w:pPr>
        <w:autoSpaceDE w:val="0"/>
        <w:spacing w:afterLines="50" w:after="156" w:line="360" w:lineRule="auto"/>
        <w:ind w:firstLineChars="200" w:firstLine="480"/>
        <w:outlineLvl w:val="0"/>
        <w:rPr>
          <w:rFonts w:ascii="宋体" w:eastAsia="宋体" w:hAnsi="宋体" w:cs="宋体" w:hint="eastAsia"/>
          <w:sz w:val="24"/>
        </w:rPr>
      </w:pPr>
      <w:r>
        <w:rPr>
          <w:rFonts w:ascii="宋体" w:eastAsia="宋体" w:hAnsi="宋体" w:cs="宋体" w:hint="eastAsia"/>
          <w:sz w:val="24"/>
          <w:lang w:bidi="ar"/>
        </w:rPr>
        <w:t>第十章 军人违反职责罪</w:t>
      </w:r>
    </w:p>
    <w:p w14:paraId="0338322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第四百二十条 【军人违反职责罪的概念】军人违反职责，危害国家军事利益，依照法律应当受刑罚处罚的行为，是军人违反职责罪。</w:t>
      </w:r>
    </w:p>
    <w:p w14:paraId="1DE909C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第四百二十一条 【战时违抗命令罪】战时违抗命令，对作战造成危害的，处三年以上十年以下有期徒刑；致使战斗、战役遭受重大损失的，处十年以上有期徒刑、无期徒刑或者死刑。</w:t>
      </w:r>
    </w:p>
    <w:p w14:paraId="10295B6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第四百二十二条 【隐瞒、谎报军情罪】【拒传、假传军令罪】故意隐瞒、谎报军情或者拒传、假传军令，对作战造成危害的，处三年以上十年以下有期徒刑；致使战斗、战役遭受重大损失的，处十年以上有期徒刑、无期徒刑或者死刑。</w:t>
      </w:r>
    </w:p>
    <w:p w14:paraId="1DA396A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第四百二十三条 【投降罪】在战场上贪生怕死，自动放下武器投降敌人的，处三年以上十年以下有期徒刑；情节严重的，处十年以上有期徒刑或者无期徒刑。</w:t>
      </w:r>
    </w:p>
    <w:p w14:paraId="27D6FBD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投降后为敌人效劳的，处十年以上有期徒刑、无期徒刑或者死刑。</w:t>
      </w:r>
    </w:p>
    <w:p w14:paraId="7D87BD3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第四百二十四条 【战时临阵脱逃罪】战时临阵脱逃的，处三年以下有期徒刑；情节严重的，处三年以上十年以下有期徒刑；致使战斗、战役遭受重大损失的，处十年以上有期徒刑、无期徒刑或者死刑。</w:t>
      </w:r>
    </w:p>
    <w:p w14:paraId="5B72F8F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第四百二十五条 【擅离、玩忽军事职守罪】指挥人员和值班、值勤人员擅离职守或者玩忽职守，造成严重后果的，处三年以下有期徒刑或者拘役；造成特别严重后果的，处三年以上七年以下有期徒刑。</w:t>
      </w:r>
    </w:p>
    <w:p w14:paraId="64C5091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战时犯前款罪的，处五年以上有期徒刑。</w:t>
      </w:r>
    </w:p>
    <w:p w14:paraId="75FACBD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第四百二十六条 【阻碍执行军事职务罪】以暴力、威胁方法，阻碍指挥人员或者值班、值勤人员执行职务的，处五年以下有期徒刑或者拘役；情节严重的，处五年以上十年以下有期徒刑；情节特别严重的，处十年以上有期徒刑或者无期徒刑。战时从重处罚。</w:t>
      </w:r>
    </w:p>
    <w:p w14:paraId="316BB79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第四百二十七条 【指使部属违反职责罪】滥用职权，指使部属进行违反职责的活动，造成严重后果的，处五年以下有期徒刑或者拘役；情节特别严重的，处五年以上十年以下有期徒刑。</w:t>
      </w:r>
    </w:p>
    <w:p w14:paraId="0C6E579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第四百二十八条 【违令作战消极罪】指挥人员违抗命令，临阵畏缩，作战消极，造成严重后果的，处五年以下有期徒刑；致使战斗、战役遭受重大损失或者有其他特别严重情节的，处五年以上有期徒刑。</w:t>
      </w:r>
    </w:p>
    <w:p w14:paraId="0023503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第四百二十九条 【拒不救援友邻部队罪】在战场上明知友邻部队处境危急请求</w:t>
      </w:r>
      <w:r>
        <w:rPr>
          <w:rFonts w:ascii="宋体" w:eastAsia="宋体" w:hAnsi="宋体" w:cs="宋体" w:hint="eastAsia"/>
          <w:sz w:val="24"/>
          <w:lang w:bidi="ar"/>
        </w:rPr>
        <w:lastRenderedPageBreak/>
        <w:t>救援，能救援而不救援，致使友邻部队遭受重大损失的，对指挥人员，处五年以下有期徒刑。</w:t>
      </w:r>
    </w:p>
    <w:p w14:paraId="65C91A5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第四百三十条 【军人叛逃罪】在履行公务期间，擅离岗位，叛逃境外或者在境外叛逃，危害国家军事利益的，处五年以下有期徒刑或者拘役；情节严重的，处五年以上有期徒刑。</w:t>
      </w:r>
    </w:p>
    <w:p w14:paraId="6F040C3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驾驶航空器、舰船叛逃的，或者有其他特别严重情节的，处十年以上有期徒刑、无期徒刑或者死刑。</w:t>
      </w:r>
    </w:p>
    <w:p w14:paraId="095674D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第四百三十一条 【非法获取军事秘密罪】以窃取、刺探、收买方法，非法获取军事秘密的，处五年以下有期徒刑；情节严重的，处五年以上十年以下有期徒刑；情节特别严重的，处十年以上有期徒刑。</w:t>
      </w:r>
    </w:p>
    <w:p w14:paraId="54CC957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【为境外窃取、刺探、收买、非法提供军事秘密罪】为境外的机构、组织、人员窃取、刺探、收买、非法提供军事秘密的，处五年以上十年以下有期徒刑；情节严重的，处十年以上有期徒刑、无期徒刑或者死刑。</w:t>
      </w:r>
    </w:p>
    <w:p w14:paraId="478E2B9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第四百三十二条 【故意泄露军事秘密罪】【过失泄露军事秘密罪】违反保守国家秘密法规，故意或者过失泄露军事秘密，情节严重的，处五年以下有期徒刑或者拘役；情节特别严重的，处五年以上十年以下有期徒刑。</w:t>
      </w:r>
    </w:p>
    <w:p w14:paraId="342B901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战时犯前款罪的，处五年以上十年以下有期徒刑；情节特别严重的，处十年以上有期徒刑或者无期徒刑。</w:t>
      </w:r>
    </w:p>
    <w:p w14:paraId="0643470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第四百三十三条 【战时造谣惑众罪】战时造谣惑众，动摇军心的，处三年以下有期徒刑；情节严重的，处三年以上十年以下有期徒刑；情节特别严重的，处十年以上有期徒刑或者无期徒刑。</w:t>
      </w:r>
    </w:p>
    <w:p w14:paraId="5E07AEE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第四百三十四条 【战时自伤罪】战时自伤身体，逃避军事义务的，处三年以下有期徒刑；情节严重的，处三年以上七年以下有期徒刑。</w:t>
      </w:r>
    </w:p>
    <w:p w14:paraId="67CCCC7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第四百三十五条 【逃离部队罪】违反兵役法规，逃离部队，情节严重的，处三</w:t>
      </w:r>
      <w:r>
        <w:rPr>
          <w:rFonts w:ascii="宋体" w:eastAsia="宋体" w:hAnsi="宋体" w:cs="宋体" w:hint="eastAsia"/>
          <w:sz w:val="24"/>
          <w:lang w:bidi="ar"/>
        </w:rPr>
        <w:lastRenderedPageBreak/>
        <w:t>年以下有期徒刑或者拘役。</w:t>
      </w:r>
    </w:p>
    <w:p w14:paraId="36CC220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战时犯前款罪的，处三年以上七年以下有期徒刑。</w:t>
      </w:r>
    </w:p>
    <w:p w14:paraId="504266F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第四百三十六条 【武器装备肇事罪】违反武器装备使用规定，情节严重，因而发生责任事故，致人重伤、死亡或者造成其他严重后果的，处三年以下有期徒刑或者拘役；后果特别严重的，处三年以上七年以下有期徒刑。</w:t>
      </w:r>
    </w:p>
    <w:p w14:paraId="1E751EA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第四百三十七条 【擅自改变武器装备编配用途罪】违反武器装备管理规定，擅自改变武器装备的编配用途，造成严重后果的，处三年以下有期徒刑或者拘役；造成特别严重后果的，处三年以上七年以下有期徒刑。</w:t>
      </w:r>
    </w:p>
    <w:p w14:paraId="0E26798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第四百三十八条 【盗窃、抢夺武器装备、军用物资罪】盗窃、抢夺武器装备或者军用物资的，处五年以下有期徒刑或者拘役；情节严重的，处五年以上十年以下有期徒刑；情节特别严重的，处十年以上有期徒刑、无期徒刑或者死刑。</w:t>
      </w:r>
    </w:p>
    <w:p w14:paraId="751065F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【盗窃、抢夺枪支、弹药、爆炸物、危险物质罪】盗窃、抢夺枪支、弹药、爆炸物的，依照本法第一百二十七条的规定处罚。</w:t>
      </w:r>
    </w:p>
    <w:p w14:paraId="11238FB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第四百三十九条 【非法出卖、转让武器装备罪】非法出卖、转让军队武器装备的，处三年以上十年以下有期徒刑；出卖、转让大量武器装备或者有其他特别严重情节的，处十年以上有期徒刑、无期徒刑或者死刑。</w:t>
      </w:r>
    </w:p>
    <w:p w14:paraId="1C4E20B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第四百四十条 【遗弃武器装备罪】违抗命令，遗弃武器装备的，处五年以下有期徒刑或者拘役；遗弃重要或者大量武器装备的，或者有其他严重情节的，处五年以上有期徒刑。</w:t>
      </w:r>
    </w:p>
    <w:p w14:paraId="7C49411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第四百四十一条 【遗失武器装备罪】遗失武器装备，不及时报告或者有其他严重情节的，处三年以下有期徒刑或者拘役。</w:t>
      </w:r>
    </w:p>
    <w:p w14:paraId="215366A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第四百四十二条 【擅自出卖、转让军队房地产罪】违反规定，擅自出卖、转让军队房地产，情节严重的，对直接责任人员，处三年以下有期徒刑或者拘役；情节特别严重的，处三年以上十年以下有期徒刑。</w:t>
      </w:r>
    </w:p>
    <w:p w14:paraId="1794DC6C"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第四百四十三条 【虐待部属罪】滥用职权，虐待部属，情节恶劣，致人重伤或者造成其他严重后果的，处五年以下有期徒刑或者拘役；致人死亡的，处五年以上有期徒刑。</w:t>
      </w:r>
    </w:p>
    <w:p w14:paraId="44D8DBF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第四百四十四条 【遗弃伤病军人罪】在战场上故意遗弃伤病军人，情节恶劣的，对直接责任人员，处五年以下有期徒刑。</w:t>
      </w:r>
    </w:p>
    <w:p w14:paraId="4E7BB6E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第四百四十五条 【战时拒不救治伤病军人罪】战时在救护治疗职位上，有条件救治而拒不救治危重伤病军人的，处五年以下有期徒刑或者拘役；造成伤病军人重残、死亡或者有其他严重情节的，处五年以上十年以下有期徒刑。</w:t>
      </w:r>
    </w:p>
    <w:p w14:paraId="7B246E6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第四百四十六条 【战时残害居民、掠夺居民财物罪】战时在军事行动地区，残害无辜居民或者掠夺无辜居民财物的，处五年以下有期徒刑；情节严重的，处五年以上十年以下有期徒刑；情节特别严重的，处十年以上有期徒刑、无期徒刑或者死刑。</w:t>
      </w:r>
    </w:p>
    <w:p w14:paraId="3FACE90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第四百四十七条 【私放俘虏罪】私放俘虏的，处五年以下有期徒刑；私放重要俘虏、私放俘虏多人或者有其他严重情节的，处五年以上有期徒刑。</w:t>
      </w:r>
    </w:p>
    <w:p w14:paraId="677533A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第四百四十八条 【虐待俘虏罪】虐待俘虏，情节恶劣的，处三年以下有期徒刑。</w:t>
      </w:r>
    </w:p>
    <w:p w14:paraId="164C1DC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第四百四十九条 【战时缓刑】在战时，对被判处三年以下有期徒刑没有现实危险宣告缓刑的犯罪军人，允许其戴罪立功，确有立功表现时，可以撤销原判刑罚，不以犯罪论处。</w:t>
      </w:r>
    </w:p>
    <w:p w14:paraId="01205D4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第四百五十条 【本章适用的主体范围】本章适用于中国人民解放军的现役军官、文职干部、士兵及具有军籍的学员和中国人民武装警察部队的现役警官、文职干部、士兵及具有军籍的学员以及文职人员、执行军事任务的预备役人员和其他人员。</w:t>
      </w:r>
    </w:p>
    <w:p w14:paraId="51A62BED"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第四百五十一条 【战时的概念】本章所称战时，是指国家宣布进入战争状态、部队受领作战任务或者遭敌突然袭击时。</w:t>
      </w:r>
    </w:p>
    <w:p w14:paraId="6EF00E78"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部队执行戒严任务或者处置突发性暴力事件时，以战时论。</w:t>
      </w:r>
    </w:p>
    <w:p w14:paraId="0A680211" w14:textId="77777777" w:rsidR="00F50CD8" w:rsidRDefault="00000000">
      <w:pPr>
        <w:autoSpaceDE w:val="0"/>
        <w:spacing w:afterLines="50" w:after="156" w:line="360" w:lineRule="auto"/>
        <w:ind w:firstLineChars="200" w:firstLine="480"/>
        <w:outlineLvl w:val="1"/>
        <w:rPr>
          <w:rFonts w:ascii="宋体" w:eastAsia="宋体" w:hAnsi="宋体" w:cs="宋体" w:hint="eastAsia"/>
          <w:sz w:val="24"/>
        </w:rPr>
      </w:pPr>
      <w:r>
        <w:rPr>
          <w:rFonts w:ascii="宋体" w:eastAsia="宋体" w:hAnsi="宋体" w:cs="宋体" w:hint="eastAsia"/>
          <w:sz w:val="24"/>
          <w:lang w:bidi="ar"/>
        </w:rPr>
        <w:lastRenderedPageBreak/>
        <w:t>附则</w:t>
      </w:r>
    </w:p>
    <w:p w14:paraId="5323EC0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第四百五十二条 【施行日期】本法自1997年10月1日起施行。</w:t>
      </w:r>
    </w:p>
    <w:p w14:paraId="242224E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列于本法附件一的全国人民代表大会常务委员会制定的条例、补充规定和决定，已纳入本法或者已不适用，自本法施行之日起，予以废止。</w:t>
      </w:r>
    </w:p>
    <w:p w14:paraId="4CED93E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列于本法附件二的全国人民代表大会常务委员会制定的补充规定和决定予以保留。其中，有关行政处罚和行政措施的规定继续有效；有关刑事责任的规定已纳入本法，自本法施行之日起，适用本法规定。</w:t>
      </w:r>
    </w:p>
    <w:p w14:paraId="514F8EF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①刑法、历次刑法修正案、涉及修改刑法的决定的施行日期，分别依据</w:t>
      </w:r>
      <w:proofErr w:type="gramStart"/>
      <w:r>
        <w:rPr>
          <w:rFonts w:ascii="宋体" w:eastAsia="宋体" w:hAnsi="宋体" w:cs="宋体" w:hint="eastAsia"/>
          <w:sz w:val="24"/>
          <w:lang w:bidi="ar"/>
        </w:rPr>
        <w:t>各法律</w:t>
      </w:r>
      <w:proofErr w:type="gramEnd"/>
      <w:r>
        <w:rPr>
          <w:rFonts w:ascii="宋体" w:eastAsia="宋体" w:hAnsi="宋体" w:cs="宋体" w:hint="eastAsia"/>
          <w:sz w:val="24"/>
          <w:lang w:bidi="ar"/>
        </w:rPr>
        <w:t>所规定的施行日期确定。</w:t>
      </w:r>
    </w:p>
    <w:p w14:paraId="742C33E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附件一</w:t>
      </w:r>
    </w:p>
    <w:p w14:paraId="5ECF27A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全国人民代表大会常务委员会制定的下列条例、补充规定和决定，已纳入本法或者已不适用，自本法施行之日起，予以废止：</w:t>
      </w:r>
    </w:p>
    <w:p w14:paraId="4C307D71"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1．中华人民共和国惩治军人违反职责罪暂行条例</w:t>
      </w:r>
    </w:p>
    <w:p w14:paraId="7B49411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2．关于严惩严重破坏经济的罪犯的决定</w:t>
      </w:r>
    </w:p>
    <w:p w14:paraId="44534F3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3．关于严惩严重危害社会治安的犯罪分子的决定</w:t>
      </w:r>
    </w:p>
    <w:p w14:paraId="4B1404C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4．关于惩治走私罪的补充规定</w:t>
      </w:r>
    </w:p>
    <w:p w14:paraId="5A07CE1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5．关于惩治贪污罪贿赂罪的补充规定</w:t>
      </w:r>
    </w:p>
    <w:p w14:paraId="7879F7A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6．关于惩治泄露国家秘密犯罪的补充规定</w:t>
      </w:r>
    </w:p>
    <w:p w14:paraId="7A1DF34A"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7．关于惩治捕杀国家重点保护的珍贵、濒危野生动物犯罪的补充规定</w:t>
      </w:r>
    </w:p>
    <w:p w14:paraId="6A0B5E62"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8．关于惩治侮辱中华人民共和国国旗国徽罪的决定</w:t>
      </w:r>
    </w:p>
    <w:p w14:paraId="5130C33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9．关于惩治盗掘古文化遗址古墓葬犯罪的补充规定</w:t>
      </w:r>
    </w:p>
    <w:p w14:paraId="56BE319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10．关于惩治劫持航空器犯罪分子的决定</w:t>
      </w:r>
    </w:p>
    <w:p w14:paraId="5980ECB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lastRenderedPageBreak/>
        <w:t>11．关于惩治假冒注册商标犯罪的补充规定</w:t>
      </w:r>
    </w:p>
    <w:p w14:paraId="4206A656"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12．关于惩治生产、销售伪劣商品犯罪的决定</w:t>
      </w:r>
    </w:p>
    <w:p w14:paraId="14281A5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13．关于惩治侵犯著作权的犯罪的决定</w:t>
      </w:r>
    </w:p>
    <w:p w14:paraId="61885BE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14．关于惩治违反公司法的犯罪的决定</w:t>
      </w:r>
    </w:p>
    <w:p w14:paraId="473B230F"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15．关于处理逃跑或者重新犯罪的劳改犯和劳教人员的决定</w:t>
      </w:r>
    </w:p>
    <w:p w14:paraId="42BCC460"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附件二</w:t>
      </w:r>
    </w:p>
    <w:p w14:paraId="5EC66D1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全国人民代表大会常务委员会制定的下列补充规定和决定予以保留，其中，有关行政处罚和行政措施的规定继续有效；有关刑事责任的规定已纳入本法，自本法施行之日起，适用本法规定：</w:t>
      </w:r>
    </w:p>
    <w:p w14:paraId="7D54F45B"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1．关于禁毒的决定</w:t>
      </w:r>
    </w:p>
    <w:p w14:paraId="3F2F4CC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2．关于惩治走私、制作、贩卖、传播淫秽物品的犯罪分子的决定</w:t>
      </w:r>
    </w:p>
    <w:p w14:paraId="14A25D85"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3．关于严禁卖淫嫖娼的决定</w:t>
      </w:r>
    </w:p>
    <w:p w14:paraId="33EA7343"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4．关于严惩拐卖、绑架妇女、儿童的犯罪分子的决定</w:t>
      </w:r>
    </w:p>
    <w:p w14:paraId="445490CE"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5．关于惩治偷税、抗税犯罪的补充规定</w:t>
      </w:r>
    </w:p>
    <w:p w14:paraId="7B4402E7"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6．关于严惩组织、运送他人偷越国（边）境犯罪的补充规定</w:t>
      </w:r>
    </w:p>
    <w:p w14:paraId="7B305079"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7．关于惩治破坏金融秩序犯罪的决定</w:t>
      </w:r>
    </w:p>
    <w:p w14:paraId="078C3C34" w14:textId="77777777" w:rsidR="00F50CD8" w:rsidRDefault="00000000">
      <w:pPr>
        <w:autoSpaceDE w:val="0"/>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lang w:bidi="ar"/>
        </w:rPr>
        <w:t>8．关于惩治虚开、伪造和非法出售增值税专用发票犯罪的决定</w:t>
      </w:r>
    </w:p>
    <w:p w14:paraId="29EE4F50" w14:textId="77777777" w:rsidR="00F50CD8" w:rsidRDefault="00F50CD8">
      <w:pPr>
        <w:spacing w:line="360" w:lineRule="auto"/>
        <w:rPr>
          <w:rFonts w:ascii="宋体" w:eastAsia="宋体" w:hAnsi="宋体" w:cs="Times New Roman" w:hint="eastAsia"/>
          <w:sz w:val="24"/>
          <w:lang w:bidi="ar"/>
        </w:rPr>
        <w:sectPr w:rsidR="00F50CD8">
          <w:pgSz w:w="12240" w:h="15840"/>
          <w:pgMar w:top="1440" w:right="1800" w:bottom="1440" w:left="1800" w:header="720" w:footer="720" w:gutter="0"/>
          <w:cols w:space="425"/>
          <w:docGrid w:type="lines" w:linePitch="312"/>
        </w:sectPr>
      </w:pPr>
    </w:p>
    <w:p w14:paraId="36658149" w14:textId="77777777" w:rsidR="00F50CD8" w:rsidRDefault="00000000">
      <w:pPr>
        <w:pStyle w:val="1"/>
        <w:spacing w:afterLines="50" w:after="156" w:line="360" w:lineRule="auto"/>
        <w:ind w:firstLineChars="200" w:firstLine="482"/>
        <w:rPr>
          <w:rFonts w:ascii="宋体" w:eastAsia="宋体" w:hAnsi="宋体" w:cs="宋体" w:hint="eastAsia"/>
        </w:rPr>
      </w:pPr>
      <w:r>
        <w:rPr>
          <w:rFonts w:ascii="宋体" w:eastAsia="宋体" w:hAnsi="宋体" w:cs="宋体" w:hint="eastAsia"/>
        </w:rPr>
        <w:lastRenderedPageBreak/>
        <w:t>5.《中华人民共和国反垄断法(2022修正)》</w:t>
      </w:r>
    </w:p>
    <w:p w14:paraId="6F1DA3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发文机构：全国人大常委会     文号：中华人民共和国主席令第116号</w:t>
      </w:r>
    </w:p>
    <w:p w14:paraId="5F14CC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（2007年8月30日第十届全国人民代表大会常务委员会第二十九次会议通过　根据2022年6月24日第十三届全国人民代表大会常务委员会第三十五次会议《关于修改〈中华人民共和国反垄断法〉的决定》修正）</w:t>
      </w:r>
    </w:p>
    <w:p w14:paraId="3C025D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41DAD5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为了预防和制止垄断行为，保护市场公平竞争，鼓励创新，提高经济运行效率，维护消费者利益和社会公共利益，促进社会主义市场经济健康发展，制定本法。</w:t>
      </w:r>
    </w:p>
    <w:p w14:paraId="034109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中华人民共和国</w:t>
      </w:r>
      <w:proofErr w:type="gramStart"/>
      <w:r>
        <w:rPr>
          <w:rFonts w:ascii="宋体" w:eastAsia="宋体" w:hAnsi="宋体" w:cs="宋体" w:hint="eastAsia"/>
          <w:sz w:val="24"/>
        </w:rPr>
        <w:t>境内经济</w:t>
      </w:r>
      <w:proofErr w:type="gramEnd"/>
      <w:r>
        <w:rPr>
          <w:rFonts w:ascii="宋体" w:eastAsia="宋体" w:hAnsi="宋体" w:cs="宋体" w:hint="eastAsia"/>
          <w:sz w:val="24"/>
        </w:rPr>
        <w:t>活动中的垄断行为，适用本法；中华人民共和国境外的垄断行为，对境内市场竞争产生排除、限制影响的，适用本法。</w:t>
      </w:r>
    </w:p>
    <w:p w14:paraId="71127E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本法规定的垄断行为包括：</w:t>
      </w:r>
    </w:p>
    <w:p w14:paraId="6D89C6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（一）经营者达成垄断协议；</w:t>
      </w:r>
    </w:p>
    <w:p w14:paraId="59A1C8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（二）经营者滥用市场支配地位；</w:t>
      </w:r>
    </w:p>
    <w:p w14:paraId="2E9FF0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（三）具有或者可能具有排除、限制竞争效果的经营者集中。</w:t>
      </w:r>
    </w:p>
    <w:p w14:paraId="48D95A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反垄断工作坚持中国共产党的领导。</w:t>
      </w:r>
    </w:p>
    <w:p w14:paraId="555F92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国家坚持市场化、法治化原则，强化竞争政策基础地位，制定和实施与社会主义市场经济相适应的竞争规则，完善宏观调控，健全统一、开放、竞争、有序的市场体系。</w:t>
      </w:r>
    </w:p>
    <w:p w14:paraId="4E96C2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国家建立健全公平竞争审查制度。</w:t>
      </w:r>
    </w:p>
    <w:p w14:paraId="08B3C3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行政机关和法律、法规授权的具有管理公共事务职能的组织在制定涉及市场主体经济活动的规定时，应当进行公平竞争审查。</w:t>
      </w:r>
    </w:p>
    <w:p w14:paraId="736736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经营者可以通过公平竞争、自愿联合，依法实施集中，扩大经营规模，提高市场竞争能力。</w:t>
      </w:r>
    </w:p>
    <w:p w14:paraId="59B292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第七条　具有市场支配地位的经营者，不得滥用市场支配地位，排除、限制竞争。</w:t>
      </w:r>
    </w:p>
    <w:p w14:paraId="329D2E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国有经济占控制地位的关系国民经济命脉和国家安全的行业以及依法实行专营专卖的行业，国家对其经营者的合法经营活动予以保护，并对经营者的经营行为及其商品和服务的价格依法实施监管和调控，维护消费者利益，促进技术进步。</w:t>
      </w:r>
    </w:p>
    <w:p w14:paraId="530F5E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前款规定行业的经营者应当依法经营，诚实守信，严格自律，接受社会公众的监督，不得利用其控制地位或者专营专卖地位损害消费者利益。</w:t>
      </w:r>
    </w:p>
    <w:p w14:paraId="0FABB2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经营者不得利用数据和算法、技术、资本优势以及平台规则等从事本法禁止的垄断行为。</w:t>
      </w:r>
    </w:p>
    <w:p w14:paraId="48F9F8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行政机关和法律、法规授权的具有管理公共事务职能的组织不得滥用行政权力，排除、限制竞争。</w:t>
      </w:r>
    </w:p>
    <w:p w14:paraId="38CB41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国家健全完善反垄断规则制度，强化反垄断监管力量，提高监管能力和监管体系现代化水平，加强反垄断执法司法，依法公正高效审理垄断案件，健全行政执法和司法衔接机制，维护公平竞争秩序。</w:t>
      </w:r>
    </w:p>
    <w:p w14:paraId="68A30B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国务院设立反垄断委员会，负责组织、协调、指导反垄断工作，履行下列职责：</w:t>
      </w:r>
    </w:p>
    <w:p w14:paraId="51FCE0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（一）研究拟订有关竞争政策；</w:t>
      </w:r>
    </w:p>
    <w:p w14:paraId="6D49E8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（二）组织调查、评估市场总体竞争状况，发布评估报告；</w:t>
      </w:r>
    </w:p>
    <w:p w14:paraId="4772EF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（三）制定、发布反垄断指南；</w:t>
      </w:r>
    </w:p>
    <w:p w14:paraId="1F5650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（四）协调反垄断行政执法工作；</w:t>
      </w:r>
    </w:p>
    <w:p w14:paraId="4D4DC1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（五）国务院规定的其他职责。</w:t>
      </w:r>
    </w:p>
    <w:p w14:paraId="3B15B8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国务院反垄断委员会的组成和工作规则由国务院规定。</w:t>
      </w:r>
    </w:p>
    <w:p w14:paraId="4B54F0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国务院反垄断执法机构负责反垄断统一执法工作。</w:t>
      </w:r>
    </w:p>
    <w:p w14:paraId="149D45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国务院反垄断执法机构根据工作需要，可以授权省、自治区、直辖市人民政</w:t>
      </w:r>
      <w:r>
        <w:rPr>
          <w:rFonts w:ascii="宋体" w:eastAsia="宋体" w:hAnsi="宋体" w:cs="宋体" w:hint="eastAsia"/>
          <w:sz w:val="24"/>
        </w:rPr>
        <w:lastRenderedPageBreak/>
        <w:t>府相应的机构，依照本法规定负责有关反垄断执法工作。</w:t>
      </w:r>
    </w:p>
    <w:p w14:paraId="707DA8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行业协会应当加强行业自律，引导本行业的经营者依法竞争，合</w:t>
      </w:r>
      <w:proofErr w:type="gramStart"/>
      <w:r>
        <w:rPr>
          <w:rFonts w:ascii="宋体" w:eastAsia="宋体" w:hAnsi="宋体" w:cs="宋体" w:hint="eastAsia"/>
          <w:sz w:val="24"/>
        </w:rPr>
        <w:t>规</w:t>
      </w:r>
      <w:proofErr w:type="gramEnd"/>
      <w:r>
        <w:rPr>
          <w:rFonts w:ascii="宋体" w:eastAsia="宋体" w:hAnsi="宋体" w:cs="宋体" w:hint="eastAsia"/>
          <w:sz w:val="24"/>
        </w:rPr>
        <w:t>经营，维护市场竞争秩序。</w:t>
      </w:r>
    </w:p>
    <w:p w14:paraId="1FC7C5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本法所称经营者，是指从事商品生产、经营或者提供服务的自然人、法人和非法人组织。</w:t>
      </w:r>
    </w:p>
    <w:p w14:paraId="4E01DA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本法所称相关市场，是指经营者在一定时期内就特定商品或者服务（以下统称商品）进行竞争的商品范围和地域范围。</w:t>
      </w:r>
    </w:p>
    <w:p w14:paraId="3822E8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垄断协议</w:t>
      </w:r>
    </w:p>
    <w:p w14:paraId="2E3EFB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本法所称垄断协议，是指排除、限制竞争的协议、决定或者其他协同行为。</w:t>
      </w:r>
    </w:p>
    <w:p w14:paraId="414DC3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禁止具有竞争关系的经营者达成下列垄断协议：</w:t>
      </w:r>
    </w:p>
    <w:p w14:paraId="5F4D42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（一）固定或者变更商品价格；</w:t>
      </w:r>
    </w:p>
    <w:p w14:paraId="31EA95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（二）限制商品的生产数量或者销售数量；</w:t>
      </w:r>
    </w:p>
    <w:p w14:paraId="0F6BC2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（三）分割销售市场或者原材料采购市场；</w:t>
      </w:r>
    </w:p>
    <w:p w14:paraId="342433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（四）限制购买新技术、新设备或者限制开发新技术、新产品；</w:t>
      </w:r>
    </w:p>
    <w:p w14:paraId="6BD7F2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（五）联合抵制交易；</w:t>
      </w:r>
    </w:p>
    <w:p w14:paraId="56711D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（六）国务院反垄断执法机构认定的其他垄断协议。</w:t>
      </w:r>
    </w:p>
    <w:p w14:paraId="4C8984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禁止经营者与交易相对人达成下列垄断协议：</w:t>
      </w:r>
    </w:p>
    <w:p w14:paraId="52AFB6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（一）固定向第三人转售商品的价格；</w:t>
      </w:r>
    </w:p>
    <w:p w14:paraId="3A0851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（二）限定向第三人转售商品的最低价格；</w:t>
      </w:r>
    </w:p>
    <w:p w14:paraId="6C2E3A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（三）国务院反垄断执法机构认定的其他垄断协议。</w:t>
      </w:r>
    </w:p>
    <w:p w14:paraId="4493F3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对前款第一项和第二项规定的协议，经营者能够证明其不具有排除、限制竞争效果的，不予禁止。</w:t>
      </w:r>
    </w:p>
    <w:p w14:paraId="7AF89F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经营者能够证明其在相关市场的市场份额低于国务院反垄断执法机构规定的标准，并符合国务院反垄断执法机构规定的其他条件的，不予禁止。</w:t>
      </w:r>
    </w:p>
    <w:p w14:paraId="2F1CEE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经营者不得组织其他经营者达成垄断协议或者为其他经营者达成垄断协议提供实质性帮助。</w:t>
      </w:r>
    </w:p>
    <w:p w14:paraId="03E9A6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经营者能够证明所达成的协议属于下列情形之一的，不适用本法第十七条、第十八条第一款、第十九条的规定：</w:t>
      </w:r>
    </w:p>
    <w:p w14:paraId="35B04B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（一）为改进技术、研究开发新产品的；</w:t>
      </w:r>
    </w:p>
    <w:p w14:paraId="47504F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（二）为提高产品质量、降低成本、增进效率，统一产品规格、标准或者实行专业化分工的；</w:t>
      </w:r>
    </w:p>
    <w:p w14:paraId="6F04AA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（三）为提高中小经营者经营效率，增强中小经营者竞争力的；</w:t>
      </w:r>
    </w:p>
    <w:p w14:paraId="21163A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（四）为实现节约能源、保护环境、救灾救助等社会公共利益的；</w:t>
      </w:r>
    </w:p>
    <w:p w14:paraId="6CD5AC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（五）因经济不景气，为缓解销售量严重下降或者生产明显过剩的；</w:t>
      </w:r>
    </w:p>
    <w:p w14:paraId="5C4C75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（六）为保障对外贸易和对外经济合作中的正当利益的；</w:t>
      </w:r>
    </w:p>
    <w:p w14:paraId="7C4A67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（七）法律和国务院规定的其他情形。</w:t>
      </w:r>
    </w:p>
    <w:p w14:paraId="4D717F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属于前款第一项至第五项情形，不适用本法第十七条、第十八条第一款、第十九条规定的，经营者还应当证明所达成的协议不会严重限制相关市场的竞争，并且能够使消费者分享由此产生的利益。</w:t>
      </w:r>
    </w:p>
    <w:p w14:paraId="16372D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行业协会不得组织本行业的经营者从事本章禁止的垄断行为。</w:t>
      </w:r>
    </w:p>
    <w:p w14:paraId="5DD383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滥用市场支配地位</w:t>
      </w:r>
    </w:p>
    <w:p w14:paraId="165959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禁止具有市场支配地位的经营者从事下列滥用市场支配地位的行为：</w:t>
      </w:r>
    </w:p>
    <w:p w14:paraId="7CBD3B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（一）以不公平的高价销售商品或者以不公平的低价购买商品；</w:t>
      </w:r>
    </w:p>
    <w:p w14:paraId="0297E9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（二）没有正当理由，以低于成本的价格销售商品；</w:t>
      </w:r>
    </w:p>
    <w:p w14:paraId="18D3DA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（三）没有正当理由，拒绝与交易相对人进行交易；</w:t>
      </w:r>
    </w:p>
    <w:p w14:paraId="127DF7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（四）没有正当理由，限定交易相对人只能与其进行交易或者只能与其指定的经营者进行交易；</w:t>
      </w:r>
    </w:p>
    <w:p w14:paraId="0580E1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（五）没有正当理由搭售商品，或者在交易时附加其他不合理的交易条件；</w:t>
      </w:r>
    </w:p>
    <w:p w14:paraId="3C6813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（六）没有正当理由，对条件相同的交易相对人在交易价格等交易条件上实行差别待遇；</w:t>
      </w:r>
    </w:p>
    <w:p w14:paraId="7FCA47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（七）国务院反垄断执法机构认定的其他滥用市场支配地位的行为。</w:t>
      </w:r>
    </w:p>
    <w:p w14:paraId="0E1D2D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具有市场支配地位的经营者不得利用数据和算法、技术以及平台规则等从事前款规定的滥用市场支配地位的行为。</w:t>
      </w:r>
    </w:p>
    <w:p w14:paraId="10732E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本法所称市场支配地位，是指经营者在相关市场内具有能够控制商品价格、数量或者其他交易条件，或者能够阻碍、影响其他经营者进入相关市场能力的市场地位。</w:t>
      </w:r>
    </w:p>
    <w:p w14:paraId="2DDAF9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认定经营者具有市场支配地位，应当依据下列因素：</w:t>
      </w:r>
    </w:p>
    <w:p w14:paraId="449278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（一）该经营者在相关市场的市场份额，以及相关市场的竞争状况；</w:t>
      </w:r>
    </w:p>
    <w:p w14:paraId="4214EB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（二）该经营者控制销售市场或者原材料采购市场的能力；</w:t>
      </w:r>
    </w:p>
    <w:p w14:paraId="378A71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（三）该经营者的财力和技术条件；</w:t>
      </w:r>
    </w:p>
    <w:p w14:paraId="553E4B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（四）其他经营者对该经营者在交易上的依赖程度；</w:t>
      </w:r>
    </w:p>
    <w:p w14:paraId="51EA0E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（五）其他经营者进入相关市场的难易程度；</w:t>
      </w:r>
    </w:p>
    <w:p w14:paraId="1B3673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（六）与认定该经营者市场支配地位有关的其他因素。</w:t>
      </w:r>
    </w:p>
    <w:p w14:paraId="12FDEF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有下列情形之一的，可以推定经营者具有市场支配地位：</w:t>
      </w:r>
    </w:p>
    <w:p w14:paraId="32D52F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（一）一个经营者在相关市场的市场份额达到二分之一的；</w:t>
      </w:r>
    </w:p>
    <w:p w14:paraId="378E5A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（二）两个经营者在相关市场的市场份额合计达到三分之二的；</w:t>
      </w:r>
    </w:p>
    <w:p w14:paraId="6B26CA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（三）三个经营者在相关市场的市场份额合计达到四分之三的。</w:t>
      </w:r>
    </w:p>
    <w:p w14:paraId="4A23A8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有前款第二项、第三项规定的情形，其中有的经营者市场份额</w:t>
      </w:r>
      <w:proofErr w:type="gramStart"/>
      <w:r>
        <w:rPr>
          <w:rFonts w:ascii="宋体" w:eastAsia="宋体" w:hAnsi="宋体" w:cs="宋体" w:hint="eastAsia"/>
          <w:sz w:val="24"/>
        </w:rPr>
        <w:t>不足十分之一</w:t>
      </w:r>
      <w:proofErr w:type="gramEnd"/>
      <w:r>
        <w:rPr>
          <w:rFonts w:ascii="宋体" w:eastAsia="宋体" w:hAnsi="宋体" w:cs="宋体" w:hint="eastAsia"/>
          <w:sz w:val="24"/>
        </w:rPr>
        <w:t>的，不应当推定该经营者具有市场支配地位。</w:t>
      </w:r>
    </w:p>
    <w:p w14:paraId="54FE4F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被推定具有市场支配地位的经营者，有证据证明不具有市场支配地位的，不应当认定其具有市场支配地位。</w:t>
      </w:r>
    </w:p>
    <w:p w14:paraId="3B4FD8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经营者集中</w:t>
      </w:r>
    </w:p>
    <w:p w14:paraId="0132AC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经营者集中是指下列情形：</w:t>
      </w:r>
    </w:p>
    <w:p w14:paraId="101654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（一）经营者合并；</w:t>
      </w:r>
    </w:p>
    <w:p w14:paraId="43C565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（二）经营者通过取得股权或者资产的方式取得对其他经营者的控制权；</w:t>
      </w:r>
    </w:p>
    <w:p w14:paraId="06E56D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（三）经营者通过合同等方式取得对其他经营者的控制权或者能够对其他经营者施加决定性影响。</w:t>
      </w:r>
    </w:p>
    <w:p w14:paraId="2AA631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经营者集中达到国务院规定的申报标准的，经营者应当事先向国务院反垄断执法机构申报，未申报的不得实施集中。</w:t>
      </w:r>
    </w:p>
    <w:p w14:paraId="44D038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经营者集中未达到国务院规定的申报标准，但有证据证明该经营者集中具有或者可能具有排除、限制竞争效果的，国务院反垄断执法机构可以要求经营者申报。</w:t>
      </w:r>
    </w:p>
    <w:p w14:paraId="03218D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经营者未依照前两款规定进行申报的，国务院反垄断执法机构应当依法进行调查。</w:t>
      </w:r>
    </w:p>
    <w:p w14:paraId="3950DC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经营者集中有下列情形之一的，可以不向国务院反垄断执法机构申报：</w:t>
      </w:r>
    </w:p>
    <w:p w14:paraId="6E235B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（一）参与集中的一个经营者拥有其他每个经营者百分之五十以上有表决权的股份或者资产的；</w:t>
      </w:r>
    </w:p>
    <w:p w14:paraId="5D7225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（二）参与集中的每个经营者百分之五十以上有表决权的股份或者资产被同一个未参与集中的经营者拥有的。</w:t>
      </w:r>
    </w:p>
    <w:p w14:paraId="7F234C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经营者向国务院反垄断执法机构申报集中，应当提交下列文件、资料：</w:t>
      </w:r>
    </w:p>
    <w:p w14:paraId="082974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（一）申报书；</w:t>
      </w:r>
    </w:p>
    <w:p w14:paraId="396639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（二）集中对相关市场竞争状况影响的说明；</w:t>
      </w:r>
    </w:p>
    <w:p w14:paraId="21BB7A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（三）集中协议；</w:t>
      </w:r>
    </w:p>
    <w:p w14:paraId="304F6A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（四）参与集中的经营者经会计师事务所审计的上一会计年度财务会计报告；</w:t>
      </w:r>
    </w:p>
    <w:p w14:paraId="71B300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（五）国务院反垄断执法机构规定的其他文件、资料。</w:t>
      </w:r>
    </w:p>
    <w:p w14:paraId="7B20BF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申报书应当载明参与集中的经营者的名称、住所、经营范围、预定实施集中的日期和国务院反垄断执法机构规定的其他事项。</w:t>
      </w:r>
    </w:p>
    <w:p w14:paraId="32531C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经营者提交的文件、资料不完备的，应当在国务院反垄断执法机构规定的期限内补交文件、资料。经营者逾期未补交文件、资料的，视为未申报。</w:t>
      </w:r>
    </w:p>
    <w:p w14:paraId="3982F8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国务院反垄断执法机构应当自收到经营者提交的符合本法第二十八条规定的文件、资料之日起三十日内，对申报的经营者集中进行初步审查，</w:t>
      </w:r>
      <w:proofErr w:type="gramStart"/>
      <w:r>
        <w:rPr>
          <w:rFonts w:ascii="宋体" w:eastAsia="宋体" w:hAnsi="宋体" w:cs="宋体" w:hint="eastAsia"/>
          <w:sz w:val="24"/>
        </w:rPr>
        <w:t>作出</w:t>
      </w:r>
      <w:proofErr w:type="gramEnd"/>
      <w:r>
        <w:rPr>
          <w:rFonts w:ascii="宋体" w:eastAsia="宋体" w:hAnsi="宋体" w:cs="宋体" w:hint="eastAsia"/>
          <w:sz w:val="24"/>
        </w:rPr>
        <w:t>是否实施进一步审查的决定，并书面通知经营者。国务院反垄断执法机构</w:t>
      </w:r>
      <w:proofErr w:type="gramStart"/>
      <w:r>
        <w:rPr>
          <w:rFonts w:ascii="宋体" w:eastAsia="宋体" w:hAnsi="宋体" w:cs="宋体" w:hint="eastAsia"/>
          <w:sz w:val="24"/>
        </w:rPr>
        <w:t>作出</w:t>
      </w:r>
      <w:proofErr w:type="gramEnd"/>
      <w:r>
        <w:rPr>
          <w:rFonts w:ascii="宋体" w:eastAsia="宋体" w:hAnsi="宋体" w:cs="宋体" w:hint="eastAsia"/>
          <w:sz w:val="24"/>
        </w:rPr>
        <w:t>决定前，经营者不得实施集中。</w:t>
      </w:r>
    </w:p>
    <w:p w14:paraId="707A64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国务院反垄断执法机构</w:t>
      </w:r>
      <w:proofErr w:type="gramStart"/>
      <w:r>
        <w:rPr>
          <w:rFonts w:ascii="宋体" w:eastAsia="宋体" w:hAnsi="宋体" w:cs="宋体" w:hint="eastAsia"/>
          <w:sz w:val="24"/>
        </w:rPr>
        <w:t>作出</w:t>
      </w:r>
      <w:proofErr w:type="gramEnd"/>
      <w:r>
        <w:rPr>
          <w:rFonts w:ascii="宋体" w:eastAsia="宋体" w:hAnsi="宋体" w:cs="宋体" w:hint="eastAsia"/>
          <w:sz w:val="24"/>
        </w:rPr>
        <w:t>不实施进一步审查的决定或者逾期未</w:t>
      </w:r>
      <w:proofErr w:type="gramStart"/>
      <w:r>
        <w:rPr>
          <w:rFonts w:ascii="宋体" w:eastAsia="宋体" w:hAnsi="宋体" w:cs="宋体" w:hint="eastAsia"/>
          <w:sz w:val="24"/>
        </w:rPr>
        <w:t>作出</w:t>
      </w:r>
      <w:proofErr w:type="gramEnd"/>
      <w:r>
        <w:rPr>
          <w:rFonts w:ascii="宋体" w:eastAsia="宋体" w:hAnsi="宋体" w:cs="宋体" w:hint="eastAsia"/>
          <w:sz w:val="24"/>
        </w:rPr>
        <w:t>决定的，经营者可以实施集中。</w:t>
      </w:r>
    </w:p>
    <w:p w14:paraId="226C68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国务院反垄断执法机构决定实施进一步审查的，应当自决定之日起九十日内审查完毕，</w:t>
      </w:r>
      <w:proofErr w:type="gramStart"/>
      <w:r>
        <w:rPr>
          <w:rFonts w:ascii="宋体" w:eastAsia="宋体" w:hAnsi="宋体" w:cs="宋体" w:hint="eastAsia"/>
          <w:sz w:val="24"/>
        </w:rPr>
        <w:t>作出</w:t>
      </w:r>
      <w:proofErr w:type="gramEnd"/>
      <w:r>
        <w:rPr>
          <w:rFonts w:ascii="宋体" w:eastAsia="宋体" w:hAnsi="宋体" w:cs="宋体" w:hint="eastAsia"/>
          <w:sz w:val="24"/>
        </w:rPr>
        <w:t>是否禁止经营者集中的决定，并书面通知经营者。</w:t>
      </w:r>
      <w:proofErr w:type="gramStart"/>
      <w:r>
        <w:rPr>
          <w:rFonts w:ascii="宋体" w:eastAsia="宋体" w:hAnsi="宋体" w:cs="宋体" w:hint="eastAsia"/>
          <w:sz w:val="24"/>
        </w:rPr>
        <w:t>作出</w:t>
      </w:r>
      <w:proofErr w:type="gramEnd"/>
      <w:r>
        <w:rPr>
          <w:rFonts w:ascii="宋体" w:eastAsia="宋体" w:hAnsi="宋体" w:cs="宋体" w:hint="eastAsia"/>
          <w:sz w:val="24"/>
        </w:rPr>
        <w:t>禁止经营者集中的决定，应当说明理由。审查期间，经营者不得实施集中。</w:t>
      </w:r>
    </w:p>
    <w:p w14:paraId="33E8E6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有下列情形之一的，国务院反垄断执法机构经书面通知经营者，可以延长前款规定的审查期限，但最长不得超过六十日：</w:t>
      </w:r>
    </w:p>
    <w:p w14:paraId="08DE8D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（一）经营者同意延长审查期限的；</w:t>
      </w:r>
    </w:p>
    <w:p w14:paraId="5CF181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（二）经营者提交的文件、资料不准确，需要进一步核实的；</w:t>
      </w:r>
    </w:p>
    <w:p w14:paraId="381246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（三）经营者申报后有关情况发生重大变化的。</w:t>
      </w:r>
    </w:p>
    <w:p w14:paraId="301DE7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国务院反垄断执法机构逾期未</w:t>
      </w:r>
      <w:proofErr w:type="gramStart"/>
      <w:r>
        <w:rPr>
          <w:rFonts w:ascii="宋体" w:eastAsia="宋体" w:hAnsi="宋体" w:cs="宋体" w:hint="eastAsia"/>
          <w:sz w:val="24"/>
        </w:rPr>
        <w:t>作出</w:t>
      </w:r>
      <w:proofErr w:type="gramEnd"/>
      <w:r>
        <w:rPr>
          <w:rFonts w:ascii="宋体" w:eastAsia="宋体" w:hAnsi="宋体" w:cs="宋体" w:hint="eastAsia"/>
          <w:sz w:val="24"/>
        </w:rPr>
        <w:t>决定的，经营者可以实施集中。</w:t>
      </w:r>
    </w:p>
    <w:p w14:paraId="064078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有下列情形之一的，国务院反垄断执法机构可以决定中止计算经营者集中的审查期限，并书面通知经营者：</w:t>
      </w:r>
    </w:p>
    <w:p w14:paraId="726730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（一）经营者未按照规定提交文件、资料，导致审查工作无法进行；</w:t>
      </w:r>
    </w:p>
    <w:p w14:paraId="7BCC05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（二）出现对经营者集中审查具有重大影响的新情况、新事实，不经核实将导致审查工作无法进行；</w:t>
      </w:r>
    </w:p>
    <w:p w14:paraId="5CF63C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（三）需要对经营者集中附加的限制性条件进一步评估，且经营者提出中止请求。</w:t>
      </w:r>
    </w:p>
    <w:p w14:paraId="6D70E0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自中止计算审查期限的情形消除之日起，审查期限继续计算，国务院反垄断执法机构应当书面通知经营者。</w:t>
      </w:r>
    </w:p>
    <w:p w14:paraId="1E6DC6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审查经营者集中，应当考虑下列因素：</w:t>
      </w:r>
    </w:p>
    <w:p w14:paraId="7456EB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（一）参与集中的经营者在相关市场的市场份额及其对市场的控制力；</w:t>
      </w:r>
    </w:p>
    <w:p w14:paraId="458CF6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（二）相关市场的市场集中度；</w:t>
      </w:r>
    </w:p>
    <w:p w14:paraId="4BD2F8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（三）经营者集中对市场进入、技术进步的影响；</w:t>
      </w:r>
    </w:p>
    <w:p w14:paraId="778D02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（四）经营者集中对消费者和其他有关经营者的影响；</w:t>
      </w:r>
    </w:p>
    <w:p w14:paraId="779E64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（五）经营者集中对国民经济发展的影响；</w:t>
      </w:r>
    </w:p>
    <w:p w14:paraId="1272CD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（六）国务院反垄断执法机构认为应当考虑的影响市场竞争的其他因素。</w:t>
      </w:r>
    </w:p>
    <w:p w14:paraId="592F62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经营者集中具有或者可能具有排除、限制竞争效果的，国务院反垄断执法机构应当</w:t>
      </w:r>
      <w:proofErr w:type="gramStart"/>
      <w:r>
        <w:rPr>
          <w:rFonts w:ascii="宋体" w:eastAsia="宋体" w:hAnsi="宋体" w:cs="宋体" w:hint="eastAsia"/>
          <w:sz w:val="24"/>
        </w:rPr>
        <w:t>作出</w:t>
      </w:r>
      <w:proofErr w:type="gramEnd"/>
      <w:r>
        <w:rPr>
          <w:rFonts w:ascii="宋体" w:eastAsia="宋体" w:hAnsi="宋体" w:cs="宋体" w:hint="eastAsia"/>
          <w:sz w:val="24"/>
        </w:rPr>
        <w:t>禁止经营者集中的决定。但是，经营者能够证明该集中对竞争产生的有利影响明显大于不利影响，或者符合社会公共利益的，国务院反垄断执法机构可以</w:t>
      </w:r>
      <w:proofErr w:type="gramStart"/>
      <w:r>
        <w:rPr>
          <w:rFonts w:ascii="宋体" w:eastAsia="宋体" w:hAnsi="宋体" w:cs="宋体" w:hint="eastAsia"/>
          <w:sz w:val="24"/>
        </w:rPr>
        <w:t>作出</w:t>
      </w:r>
      <w:proofErr w:type="gramEnd"/>
      <w:r>
        <w:rPr>
          <w:rFonts w:ascii="宋体" w:eastAsia="宋体" w:hAnsi="宋体" w:cs="宋体" w:hint="eastAsia"/>
          <w:sz w:val="24"/>
        </w:rPr>
        <w:t>对经营者集中不予禁止的决定。</w:t>
      </w:r>
    </w:p>
    <w:p w14:paraId="09E578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对不予禁止的经营者集中，国务院反垄断执法机构可以决定附加减少集中对竞争产生不利影响的限制性条件。</w:t>
      </w:r>
    </w:p>
    <w:p w14:paraId="43512F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国务院反垄断执法机构应当将禁止经营者集中的决定或者对经营者集中附加限制性条件的决定，及时向社会公布。</w:t>
      </w:r>
    </w:p>
    <w:p w14:paraId="1CA09C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国务院反垄断执法机构应当健全经营者集中分类分级审查制度，依法加强对涉及国计民生等重要领域的经营者集中的审查，提高审查质量和效率。</w:t>
      </w:r>
    </w:p>
    <w:p w14:paraId="589C1C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第三十八条　对外资并购境内企业或者以其他方式参与经营者集中，涉及国家安全的，除依照本法规定进行经营者集中审查外，还应当按照国家有关规定进行国家安全审查。</w:t>
      </w:r>
    </w:p>
    <w:p w14:paraId="78066C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滥用行政权力排除、限制竞争</w:t>
      </w:r>
    </w:p>
    <w:p w14:paraId="29796F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行政机关和法律、法规授权的具有管理公共事务职能的组织不得滥用行政权力，限定或者变相限定单位或者个人经营、购买、使用其指定的经营者提供的商品。</w:t>
      </w:r>
    </w:p>
    <w:p w14:paraId="32BE2B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行政机关和法律、法规授权的具有管理公共事务职能的组织不得滥用行政权力，通过与经营者签订合作协议、备忘录等方式，妨碍其他经营者进入相关市场或者对其他经营者实行不平等待遇，排除、限制竞争。</w:t>
      </w:r>
    </w:p>
    <w:p w14:paraId="44A9A7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行政机关和法律、法规授权的具有管理公共事务职能的组织不得滥用行政权力，实施下列行为，妨碍商品在地区之间的自由流通：</w:t>
      </w:r>
    </w:p>
    <w:p w14:paraId="3B7A95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（一）对外地商品设定歧视性收费项目、实行歧视性收费标准，或者规定歧视性价格；</w:t>
      </w:r>
    </w:p>
    <w:p w14:paraId="68C1AD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（二）对外地商品规定与本地同类商品不同的技术要求、检验标准，或者对外地商品采取重复检验、重复认证等歧视性技术措施，限制外地商品进入本地市场；</w:t>
      </w:r>
    </w:p>
    <w:p w14:paraId="692A5D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（三）采取专门针对外地商品的行政许可，限制外地商品进入本地市场；</w:t>
      </w:r>
    </w:p>
    <w:p w14:paraId="194EC2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（四）设置关卡或者采取其他手段，阻碍外地商品进入或者本地商品运出；</w:t>
      </w:r>
    </w:p>
    <w:p w14:paraId="7D79B0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（五）妨碍商品在地区之间自由流通的其他行为。</w:t>
      </w:r>
    </w:p>
    <w:p w14:paraId="40666A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行政机关和法律、法规授权的具有管理公共事务职能的组织不得滥用行政权力，以设定歧视性资质要求、评审标准或者不依法发布信息等方式，排斥或者限制经营者参加招标投标以及其他经营活动。</w:t>
      </w:r>
    </w:p>
    <w:p w14:paraId="340072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行政机关和法律、法规授权的具有管理公共事务职能的组织不得滥用行政权力，采取与本地经营者不平等待遇等方式，排斥、限制、强制或者变相强制外地经营者在本地投资或者设立分支机构。</w:t>
      </w:r>
    </w:p>
    <w:p w14:paraId="104043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第四十四条　行政机关和法律、法规授权的具有管理公共事务职能的组织不得滥用行政权力，强制或者变相强制经营者从事本法规定的垄断行为。</w:t>
      </w:r>
    </w:p>
    <w:p w14:paraId="0C6EB9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行政机关和法律、法规授权的具有管理公共事务职能的组织不得滥用行政权力，制定含有排除、限制竞争内容的规定。</w:t>
      </w:r>
    </w:p>
    <w:p w14:paraId="0ED01B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对涉嫌垄断行为的调查</w:t>
      </w:r>
    </w:p>
    <w:p w14:paraId="60B065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反垄断执法机构依法对涉嫌垄断行为进行调查。</w:t>
      </w:r>
    </w:p>
    <w:p w14:paraId="6A2CB7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对涉嫌垄断行为，任何单位和个人有权向反垄断执法机构举报。反垄断执法机构应当为举报人保密。</w:t>
      </w:r>
    </w:p>
    <w:p w14:paraId="50860E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举报采用书面形式并提供相关事实和证据的，反垄断执法机构应当进行必要的调查。</w:t>
      </w:r>
    </w:p>
    <w:p w14:paraId="41EE6F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反垄断执法机构调查涉嫌垄断行为，可以采取下列措施：</w:t>
      </w:r>
    </w:p>
    <w:p w14:paraId="733180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（一）进入被调查的经营者的营业场所或者其他有关场所进行检查；</w:t>
      </w:r>
    </w:p>
    <w:p w14:paraId="4D1C3F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（二）询问被调查的经营者、利害关系人或者其他有关单位或者个人，要求其说明有关情况；</w:t>
      </w:r>
    </w:p>
    <w:p w14:paraId="4FAD28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（三）查阅、复制被调查的经营者、利害关系人或者其他有关单位或者个人的有关单证、协议、会计账簿、业务函电、电子数据等文件、资料；</w:t>
      </w:r>
    </w:p>
    <w:p w14:paraId="40E46F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（四）查封、扣押相关证据；</w:t>
      </w:r>
    </w:p>
    <w:p w14:paraId="168CCF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（五）查询经营者的银行账户。</w:t>
      </w:r>
    </w:p>
    <w:p w14:paraId="330624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采取前款规定的措施，应当向反垄断执法机构主要负责人书面报告，并经批准。</w:t>
      </w:r>
    </w:p>
    <w:p w14:paraId="0DA431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反垄断执法机构调查涉嫌垄断行为，执法人员不得少于二人，并应当出示执法证件。</w:t>
      </w:r>
    </w:p>
    <w:p w14:paraId="6EFC47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执法人员进行询问和调查，应当制作笔录，并由被询问人或者被调查人签字。</w:t>
      </w:r>
    </w:p>
    <w:p w14:paraId="5F4735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第四十九条　反垄断执法机构及其工作人员对执法过程中知悉的商业秘密、</w:t>
      </w:r>
      <w:r>
        <w:rPr>
          <w:rFonts w:ascii="宋体" w:eastAsia="宋体" w:hAnsi="宋体" w:cs="宋体" w:hint="eastAsia"/>
          <w:sz w:val="24"/>
        </w:rPr>
        <w:lastRenderedPageBreak/>
        <w:t>个人隐私和个人信息依法负有保密义务。</w:t>
      </w:r>
    </w:p>
    <w:p w14:paraId="49D4A1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第五十条　被调查的经营者、利害关系人或者其他有关单位或者个人应当配合反垄断执法机构依法履行职责，不得拒绝、阻碍反垄断执法机构的调查。</w:t>
      </w:r>
    </w:p>
    <w:p w14:paraId="7D5656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第五十一条　被调查的经营者、利害关系人有权陈述意见。反垄断执法机构应当对被调查的经营者、利害关系人提出的事实、理由和证据进行核实。</w:t>
      </w:r>
    </w:p>
    <w:p w14:paraId="7433CC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第五十二条　反垄断执法机构对涉嫌垄断行为调查核实后，认为构成垄断行为的，应当依法</w:t>
      </w:r>
      <w:proofErr w:type="gramStart"/>
      <w:r>
        <w:rPr>
          <w:rFonts w:ascii="宋体" w:eastAsia="宋体" w:hAnsi="宋体" w:cs="宋体" w:hint="eastAsia"/>
          <w:sz w:val="24"/>
        </w:rPr>
        <w:t>作出</w:t>
      </w:r>
      <w:proofErr w:type="gramEnd"/>
      <w:r>
        <w:rPr>
          <w:rFonts w:ascii="宋体" w:eastAsia="宋体" w:hAnsi="宋体" w:cs="宋体" w:hint="eastAsia"/>
          <w:sz w:val="24"/>
        </w:rPr>
        <w:t>处理决定，并可以向社会公布。</w:t>
      </w:r>
    </w:p>
    <w:p w14:paraId="02330C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第五十三条　对反垄断执法机构调查的涉嫌垄断行为，被调查的经营者承诺在反垄断执法机构认可的期限内采取具体措施消除该行为后果的，反垄断执法机构可以决定中止调查。中止调查的决定应当载明被调查的经营者承诺的具体内容。</w:t>
      </w:r>
    </w:p>
    <w:p w14:paraId="7B6174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反垄断执法机构决定中止调查的，应当对经营者履行承诺的情况进行监督。经营者履行承诺的，反垄断执法机构可以决定终止调查。</w:t>
      </w:r>
    </w:p>
    <w:p w14:paraId="64BCA4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有下列情形之一的，反垄断执法机构应当恢复调查：</w:t>
      </w:r>
    </w:p>
    <w:p w14:paraId="340E6B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（一）经营者未履行承诺的；</w:t>
      </w:r>
    </w:p>
    <w:p w14:paraId="284CB7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w:t>
      </w:r>
      <w:proofErr w:type="gramStart"/>
      <w:r>
        <w:rPr>
          <w:rFonts w:ascii="宋体" w:eastAsia="宋体" w:hAnsi="宋体" w:cs="宋体" w:hint="eastAsia"/>
          <w:sz w:val="24"/>
        </w:rPr>
        <w:t>作出</w:t>
      </w:r>
      <w:proofErr w:type="gramEnd"/>
      <w:r>
        <w:rPr>
          <w:rFonts w:ascii="宋体" w:eastAsia="宋体" w:hAnsi="宋体" w:cs="宋体" w:hint="eastAsia"/>
          <w:sz w:val="24"/>
        </w:rPr>
        <w:t>中止调查决定所依据的事实发生重大变化的；</w:t>
      </w:r>
    </w:p>
    <w:p w14:paraId="221A4F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（三）中止调查的决定是基于经营者提供的不完整或者不真实的信息</w:t>
      </w:r>
      <w:proofErr w:type="gramStart"/>
      <w:r>
        <w:rPr>
          <w:rFonts w:ascii="宋体" w:eastAsia="宋体" w:hAnsi="宋体" w:cs="宋体" w:hint="eastAsia"/>
          <w:sz w:val="24"/>
        </w:rPr>
        <w:t>作出</w:t>
      </w:r>
      <w:proofErr w:type="gramEnd"/>
      <w:r>
        <w:rPr>
          <w:rFonts w:ascii="宋体" w:eastAsia="宋体" w:hAnsi="宋体" w:cs="宋体" w:hint="eastAsia"/>
          <w:sz w:val="24"/>
        </w:rPr>
        <w:t>的。</w:t>
      </w:r>
    </w:p>
    <w:p w14:paraId="666975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第五十四条　反垄断执法机构依法对涉嫌滥用行政权力排除、限制竞争的行为进行调查，有关单位或者个人应当配合。</w:t>
      </w:r>
    </w:p>
    <w:p w14:paraId="76D4A8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第五十五条　经营者、行政机关和法律、法规授权的具有管理公共事务职能的组织，涉嫌违反本法规定的，反垄断执法机构可以对其法定代表人或者负责人进行约谈，要求其提出改进措施。</w:t>
      </w:r>
    </w:p>
    <w:p w14:paraId="575695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法律责任</w:t>
      </w:r>
    </w:p>
    <w:p w14:paraId="2FA904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第五十六条　经营者违反本法规定，达成并实施垄断协议的，由反垄断执法机构责令停止违法行为，没收违法所得，并处上一年度销售额百分之一以上百分之十以下的罚款，上一年度没有销售额的，处五百万元以下的罚款；尚未实施所</w:t>
      </w:r>
      <w:r>
        <w:rPr>
          <w:rFonts w:ascii="宋体" w:eastAsia="宋体" w:hAnsi="宋体" w:cs="宋体" w:hint="eastAsia"/>
          <w:sz w:val="24"/>
        </w:rPr>
        <w:lastRenderedPageBreak/>
        <w:t>达成的垄断协议的，可以处三百万元以下的罚款。经营者的法定代表人、主要负责人和直接责任人员对达成垄断协议负有个人责任的，可以处一百万元以下的罚款。</w:t>
      </w:r>
    </w:p>
    <w:p w14:paraId="022188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经营者组织其他经营者达成垄断协议或者为其他经营者达成垄断协议提供实质性帮助的，适用前款规定。</w:t>
      </w:r>
    </w:p>
    <w:p w14:paraId="5B7B44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经营者主动向反垄断执法机构报告达成垄断协议的有关情况并提供重要证据的，反垄断执法机构可以酌情减轻或者免除对该经营者的处罚。</w:t>
      </w:r>
    </w:p>
    <w:p w14:paraId="230DC3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行业协会违反本法规定，组织本行业的经营者达成垄断协议的，由反垄断执法机构责令改正，可以处三百万元以下的罚款；情节严重的，社会团体登记管理机关可以依法撤销登记。</w:t>
      </w:r>
    </w:p>
    <w:p w14:paraId="622067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第五十七条　经营者违反本法规定，滥用市场支配地位的，由反垄断执法机构责令停止违法行为，没收违法所得，并处上一年度销售额百分之一以上百分之十以下的罚款。</w:t>
      </w:r>
    </w:p>
    <w:p w14:paraId="1027E9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第五十八条　经营者违反本法规定实施集中，且具有或者可能具有排除、限制竞争效果的，由国务院反垄断执法机构责令停止实施集中、限期处分股份或者资产、限期转让营业以及采取其他必要措施恢复到集中前的状态，处上一年度销售额百分之十以下的罚款；不具有排除、限制竞争效果的，处五百万元以下的罚款。</w:t>
      </w:r>
    </w:p>
    <w:p w14:paraId="663AE4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第五十九条　对本法第五十六条、第五十七条、第五十八条规定的罚款，反垄断执法机构确定具体罚款数额时，应当考虑违法行为的性质、程度、持续时间和消除违法行为后果的情况等因素。</w:t>
      </w:r>
    </w:p>
    <w:p w14:paraId="7C6D93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第六十条　经营者实施垄断行为，给他人造成损失的，依法承担民事责任。</w:t>
      </w:r>
    </w:p>
    <w:p w14:paraId="12AEEE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经营者实施垄断行为，损害社会公共利益的，设区的市级以上人民检察院可以依法向人民法院提起民事公益诉讼。</w:t>
      </w:r>
    </w:p>
    <w:p w14:paraId="5BF704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第六十一条　行政机关和法律、法规授权的具有管理公共事务职能的组织滥用行政权力，实施排除、限制竞争行为的，由上级机关责令改正；对直接负责的</w:t>
      </w:r>
      <w:r>
        <w:rPr>
          <w:rFonts w:ascii="宋体" w:eastAsia="宋体" w:hAnsi="宋体" w:cs="宋体" w:hint="eastAsia"/>
          <w:sz w:val="24"/>
        </w:rPr>
        <w:lastRenderedPageBreak/>
        <w:t>主管人员和其他直接责任人员依法给予处分。反垄断执法机构可以向有关上级机关提出依法处理的建议。行政机关和法律、法规授权的具有管理公共事务职能的组织应当将有关改正情况书面报告上级机关和反垄断执法机构。</w:t>
      </w:r>
    </w:p>
    <w:p w14:paraId="2E7E7B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法律、行政法规对行政机关和法律、法规授权的具有管理公共事务职能的组织滥用行政权力实施排除、限制竞争行为的处理另有规定的，依照其规定。</w:t>
      </w:r>
    </w:p>
    <w:p w14:paraId="4560C5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第六十二条　对反垄断执法机构依法实施的审查和调查，拒绝提供有关材料、信息，或者提供虚假材料、信息，或者隐匿、销毁、转移证据，或者有其他拒绝、阻碍调查行为的，由反垄断执法机构责令改正，对单位处上一年度销售额百分之一以下的罚款，上一年度没有销售额或者销售额难以计算的，处五百万元以下的罚款；对个人处五十万元以下的罚款。</w:t>
      </w:r>
    </w:p>
    <w:p w14:paraId="2C8AC7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第六十三条　违反本法规定，情节特别严重、影响特别恶劣、造成特别严重后果的，国务院反垄断执法机构可以在本法第五十六条、第五十七条、第五十八条、第六十二条规定的罚款数额的二倍以上五倍以下确定具体罚款数额。</w:t>
      </w:r>
    </w:p>
    <w:p w14:paraId="630E5F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第六十四条　经营者因违反本法规定受到行政处罚的，按照国家有关规定记入信用记录，并向社会公示。</w:t>
      </w:r>
    </w:p>
    <w:p w14:paraId="397648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第六十五条　对反垄断执法机构依据本法第三十四条、第三十五条</w:t>
      </w:r>
      <w:proofErr w:type="gramStart"/>
      <w:r>
        <w:rPr>
          <w:rFonts w:ascii="宋体" w:eastAsia="宋体" w:hAnsi="宋体" w:cs="宋体" w:hint="eastAsia"/>
          <w:sz w:val="24"/>
        </w:rPr>
        <w:t>作出</w:t>
      </w:r>
      <w:proofErr w:type="gramEnd"/>
      <w:r>
        <w:rPr>
          <w:rFonts w:ascii="宋体" w:eastAsia="宋体" w:hAnsi="宋体" w:cs="宋体" w:hint="eastAsia"/>
          <w:sz w:val="24"/>
        </w:rPr>
        <w:t>的决定不服的，可以</w:t>
      </w:r>
      <w:proofErr w:type="gramStart"/>
      <w:r>
        <w:rPr>
          <w:rFonts w:ascii="宋体" w:eastAsia="宋体" w:hAnsi="宋体" w:cs="宋体" w:hint="eastAsia"/>
          <w:sz w:val="24"/>
        </w:rPr>
        <w:t>先依法</w:t>
      </w:r>
      <w:proofErr w:type="gramEnd"/>
      <w:r>
        <w:rPr>
          <w:rFonts w:ascii="宋体" w:eastAsia="宋体" w:hAnsi="宋体" w:cs="宋体" w:hint="eastAsia"/>
          <w:sz w:val="24"/>
        </w:rPr>
        <w:t>申请行政复议；对行政复议决定不服的，可以依法提起行政诉讼。</w:t>
      </w:r>
    </w:p>
    <w:p w14:paraId="09BE86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对反垄断执法机构</w:t>
      </w:r>
      <w:proofErr w:type="gramStart"/>
      <w:r>
        <w:rPr>
          <w:rFonts w:ascii="宋体" w:eastAsia="宋体" w:hAnsi="宋体" w:cs="宋体" w:hint="eastAsia"/>
          <w:sz w:val="24"/>
        </w:rPr>
        <w:t>作出</w:t>
      </w:r>
      <w:proofErr w:type="gramEnd"/>
      <w:r>
        <w:rPr>
          <w:rFonts w:ascii="宋体" w:eastAsia="宋体" w:hAnsi="宋体" w:cs="宋体" w:hint="eastAsia"/>
          <w:sz w:val="24"/>
        </w:rPr>
        <w:t>的前款规定以外的决定不服的，可以依法申请行政复议或者提起行政诉讼。</w:t>
      </w:r>
    </w:p>
    <w:p w14:paraId="6D40B8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第六十六条　反垄断执法机构工作人员滥用职权、玩忽职守、徇私舞弊或者泄露执法过程中知悉的商业秘密、个人隐私和个人信息的，依法给予处分。</w:t>
      </w:r>
    </w:p>
    <w:p w14:paraId="66FFF9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第六十七条　违反本法规定，构成犯罪的，依法追究刑事责任。</w:t>
      </w:r>
    </w:p>
    <w:p w14:paraId="05201F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第八章　附　　则</w:t>
      </w:r>
    </w:p>
    <w:p w14:paraId="3C5B76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第六十八条　经营者依照有关知识产权的法律、行政法规规定行使知识产权的行为，不适用本法；但是，经营者滥用知识产权，排除、限制竞争的行为，适</w:t>
      </w:r>
      <w:r>
        <w:rPr>
          <w:rFonts w:ascii="宋体" w:eastAsia="宋体" w:hAnsi="宋体" w:cs="宋体" w:hint="eastAsia"/>
          <w:sz w:val="24"/>
        </w:rPr>
        <w:lastRenderedPageBreak/>
        <w:t>用本法。</w:t>
      </w:r>
    </w:p>
    <w:p w14:paraId="1BE0B2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第六十九条　农业生产者及农村经济组织在农产品生产、加工、销售、运输、储存等经营活动中实施的联合或者协同行为，不适用本法。</w:t>
      </w:r>
    </w:p>
    <w:p w14:paraId="162155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第七十条　本法自2008年8月1日起施行。</w:t>
      </w:r>
    </w:p>
    <w:p w14:paraId="17E18195"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4134E488"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6.《最高人民法院关于在国有资本控股、参股的股份有限公司中从事管理工作的人员利用职务便利非法占有本公司财物如何定罪问题的批复》</w:t>
      </w:r>
    </w:p>
    <w:p w14:paraId="253000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    文号：法释〔2001〕17号</w:t>
      </w:r>
    </w:p>
    <w:p w14:paraId="3D810F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重庆市高级人民法院：</w:t>
      </w:r>
    </w:p>
    <w:p w14:paraId="1B437A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你院</w:t>
      </w:r>
      <w:proofErr w:type="gramStart"/>
      <w:r>
        <w:rPr>
          <w:rFonts w:ascii="宋体" w:eastAsia="宋体" w:hAnsi="宋体" w:cs="宋体" w:hint="eastAsia"/>
          <w:sz w:val="24"/>
        </w:rPr>
        <w:t>渝</w:t>
      </w:r>
      <w:proofErr w:type="gramEnd"/>
      <w:r>
        <w:rPr>
          <w:rFonts w:ascii="宋体" w:eastAsia="宋体" w:hAnsi="宋体" w:cs="宋体" w:hint="eastAsia"/>
          <w:sz w:val="24"/>
        </w:rPr>
        <w:t>高法明传〔２０００〕３８号《关于在股份有限公司中从事管理工作的人员侵占本公司财物如何定性的请示》收悉。经研究，答复如下：</w:t>
      </w:r>
    </w:p>
    <w:p w14:paraId="06BC76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国有资本控股、参股的股份有限公司中从事管理工作的人员，除受国家机关、国有公司、企业、事业单位委派从事公务的以外，不属于国家工作人员。对其利用职务上的便利，将本单位财物非法占为己有，数额较大的，应当依照刑法第二百七十一条第一款的规定，以职务侵占罪定罪处罚。</w:t>
      </w:r>
    </w:p>
    <w:p w14:paraId="072929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此复</w:t>
      </w:r>
    </w:p>
    <w:p w14:paraId="512D8B3A"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5B431632"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7.《最高人民法院关于审查知识产权纠纷行为保全案件适用法律若干问题的规定》</w:t>
      </w:r>
    </w:p>
    <w:p w14:paraId="37B76C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    文号：法释〔2018〕21号</w:t>
      </w:r>
    </w:p>
    <w:p w14:paraId="12BB2F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正确审查知识产权纠纷行为保全案件，及时有效保护当事人的合法权益，根据《中华人民共和国民事诉讼法》《中华人民共和国专利法》《中华人民共和国商标法》《中华人民共和国著作权法》等有关法律规定，结合审判、执行工作实际，制定本规定。</w:t>
      </w:r>
    </w:p>
    <w:p w14:paraId="3228D6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本规定中的知识产权纠纷是指《民事案件案由规定》中的知识产权与竞争纠纷。</w:t>
      </w:r>
    </w:p>
    <w:p w14:paraId="63B61D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知识产权纠纷的当事人在判决、裁定或者仲裁裁决生效前，依据民事诉讼法第一百条、第一百零一条规定申请行为保全的，人民法院应当受理。</w:t>
      </w:r>
    </w:p>
    <w:p w14:paraId="5C941A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知识产权许可合同的被许可人申请诉前责令停止侵害知识产权行为的，独占许可合同的被许可人可以单独向人民法院提出申请；排他许可合同的被许可人在权利人不申请的情况下，可以单独提出申请；普通许可合同的被许可人经权利人明确授权以自己的名义起诉的，可以单独提出申请。</w:t>
      </w:r>
    </w:p>
    <w:p w14:paraId="38C469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申请诉前行为保全，应当向被申请人住所地具有相应知识产权纠纷管辖权的人民法院或者对案件具有管辖权的人民法院提出。</w:t>
      </w:r>
    </w:p>
    <w:p w14:paraId="6209AB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当事人约定仲裁的，应当向前款规定的人民法院申请行为保全。</w:t>
      </w:r>
    </w:p>
    <w:p w14:paraId="2814CE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向人民法院申请行为保全，应当递交申请书和相应证据。申请书应当载明下列事项：</w:t>
      </w:r>
    </w:p>
    <w:p w14:paraId="414E81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（一）申请人与被申请人的身份、送达地址、联系方式；</w:t>
      </w:r>
    </w:p>
    <w:p w14:paraId="7BC78B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（二）申请采取行为保全措施的内容和期限；</w:t>
      </w:r>
    </w:p>
    <w:p w14:paraId="313C15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（三）申请所依据的事实、理由，包括被申请人的行为将会使申请人的合法权益受到难以弥补的损害或者造成案件裁决难以执行等损害的具体说明；</w:t>
      </w:r>
    </w:p>
    <w:p w14:paraId="6900B9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（四）为行为保全提供担保的财产信息或资信证明，或者不需要提供担保的</w:t>
      </w:r>
      <w:r>
        <w:rPr>
          <w:rFonts w:ascii="宋体" w:eastAsia="宋体" w:hAnsi="宋体" w:cs="宋体" w:hint="eastAsia"/>
          <w:sz w:val="24"/>
        </w:rPr>
        <w:lastRenderedPageBreak/>
        <w:t>理由；</w:t>
      </w:r>
    </w:p>
    <w:p w14:paraId="5BC97C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（五）其他需要载明的事项。</w:t>
      </w:r>
    </w:p>
    <w:p w14:paraId="5BBED4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人民法院裁定采取行为保全措施前，应当询问申请人和被申请人，但因情况紧急或者询问可能影响保全措施执行等情形除外。</w:t>
      </w:r>
    </w:p>
    <w:p w14:paraId="42F3AB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裁定采取行为保全措施或者裁定驳回申请的，应当向申请人、被申请人送达裁定书。向被申请人送达裁定书可能影响采取保全措施的，人民法院可以在采取保全措施后及时向被申请人送达裁定书，至迟不得超过五日。</w:t>
      </w:r>
    </w:p>
    <w:p w14:paraId="1912B5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在仲裁过程中申请行为保全的，应当通过仲裁机构向人民法院提交申请书、仲裁案件受理通知书等相关材料。人民法院裁定采取行为保全措施或者裁定驳回申请的，应当将裁定书送达当事人，并通知仲裁机构。</w:t>
      </w:r>
    </w:p>
    <w:p w14:paraId="7DBE95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有下列情况之一，</w:t>
      </w:r>
      <w:proofErr w:type="gramStart"/>
      <w:r>
        <w:rPr>
          <w:rFonts w:ascii="宋体" w:eastAsia="宋体" w:hAnsi="宋体" w:cs="宋体" w:hint="eastAsia"/>
          <w:sz w:val="24"/>
        </w:rPr>
        <w:t>不</w:t>
      </w:r>
      <w:proofErr w:type="gramEnd"/>
      <w:r>
        <w:rPr>
          <w:rFonts w:ascii="宋体" w:eastAsia="宋体" w:hAnsi="宋体" w:cs="宋体" w:hint="eastAsia"/>
          <w:sz w:val="24"/>
        </w:rPr>
        <w:t>立即采取行为保全措施即足以损害申请人利益的，应当认定属于民事诉讼法第一百条、第一百零一条规定的“情况紧急”：</w:t>
      </w:r>
    </w:p>
    <w:p w14:paraId="136757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（一）申请人的商业秘密即将被非法披露；</w:t>
      </w:r>
    </w:p>
    <w:p w14:paraId="7E817C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（二）申请人的发表权、隐私权等人身权利即将受到侵害；</w:t>
      </w:r>
    </w:p>
    <w:p w14:paraId="489CE0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（三）诉争的知识产权即将被非法处分；</w:t>
      </w:r>
    </w:p>
    <w:p w14:paraId="454CDD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（四）申请人的知识产权在展销会等时效性较强的场合正在或者即将受到侵害；</w:t>
      </w:r>
    </w:p>
    <w:p w14:paraId="30CAB1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（五）时效性较强的热播节目正在或者即将受到侵害；</w:t>
      </w:r>
    </w:p>
    <w:p w14:paraId="6B0060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（六）其他需要立即采取行为保全措施的情况。</w:t>
      </w:r>
    </w:p>
    <w:p w14:paraId="087CB8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人民法院审查行为保全申请，应当综合</w:t>
      </w:r>
      <w:proofErr w:type="gramStart"/>
      <w:r>
        <w:rPr>
          <w:rFonts w:ascii="宋体" w:eastAsia="宋体" w:hAnsi="宋体" w:cs="宋体" w:hint="eastAsia"/>
          <w:sz w:val="24"/>
        </w:rPr>
        <w:t>考量</w:t>
      </w:r>
      <w:proofErr w:type="gramEnd"/>
      <w:r>
        <w:rPr>
          <w:rFonts w:ascii="宋体" w:eastAsia="宋体" w:hAnsi="宋体" w:cs="宋体" w:hint="eastAsia"/>
          <w:sz w:val="24"/>
        </w:rPr>
        <w:t>下列因素：</w:t>
      </w:r>
    </w:p>
    <w:p w14:paraId="33B0B1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（一）申请人的请求是否具有事实基础和法律依据，包括请求保护的知识产权效力是否稳定；</w:t>
      </w:r>
    </w:p>
    <w:p w14:paraId="1C9AB5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（二）不采取行为保全措施是否会使申请人的合法权益受到难以弥补的损害或者造成案件裁决难以执行等损害；</w:t>
      </w:r>
    </w:p>
    <w:p w14:paraId="7640CE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（三）不采取行为保全措施对申请人造成的损害是否超过采取行为保全措施对被申请人造成的损害；</w:t>
      </w:r>
    </w:p>
    <w:p w14:paraId="2F33B4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（四）采取行为保全措施是否损害社会公共利益；</w:t>
      </w:r>
    </w:p>
    <w:p w14:paraId="6D8F26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（五）其他应当</w:t>
      </w:r>
      <w:proofErr w:type="gramStart"/>
      <w:r>
        <w:rPr>
          <w:rFonts w:ascii="宋体" w:eastAsia="宋体" w:hAnsi="宋体" w:cs="宋体" w:hint="eastAsia"/>
          <w:sz w:val="24"/>
        </w:rPr>
        <w:t>考量</w:t>
      </w:r>
      <w:proofErr w:type="gramEnd"/>
      <w:r>
        <w:rPr>
          <w:rFonts w:ascii="宋体" w:eastAsia="宋体" w:hAnsi="宋体" w:cs="宋体" w:hint="eastAsia"/>
          <w:sz w:val="24"/>
        </w:rPr>
        <w:t>的因素。</w:t>
      </w:r>
    </w:p>
    <w:p w14:paraId="27CB67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人民法院审查判断申请人请求保护的知识产权效力是否稳定，应当综合</w:t>
      </w:r>
      <w:proofErr w:type="gramStart"/>
      <w:r>
        <w:rPr>
          <w:rFonts w:ascii="宋体" w:eastAsia="宋体" w:hAnsi="宋体" w:cs="宋体" w:hint="eastAsia"/>
          <w:sz w:val="24"/>
        </w:rPr>
        <w:t>考量</w:t>
      </w:r>
      <w:proofErr w:type="gramEnd"/>
      <w:r>
        <w:rPr>
          <w:rFonts w:ascii="宋体" w:eastAsia="宋体" w:hAnsi="宋体" w:cs="宋体" w:hint="eastAsia"/>
          <w:sz w:val="24"/>
        </w:rPr>
        <w:t>下列因素：</w:t>
      </w:r>
    </w:p>
    <w:p w14:paraId="413D64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（一）所涉权利的类型或者属性；</w:t>
      </w:r>
    </w:p>
    <w:p w14:paraId="6B4613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（二）所涉权利是否经过实质审查；</w:t>
      </w:r>
    </w:p>
    <w:p w14:paraId="7A62AB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（三）所涉权利是否处于宣告无效或者撤销程序中以及被宣告无效或者撤销的可能性；</w:t>
      </w:r>
    </w:p>
    <w:p w14:paraId="3653CB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（四）所涉权利是否存在权属争议；</w:t>
      </w:r>
    </w:p>
    <w:p w14:paraId="47A540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（五）其他可能导致所涉权利效力不稳定的因素。</w:t>
      </w:r>
    </w:p>
    <w:p w14:paraId="29AC3E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申请人以实用新型或者外观设计专利权为依据申请行为保全的，应当提交由国务院专利行政部门</w:t>
      </w:r>
      <w:proofErr w:type="gramStart"/>
      <w:r>
        <w:rPr>
          <w:rFonts w:ascii="宋体" w:eastAsia="宋体" w:hAnsi="宋体" w:cs="宋体" w:hint="eastAsia"/>
          <w:sz w:val="24"/>
        </w:rPr>
        <w:t>作出</w:t>
      </w:r>
      <w:proofErr w:type="gramEnd"/>
      <w:r>
        <w:rPr>
          <w:rFonts w:ascii="宋体" w:eastAsia="宋体" w:hAnsi="宋体" w:cs="宋体" w:hint="eastAsia"/>
          <w:sz w:val="24"/>
        </w:rPr>
        <w:t>的检索报告、专利权评价报告或者专利复审委员会维持该专利权有效的决定。申请人无正当理由拒不提交的，人民法院应当裁定驳回其申请。</w:t>
      </w:r>
    </w:p>
    <w:p w14:paraId="4FF78C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在知识产权与不正当竞争纠纷行为保全案件中，有下列情形之一的，应当认定属于民事诉讼法第一百零一条规定的“难以弥补的损害”：</w:t>
      </w:r>
    </w:p>
    <w:p w14:paraId="66C59D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（一）被申请人的行为将会侵害申请人享有的商誉或者发表权、隐私权等人身性质的权利且造成无法挽回的损害；</w:t>
      </w:r>
    </w:p>
    <w:p w14:paraId="463DE6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（二）被申请人的行为将会导致侵权行为难以控制</w:t>
      </w:r>
      <w:proofErr w:type="gramStart"/>
      <w:r>
        <w:rPr>
          <w:rFonts w:ascii="宋体" w:eastAsia="宋体" w:hAnsi="宋体" w:cs="宋体" w:hint="eastAsia"/>
          <w:sz w:val="24"/>
        </w:rPr>
        <w:t>且显著</w:t>
      </w:r>
      <w:proofErr w:type="gramEnd"/>
      <w:r>
        <w:rPr>
          <w:rFonts w:ascii="宋体" w:eastAsia="宋体" w:hAnsi="宋体" w:cs="宋体" w:hint="eastAsia"/>
          <w:sz w:val="24"/>
        </w:rPr>
        <w:t>增加申请人损害；</w:t>
      </w:r>
    </w:p>
    <w:p w14:paraId="4FD236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（三）被申请人的侵害行为将会导致申请人的相关市场份额明显减少；</w:t>
      </w:r>
    </w:p>
    <w:p w14:paraId="4E79CD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（四）对申请人造成其他难以弥补的损害。</w:t>
      </w:r>
    </w:p>
    <w:p w14:paraId="31D3B4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申请人申请行为保全的，应当依法提供担保。</w:t>
      </w:r>
    </w:p>
    <w:p w14:paraId="21B6A5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申请人提供的担保数额，应当相当于被申请人可能因执行行为保全措施所遭受的损失，包括责令停止侵权行为所涉产品的销售收益、保管费用等合理损失。</w:t>
      </w:r>
    </w:p>
    <w:p w14:paraId="76EFB7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在执行行为保全措施过程中，被申请人可能因此遭受的损失超过申请人担保数额的，人民法院可以责令申请人追加相应的担保。申请人拒不追加的，可以裁定解除或者部分解除保全措施。</w:t>
      </w:r>
    </w:p>
    <w:p w14:paraId="6560F0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人民法院采取的行为保全措施，一般不因被申请人提供担保而解除，但是申请人同意的除外。</w:t>
      </w:r>
    </w:p>
    <w:p w14:paraId="52FE7B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人民法院裁定采取行为保全措施的，应当根据申请人的请求或者案件具体情况等因素合理确定保全措施的期限。</w:t>
      </w:r>
    </w:p>
    <w:p w14:paraId="07DEA9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裁定停止侵害知识产权行为的效力，一般应当维持至案件裁判生效时止。</w:t>
      </w:r>
    </w:p>
    <w:p w14:paraId="0429CA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人民法院根据申请人的请求、追加担保等情况，可以裁定继续采取保全措施。申请人请求续行保全措施的，应当在期限届满前七日内提出。</w:t>
      </w:r>
    </w:p>
    <w:p w14:paraId="5258F5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当事人不服行为保全裁定申请复议的，人民法院应当在收到复议申请后十日内审查并</w:t>
      </w:r>
      <w:proofErr w:type="gramStart"/>
      <w:r>
        <w:rPr>
          <w:rFonts w:ascii="宋体" w:eastAsia="宋体" w:hAnsi="宋体" w:cs="宋体" w:hint="eastAsia"/>
          <w:sz w:val="24"/>
        </w:rPr>
        <w:t>作出</w:t>
      </w:r>
      <w:proofErr w:type="gramEnd"/>
      <w:r>
        <w:rPr>
          <w:rFonts w:ascii="宋体" w:eastAsia="宋体" w:hAnsi="宋体" w:cs="宋体" w:hint="eastAsia"/>
          <w:sz w:val="24"/>
        </w:rPr>
        <w:t>裁定。</w:t>
      </w:r>
    </w:p>
    <w:p w14:paraId="39C1A3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人民法院采取行为保全的方法和措施，依照执行程序相关规定处理。</w:t>
      </w:r>
    </w:p>
    <w:p w14:paraId="54B2BF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有下列情形之一的，应当认定属于民事诉讼法第一百零五条规定的“申请有错误”：</w:t>
      </w:r>
    </w:p>
    <w:p w14:paraId="687431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（一）申请人在采取行为保全措施后三十日内不依法提起诉讼或者申请仲裁；</w:t>
      </w:r>
    </w:p>
    <w:p w14:paraId="4CA561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（二）行为保全措施因请求保护的知识产权被宣告无效等原因自始不当；</w:t>
      </w:r>
    </w:p>
    <w:p w14:paraId="7F91A2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（三）申请责令被申请人停止侵害知识产权或者不正当竞争，但生效裁判认定不构成侵权或者不正当竞争；</w:t>
      </w:r>
    </w:p>
    <w:p w14:paraId="1102D4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（四）其他属于申请有错误的情形。</w:t>
      </w:r>
    </w:p>
    <w:p w14:paraId="34B004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当事人申请解除行为保全措施，人民法院收到申请后经审查符合《最高人民法院关于适用〈中华人民共和国民事诉讼法〉的解释》第一百六十六</w:t>
      </w:r>
      <w:r>
        <w:rPr>
          <w:rFonts w:ascii="宋体" w:eastAsia="宋体" w:hAnsi="宋体" w:cs="宋体" w:hint="eastAsia"/>
          <w:sz w:val="24"/>
        </w:rPr>
        <w:lastRenderedPageBreak/>
        <w:t>条规定的情形的，应当在五日内裁定解除。</w:t>
      </w:r>
    </w:p>
    <w:p w14:paraId="5F996D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申请人撤回行为保全申请或者申请解除行为保全措施的，</w:t>
      </w:r>
      <w:proofErr w:type="gramStart"/>
      <w:r>
        <w:rPr>
          <w:rFonts w:ascii="宋体" w:eastAsia="宋体" w:hAnsi="宋体" w:cs="宋体" w:hint="eastAsia"/>
          <w:sz w:val="24"/>
        </w:rPr>
        <w:t>不</w:t>
      </w:r>
      <w:proofErr w:type="gramEnd"/>
      <w:r>
        <w:rPr>
          <w:rFonts w:ascii="宋体" w:eastAsia="宋体" w:hAnsi="宋体" w:cs="宋体" w:hint="eastAsia"/>
          <w:sz w:val="24"/>
        </w:rPr>
        <w:t>因此免除民事诉讼法第一百零五条规定的赔偿责任。</w:t>
      </w:r>
    </w:p>
    <w:p w14:paraId="1C1DBD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被申请人依据民事诉讼法第一百零五条规定提起赔偿诉讼，申请人申请诉前行为保全后没有起诉或者当事人约定仲裁的，由采取保全措施的人民法院管辖；申请人已经起诉的，由受理起诉的人民法院管辖。</w:t>
      </w:r>
    </w:p>
    <w:p w14:paraId="3C039C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申请人同时申请行为保全、财产保全或者证据保全的，人民法院应当依法分别审查不同类型保全申请是否符合条件，并</w:t>
      </w:r>
      <w:proofErr w:type="gramStart"/>
      <w:r>
        <w:rPr>
          <w:rFonts w:ascii="宋体" w:eastAsia="宋体" w:hAnsi="宋体" w:cs="宋体" w:hint="eastAsia"/>
          <w:sz w:val="24"/>
        </w:rPr>
        <w:t>作出</w:t>
      </w:r>
      <w:proofErr w:type="gramEnd"/>
      <w:r>
        <w:rPr>
          <w:rFonts w:ascii="宋体" w:eastAsia="宋体" w:hAnsi="宋体" w:cs="宋体" w:hint="eastAsia"/>
          <w:sz w:val="24"/>
        </w:rPr>
        <w:t>裁定。</w:t>
      </w:r>
    </w:p>
    <w:p w14:paraId="71875E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为避免被申请人实施转移财产、毁灭证据等行为致使保全目的无法实现，人民法院可以根据案件具体情况决定不同类型保全措施的执行顺序。</w:t>
      </w:r>
    </w:p>
    <w:p w14:paraId="713371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申请人申请行为保全，应当依照《诉讼费用交纳办法》关于申请采取行为保全措施的规定交纳申请费。</w:t>
      </w:r>
    </w:p>
    <w:p w14:paraId="5D9EE7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本规定自2019年1月1日起施行。最高人民法院以前发布的相关司法解释与本规定不一致的，以本规定为准。</w:t>
      </w:r>
    </w:p>
    <w:p w14:paraId="3413C382"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75401283"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8.《最高人民法院、最高人民检察院关于办理操纵证券、期货市场刑事案件适用法律若干问题的解释》</w:t>
      </w:r>
    </w:p>
    <w:p w14:paraId="361325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     文号：法释〔2019〕9号</w:t>
      </w:r>
    </w:p>
    <w:p w14:paraId="17A3A6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（2018年9月3日最高人民法院审判委员会第1747次会议、2018年12月12日最高人民检察院第十三届检察委员会第十一次会议通过，自2019年7月1日起施行）</w:t>
      </w:r>
    </w:p>
    <w:p w14:paraId="7C3A6A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依法惩治证券、期货犯罪，维护证券、期货市场管理秩序，促进证券、期货市场稳定健康发展，保护投资者合法权益，根据《中华人民共和国刑法》《中华人民共和国刑事诉讼法》的规定，现就办理操纵证券、期货市场刑事案件适用法律的若干问题解释如下：</w:t>
      </w:r>
    </w:p>
    <w:p w14:paraId="681AA8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行为人具有下列情形之一的，可以认定为刑法第一百八十二条第一款第四项规定的“以其他方法操纵证券、期货市场”：</w:t>
      </w:r>
    </w:p>
    <w:p w14:paraId="61C46D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（一）利用虚假或者不确定的重大信息，诱导投资者</w:t>
      </w:r>
      <w:proofErr w:type="gramStart"/>
      <w:r>
        <w:rPr>
          <w:rFonts w:ascii="宋体" w:eastAsia="宋体" w:hAnsi="宋体" w:cs="宋体" w:hint="eastAsia"/>
          <w:sz w:val="24"/>
        </w:rPr>
        <w:t>作出</w:t>
      </w:r>
      <w:proofErr w:type="gramEnd"/>
      <w:r>
        <w:rPr>
          <w:rFonts w:ascii="宋体" w:eastAsia="宋体" w:hAnsi="宋体" w:cs="宋体" w:hint="eastAsia"/>
          <w:sz w:val="24"/>
        </w:rPr>
        <w:t>投资决策，影响证券、期货交易价格或者证券、期货交易量，并进行相关交易或者谋取相关利益的；</w:t>
      </w:r>
    </w:p>
    <w:p w14:paraId="47B9E8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（二）通过对证券及其发行人、上市公司、期货交易标的公开</w:t>
      </w:r>
      <w:proofErr w:type="gramStart"/>
      <w:r>
        <w:rPr>
          <w:rFonts w:ascii="宋体" w:eastAsia="宋体" w:hAnsi="宋体" w:cs="宋体" w:hint="eastAsia"/>
          <w:sz w:val="24"/>
        </w:rPr>
        <w:t>作出</w:t>
      </w:r>
      <w:proofErr w:type="gramEnd"/>
      <w:r>
        <w:rPr>
          <w:rFonts w:ascii="宋体" w:eastAsia="宋体" w:hAnsi="宋体" w:cs="宋体" w:hint="eastAsia"/>
          <w:sz w:val="24"/>
        </w:rPr>
        <w:t>评价、预测或者投资建议，误导投资者</w:t>
      </w:r>
      <w:proofErr w:type="gramStart"/>
      <w:r>
        <w:rPr>
          <w:rFonts w:ascii="宋体" w:eastAsia="宋体" w:hAnsi="宋体" w:cs="宋体" w:hint="eastAsia"/>
          <w:sz w:val="24"/>
        </w:rPr>
        <w:t>作出</w:t>
      </w:r>
      <w:proofErr w:type="gramEnd"/>
      <w:r>
        <w:rPr>
          <w:rFonts w:ascii="宋体" w:eastAsia="宋体" w:hAnsi="宋体" w:cs="宋体" w:hint="eastAsia"/>
          <w:sz w:val="24"/>
        </w:rPr>
        <w:t>投资决策，影响证券、期货交易价格或者证券、期货交易量，并进行与其评价、预测、投资建议方向相反的证券交易或者相关期货交易的；</w:t>
      </w:r>
    </w:p>
    <w:p w14:paraId="42185F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（三）通过策划、实施资产收购或者重组、投资新业务、股权转让、上市公司收购等虚假重大事项，误导投资者</w:t>
      </w:r>
      <w:proofErr w:type="gramStart"/>
      <w:r>
        <w:rPr>
          <w:rFonts w:ascii="宋体" w:eastAsia="宋体" w:hAnsi="宋体" w:cs="宋体" w:hint="eastAsia"/>
          <w:sz w:val="24"/>
        </w:rPr>
        <w:t>作出</w:t>
      </w:r>
      <w:proofErr w:type="gramEnd"/>
      <w:r>
        <w:rPr>
          <w:rFonts w:ascii="宋体" w:eastAsia="宋体" w:hAnsi="宋体" w:cs="宋体" w:hint="eastAsia"/>
          <w:sz w:val="24"/>
        </w:rPr>
        <w:t>投资决策，影响证券交易价格或者证券交易量，并进行相关交易或者谋取相关利益的；</w:t>
      </w:r>
    </w:p>
    <w:p w14:paraId="3C20CA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（四）通过控制发行人、上市公司信息的生成或者控制信息披露的内容、时点、节奏，误导投资者</w:t>
      </w:r>
      <w:proofErr w:type="gramStart"/>
      <w:r>
        <w:rPr>
          <w:rFonts w:ascii="宋体" w:eastAsia="宋体" w:hAnsi="宋体" w:cs="宋体" w:hint="eastAsia"/>
          <w:sz w:val="24"/>
        </w:rPr>
        <w:t>作出</w:t>
      </w:r>
      <w:proofErr w:type="gramEnd"/>
      <w:r>
        <w:rPr>
          <w:rFonts w:ascii="宋体" w:eastAsia="宋体" w:hAnsi="宋体" w:cs="宋体" w:hint="eastAsia"/>
          <w:sz w:val="24"/>
        </w:rPr>
        <w:t>投资决策，影响证券交易价格或者证券交易量，并进行相关交易或者谋取相关利益的；</w:t>
      </w:r>
    </w:p>
    <w:p w14:paraId="510217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（五）不以成交为目的，频繁申报、撤单或者大额申报、撤单，误导投资者</w:t>
      </w:r>
      <w:proofErr w:type="gramStart"/>
      <w:r>
        <w:rPr>
          <w:rFonts w:ascii="宋体" w:eastAsia="宋体" w:hAnsi="宋体" w:cs="宋体" w:hint="eastAsia"/>
          <w:sz w:val="24"/>
        </w:rPr>
        <w:t>作出</w:t>
      </w:r>
      <w:proofErr w:type="gramEnd"/>
      <w:r>
        <w:rPr>
          <w:rFonts w:ascii="宋体" w:eastAsia="宋体" w:hAnsi="宋体" w:cs="宋体" w:hint="eastAsia"/>
          <w:sz w:val="24"/>
        </w:rPr>
        <w:t>投资决策，影响证券、期货交易价格或者证券、期货交易量，并进行与申报</w:t>
      </w:r>
      <w:r>
        <w:rPr>
          <w:rFonts w:ascii="宋体" w:eastAsia="宋体" w:hAnsi="宋体" w:cs="宋体" w:hint="eastAsia"/>
          <w:sz w:val="24"/>
        </w:rPr>
        <w:lastRenderedPageBreak/>
        <w:t>相反的交易或者谋取相关利益的；</w:t>
      </w:r>
    </w:p>
    <w:p w14:paraId="583F1A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（六）通过囤积现货，影响特定期货品种市场行情，并进行相关期货交易的；</w:t>
      </w:r>
    </w:p>
    <w:p w14:paraId="07E560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（七）以其他方法操纵证券、期货市场的。</w:t>
      </w:r>
    </w:p>
    <w:p w14:paraId="05AA47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操纵证券、期货市场，具有下列情形之一的，应当认定为刑法第一百八十二条第一款规定的“情节严重”：</w:t>
      </w:r>
    </w:p>
    <w:p w14:paraId="709420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持有或者实际控制证券的流通股份数量达到该证券的实际流通股份总量百分之十以上，实施刑法第一百八十二条第一款第一项操纵证券市场行为，连续十个交易日的累计成交量达到同期该证券总成交量百分之二十以上的；</w:t>
      </w:r>
    </w:p>
    <w:p w14:paraId="7DC052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（二）实施刑法第一百八十二条第一款第二项、第三项操纵证券市场行为，连续十个交易日的累计成交量达到同期该证券总成交量百分之二十以上的；</w:t>
      </w:r>
    </w:p>
    <w:p w14:paraId="562540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（三）实施本解释第一条第一项至第四项操纵证券市场行为，证券交易成交额在一千万元以上的；</w:t>
      </w:r>
    </w:p>
    <w:p w14:paraId="6E1F08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实施刑法第一百八十二条第一款第一项及本解释第一条第六项操纵期货市场行为，实际控制的账户合并持仓连续十个交易日的最高值超过期货交易所限仓标准的二倍，累计成交量达到同期该期货合约总成交量百分之二十以上，且期货交易占用保证金数额在五百万元以上的；</w:t>
      </w:r>
    </w:p>
    <w:p w14:paraId="37A579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实施刑法第一百八十二条第一款第二项、第三项及本解释第一条第一项、第二项操纵期货市场行为，实际控制的账户连续十个交易日的累计成交量达到同期该期货合约总成交量百分之二十以上，且期货交易占用保证金数额在五百万元以上的；</w:t>
      </w:r>
    </w:p>
    <w:p w14:paraId="62315A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实施本解释第一条第五项操纵证券、期货市场行为，当日累计撤回申报量达到同期该证券、期货合约总申报量百分之五十以上，且证券撤回申报额在一千万元以上、撤回申报的期货合约占用保证金数额在五百万元以上的；</w:t>
      </w:r>
    </w:p>
    <w:p w14:paraId="1A7A96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（七）实施操纵证券、期货市场行为，违法所得数额在一百万元以上的。</w:t>
      </w:r>
    </w:p>
    <w:p w14:paraId="6BE9F3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操纵证券、期货市场，违法所得数额在五十万元以上，具有下列情形之一的，应当认定为刑法第一百八十二条第一款规定的“情节严重”：</w:t>
      </w:r>
    </w:p>
    <w:p w14:paraId="0937BA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（一）发行人、上市公司及其董事、监事、高级管理人员、控股股东或者实际控制人实施操纵证券、期货市场行为的；</w:t>
      </w:r>
    </w:p>
    <w:p w14:paraId="39E967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（二）收购人、重大资产重组的交易对方及其董事、监事、高级管理人员、控股股东或者实际控制人实施操纵证券、期货市场行为的；</w:t>
      </w:r>
    </w:p>
    <w:p w14:paraId="4A2AFC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（三）行为人明知操纵证券、期货市场行为被有关部门调查，仍继续实施的；</w:t>
      </w:r>
    </w:p>
    <w:p w14:paraId="6E3817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（四）因操纵证券、期货市场行为受过刑事追究的；</w:t>
      </w:r>
    </w:p>
    <w:p w14:paraId="78E0EB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（五）二年内因操纵证券、期货市场行为受过行政处罚的；</w:t>
      </w:r>
    </w:p>
    <w:p w14:paraId="67C809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（六）在市场出现重大异常波动等特定时段操纵证券、期货市场的；</w:t>
      </w:r>
    </w:p>
    <w:p w14:paraId="001091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（七）造成恶劣社会影响或者其他严重后果的。</w:t>
      </w:r>
    </w:p>
    <w:p w14:paraId="16AC36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具有下列情形之一的，应当认定为刑法第一百八十二条第一款规定的“情节特别严重”：</w:t>
      </w:r>
    </w:p>
    <w:p w14:paraId="67A424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持有或者实际控制证券的流通股份数量达到该证券的实际流通股份总量百分之十以上，实施刑法第一百八十二条第一款第一项操纵证券市场行为，连续十个交易日的累计成交量达到同期该证券总成交量百分之五十以上的；</w:t>
      </w:r>
    </w:p>
    <w:p w14:paraId="1F0D3B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（二）实施刑法第一百八十二条第一款第二项、第三项操纵证券市场行为，连续十个交易日的累计成交量达到同期该证券总成交量百分之五十以上的；</w:t>
      </w:r>
    </w:p>
    <w:p w14:paraId="59AC5F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（三）实施本解释第一条第一项至第四项操纵证券市场行为，证券交易成交额在五千万元以上的；</w:t>
      </w:r>
    </w:p>
    <w:p w14:paraId="44E886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实施刑法第一百八十二条第一款第一项及本解释第一条第六项操纵期货市场行为，实际控制的账户合并持仓连续十个交易日的最高值超过期货交易所限仓标准的五倍，累计成交量达到同期该期货合约总成交量百分之五十以上，且期货交易占用保证金数额在二千五百万元以上的；</w:t>
      </w:r>
    </w:p>
    <w:p w14:paraId="276E45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实施刑法第一百八十二条第一款第二项、第三项及本解释第一条第一项、第二项操纵期货市场行为，实际控制的账户连续十个交易日的累计成交量达到同期该期货合约总成交量百分之五十以上，且期货交易占用保证金数额在二千</w:t>
      </w:r>
      <w:r>
        <w:rPr>
          <w:rFonts w:ascii="宋体" w:eastAsia="宋体" w:hAnsi="宋体" w:cs="宋体" w:hint="eastAsia"/>
          <w:sz w:val="24"/>
        </w:rPr>
        <w:lastRenderedPageBreak/>
        <w:t>五百万元以上的；</w:t>
      </w:r>
    </w:p>
    <w:p w14:paraId="4C7105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（六）实施操纵证券、期货市场行为，违法所得数额在一千万元以上的。</w:t>
      </w:r>
    </w:p>
    <w:p w14:paraId="26F96A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实施操纵证券、期货市场行为，违法所得数额在五百万元以上，并具有本解释第三条规定的七种情形之一的，应当认定为“情节特别严重”。</w:t>
      </w:r>
    </w:p>
    <w:p w14:paraId="4978DF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下列账户应当认定为刑法第一百八十二条中规定的“自己实际控制的账户”：</w:t>
      </w:r>
    </w:p>
    <w:p w14:paraId="3D1FB0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（一）行为人以自己名义开户并使用的实名账户；</w:t>
      </w:r>
    </w:p>
    <w:p w14:paraId="03C644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（二）行为人向账户转入或者从账户转出资金，并承担实际损益的他人账户；</w:t>
      </w:r>
    </w:p>
    <w:p w14:paraId="683E02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（三）行为人通过第一项、第二项以外的方式管理、支配或者使用的他人账户；</w:t>
      </w:r>
    </w:p>
    <w:p w14:paraId="2DEAC8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（四）行为人通过投资关系、协议等方式对账户内资产行使交易决策权的他人账户；</w:t>
      </w:r>
    </w:p>
    <w:p w14:paraId="231699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（五）其他有证据证明行为人具有交易决策权的账户。</w:t>
      </w:r>
    </w:p>
    <w:p w14:paraId="3511F9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有证据证明行为人对前款第一项至第三项账户内资产没有交易决策权的除外。</w:t>
      </w:r>
    </w:p>
    <w:p w14:paraId="0DAA29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二次以上实施操纵证券、期货市场行为，依法应</w:t>
      </w:r>
      <w:proofErr w:type="gramStart"/>
      <w:r>
        <w:rPr>
          <w:rFonts w:ascii="宋体" w:eastAsia="宋体" w:hAnsi="宋体" w:cs="宋体" w:hint="eastAsia"/>
          <w:sz w:val="24"/>
        </w:rPr>
        <w:t>予行政处理</w:t>
      </w:r>
      <w:proofErr w:type="gramEnd"/>
      <w:r>
        <w:rPr>
          <w:rFonts w:ascii="宋体" w:eastAsia="宋体" w:hAnsi="宋体" w:cs="宋体" w:hint="eastAsia"/>
          <w:sz w:val="24"/>
        </w:rPr>
        <w:t>或者刑事处理而未经处理的，相关交易数额或者违法所得数额累计计算。</w:t>
      </w:r>
    </w:p>
    <w:p w14:paraId="540744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符合本解释第二条、第三条规定的标准，行为人如实供述犯罪事实，认罪悔罪，并积极配合调查，退缴违法所得的，可以从轻处罚；其中犯罪情节轻微的，可以依法不起诉或者免予刑事处罚。</w:t>
      </w:r>
    </w:p>
    <w:p w14:paraId="35E95D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符合刑事诉讼法规定的认罪认罚从宽适用范围和条件的，依照刑事诉讼法的规定处理。</w:t>
      </w:r>
    </w:p>
    <w:p w14:paraId="54AA41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单位实施刑法第一百八十二条第一款行为的，依照本解释规定的定罪量刑标准，对其直接负责的主管人员和其他直接责任人员定罪处罚，并对单位判处罚金。</w:t>
      </w:r>
    </w:p>
    <w:p w14:paraId="229EC3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第九条 本解释所称“违法所得”，是指通过操纵证券、期货市场所获利</w:t>
      </w:r>
      <w:proofErr w:type="gramStart"/>
      <w:r>
        <w:rPr>
          <w:rFonts w:ascii="宋体" w:eastAsia="宋体" w:hAnsi="宋体" w:cs="宋体" w:hint="eastAsia"/>
          <w:sz w:val="24"/>
        </w:rPr>
        <w:t>益或者</w:t>
      </w:r>
      <w:proofErr w:type="gramEnd"/>
      <w:r>
        <w:rPr>
          <w:rFonts w:ascii="宋体" w:eastAsia="宋体" w:hAnsi="宋体" w:cs="宋体" w:hint="eastAsia"/>
          <w:sz w:val="24"/>
        </w:rPr>
        <w:t>避免的损失。</w:t>
      </w:r>
    </w:p>
    <w:p w14:paraId="3FB0B2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本解释所称“连续十个交易日”，是指证券、期货市场开市交易的连续十个交易日，并非指行为人连续交易的十个交易日。</w:t>
      </w:r>
    </w:p>
    <w:p w14:paraId="78C4D5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对于在全国中小企业股份转让系统中实施操纵证券市场行为，社会危害性大，严重破坏公平公正的市场秩序的，比照本解释的规定执行，但本解释第二条第一项、第二项和第四条第一项、第二项除外。</w:t>
      </w:r>
    </w:p>
    <w:p w14:paraId="32369A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本</w:t>
      </w:r>
      <w:proofErr w:type="gramStart"/>
      <w:r>
        <w:rPr>
          <w:rFonts w:ascii="宋体" w:eastAsia="宋体" w:hAnsi="宋体" w:cs="宋体" w:hint="eastAsia"/>
          <w:sz w:val="24"/>
        </w:rPr>
        <w:t>解释自</w:t>
      </w:r>
      <w:proofErr w:type="gramEnd"/>
      <w:r>
        <w:rPr>
          <w:rFonts w:ascii="宋体" w:eastAsia="宋体" w:hAnsi="宋体" w:cs="宋体" w:hint="eastAsia"/>
          <w:sz w:val="24"/>
        </w:rPr>
        <w:t>2019年7月1日起施行。</w:t>
      </w:r>
    </w:p>
    <w:p w14:paraId="73C474CD"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52C1C3DF"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9.《最高人民法院 最高人民检察院关于办理利用未公开信息交易刑事案件适用法律若干问题的解释》</w:t>
      </w:r>
    </w:p>
    <w:p w14:paraId="6E8435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  最高人民检察院    文号：法释〔2019〕10号</w:t>
      </w:r>
    </w:p>
    <w:p w14:paraId="60FE9F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（2018年9月10日最高人民法院审判委员会第1748次会议、2018年11月30日最高人民检察院第十三届检察委员会第十次会议通过，自2019年7月1日起施行）</w:t>
      </w:r>
    </w:p>
    <w:p w14:paraId="234900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依法惩治证券、期货犯罪，维护证券、期货市场管理秩序，促进证券、期货市场稳定健康发展，保护投资者合法权益，根据《中华人民共和国刑法》《中华人民共和国刑事诉讼法》的规定，现就办理利用未公开信息交易刑事案件适用法律的若干问题解释如下：</w:t>
      </w:r>
    </w:p>
    <w:p w14:paraId="42925B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刑法第一百八十条第四款规定的“内幕信息以外的其他未公开的信息”，包括下列信息：</w:t>
      </w:r>
    </w:p>
    <w:p w14:paraId="03CE9E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（一）证券、期货的投资决策、交易执行信息；</w:t>
      </w:r>
    </w:p>
    <w:p w14:paraId="28B352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（二）证券持仓数量及变化、资金数量及变化、交易动向信息；</w:t>
      </w:r>
    </w:p>
    <w:p w14:paraId="026DC3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（三）其他可能影响证券、期货交易活动的信息。</w:t>
      </w:r>
    </w:p>
    <w:p w14:paraId="47FCEB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内幕信息以外的其他未公开的信息难以认定的，司法机关可以在有关行政主（监）管部门的认定意见的基础上，根据案件事实和法律规定</w:t>
      </w:r>
      <w:proofErr w:type="gramStart"/>
      <w:r>
        <w:rPr>
          <w:rFonts w:ascii="宋体" w:eastAsia="宋体" w:hAnsi="宋体" w:cs="宋体" w:hint="eastAsia"/>
          <w:sz w:val="24"/>
        </w:rPr>
        <w:t>作出</w:t>
      </w:r>
      <w:proofErr w:type="gramEnd"/>
      <w:r>
        <w:rPr>
          <w:rFonts w:ascii="宋体" w:eastAsia="宋体" w:hAnsi="宋体" w:cs="宋体" w:hint="eastAsia"/>
          <w:sz w:val="24"/>
        </w:rPr>
        <w:t>认定。</w:t>
      </w:r>
    </w:p>
    <w:p w14:paraId="4CF4EC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刑法第一百八十条第四款规定的“违反规定”，是指违反法律、行政法规、部门规章、全国性行业规范有关证券、期货未公开信息保护的规定，以及行为人所在的金融机构有关信息保密、禁止交易、禁止利益输送等规定。</w:t>
      </w:r>
    </w:p>
    <w:p w14:paraId="6B1260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刑法第一百八十条第四款规定的行为人“明示、暗示他人从事相关交易活动”，应当综合以下方面进行认定：</w:t>
      </w:r>
    </w:p>
    <w:p w14:paraId="3B111F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（一）行为人具有获取未公开信息的职务便利；</w:t>
      </w:r>
    </w:p>
    <w:p w14:paraId="1AE7FD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（二）行为人获取未公开信息的初始时间与他人从事相关交易活动的初始时间具有关联性；</w:t>
      </w:r>
    </w:p>
    <w:p w14:paraId="50EBE3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（三）行为人与他人之间具有亲友关系、利益关联、交易终端关联等关联关系；</w:t>
      </w:r>
    </w:p>
    <w:p w14:paraId="0486A8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（四）他人从事相关交易的证券、期货品种、交易时间与未公开信息所涉证券、期货品种、交易时间等方面基本一致；</w:t>
      </w:r>
    </w:p>
    <w:p w14:paraId="3D0349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（五）他人从事的相关交易活动明显不具有符合交易习惯、专业判断等正当理由；</w:t>
      </w:r>
    </w:p>
    <w:p w14:paraId="421FDA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 行为人对明示、暗示他人从事相关交易活动没有合理解释。</w:t>
      </w:r>
    </w:p>
    <w:p w14:paraId="5AFFDE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利用未公开信息交易，具有下列情形之一的，应当认定为刑法第一百八十条第四款规定的“情节严重”：</w:t>
      </w:r>
    </w:p>
    <w:p w14:paraId="250AD5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（一）违法所得数额在一百万元以上的；</w:t>
      </w:r>
    </w:p>
    <w:p w14:paraId="2BB1DF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（二）二年内三次以上利用未公开信息交易的；</w:t>
      </w:r>
    </w:p>
    <w:p w14:paraId="61E82C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（三）明示、暗示三人以上从事相关交易活动的。</w:t>
      </w:r>
    </w:p>
    <w:p w14:paraId="22F403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利用未公开信息交易，违法所得数额在五十万元以上，或者证券交易成交额在五百万元以上，或者期货交易占用保证金数额在一百万元以上，具有下列情形之一的，应当认定为刑法第一百八十条第四款规定的“情节严重”：</w:t>
      </w:r>
    </w:p>
    <w:p w14:paraId="0646A6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（一）以出售或者变相出售未公开信息等方式，明示、暗示他人从事相关交易活动的；</w:t>
      </w:r>
    </w:p>
    <w:p w14:paraId="5F6611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（二）因证券、期货犯罪行为受过刑事追究的；</w:t>
      </w:r>
    </w:p>
    <w:p w14:paraId="69BBBE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（三）二年内因证券、期货违法行为受过行政处罚的；</w:t>
      </w:r>
    </w:p>
    <w:p w14:paraId="6295F5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（四）造成恶劣社会影响或者其他严重后果的。</w:t>
      </w:r>
    </w:p>
    <w:p w14:paraId="2DE712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刑法第一百八十条第四款规定的“依照第一款的规定处罚”，包括该条第一款关于“情节特别严重”的规定。</w:t>
      </w:r>
    </w:p>
    <w:p w14:paraId="14CEA7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利用未公开信息交易，违法所得数额在一千万元以上的，应当认定为“情节特别严重”。</w:t>
      </w:r>
    </w:p>
    <w:p w14:paraId="56F249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违法所得数额在五百万元以上，或者证券交易成交额在五千万元以上，或者期货交易占用保证金数额在一千万元以上，具有本解释第六条规定的四种情形之一的，应当认定为“情节特别严重”。</w:t>
      </w:r>
    </w:p>
    <w:p w14:paraId="2801DB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二次以上利用未公开信息交易，依法应</w:t>
      </w:r>
      <w:proofErr w:type="gramStart"/>
      <w:r>
        <w:rPr>
          <w:rFonts w:ascii="宋体" w:eastAsia="宋体" w:hAnsi="宋体" w:cs="宋体" w:hint="eastAsia"/>
          <w:sz w:val="24"/>
        </w:rPr>
        <w:t>予行政处理</w:t>
      </w:r>
      <w:proofErr w:type="gramEnd"/>
      <w:r>
        <w:rPr>
          <w:rFonts w:ascii="宋体" w:eastAsia="宋体" w:hAnsi="宋体" w:cs="宋体" w:hint="eastAsia"/>
          <w:sz w:val="24"/>
        </w:rPr>
        <w:t>或者刑事处理而未经处理的，相关交易数额或者违法所得数额累计计算。</w:t>
      </w:r>
    </w:p>
    <w:p w14:paraId="6A4218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本解释所称“违法所得”，是指行为人利用未公开信息从事与该信息相关的证券、期货交易活动所获利</w:t>
      </w:r>
      <w:proofErr w:type="gramStart"/>
      <w:r>
        <w:rPr>
          <w:rFonts w:ascii="宋体" w:eastAsia="宋体" w:hAnsi="宋体" w:cs="宋体" w:hint="eastAsia"/>
          <w:sz w:val="24"/>
        </w:rPr>
        <w:t>益或者</w:t>
      </w:r>
      <w:proofErr w:type="gramEnd"/>
      <w:r>
        <w:rPr>
          <w:rFonts w:ascii="宋体" w:eastAsia="宋体" w:hAnsi="宋体" w:cs="宋体" w:hint="eastAsia"/>
          <w:sz w:val="24"/>
        </w:rPr>
        <w:t>避免的损失。</w:t>
      </w:r>
    </w:p>
    <w:p w14:paraId="04C406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行为人明示、暗示他人利用未公开信息从事相关交易活动，被明示、暗示人员从事相关交易活动所获利</w:t>
      </w:r>
      <w:proofErr w:type="gramStart"/>
      <w:r>
        <w:rPr>
          <w:rFonts w:ascii="宋体" w:eastAsia="宋体" w:hAnsi="宋体" w:cs="宋体" w:hint="eastAsia"/>
          <w:sz w:val="24"/>
        </w:rPr>
        <w:t>益或者</w:t>
      </w:r>
      <w:proofErr w:type="gramEnd"/>
      <w:r>
        <w:rPr>
          <w:rFonts w:ascii="宋体" w:eastAsia="宋体" w:hAnsi="宋体" w:cs="宋体" w:hint="eastAsia"/>
          <w:sz w:val="24"/>
        </w:rPr>
        <w:t>避免的损失，应当认定为“违法所得”。</w:t>
      </w:r>
    </w:p>
    <w:p w14:paraId="6F412A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行为人未实际从事与未公开信息相关的证券、期货交易活动的，其罚金数额按照被明示、暗示人员从事相关交易活动的违法所得计算。</w:t>
      </w:r>
    </w:p>
    <w:p w14:paraId="3201F9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符合本解释第五条、第六条规定的标准，行为人如实供述犯罪事实，认罪悔罪，并积极配合调查，退缴违法所得的，可以从轻处罚；其中犯罪情节轻微的，可以依法不起诉或者免予刑事处罚。</w:t>
      </w:r>
    </w:p>
    <w:p w14:paraId="10BAC4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符合刑事诉讼法规定的认罪认罚从宽适用范围和条件的，依照刑事诉讼法的规定处理。</w:t>
      </w:r>
    </w:p>
    <w:p w14:paraId="682193F5"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第十二条 本</w:t>
      </w:r>
      <w:proofErr w:type="gramStart"/>
      <w:r>
        <w:rPr>
          <w:rFonts w:ascii="宋体" w:eastAsia="宋体" w:hAnsi="宋体" w:cs="宋体" w:hint="eastAsia"/>
          <w:sz w:val="24"/>
        </w:rPr>
        <w:t>解释自</w:t>
      </w:r>
      <w:proofErr w:type="gramEnd"/>
      <w:r>
        <w:rPr>
          <w:rFonts w:ascii="宋体" w:eastAsia="宋体" w:hAnsi="宋体" w:cs="宋体" w:hint="eastAsia"/>
          <w:sz w:val="24"/>
        </w:rPr>
        <w:t>2019年7月1日起施行。</w:t>
      </w:r>
    </w:p>
    <w:p w14:paraId="6B36125D"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10.最高人民法院关于印发《全国法院审理债券纠纷案件座谈会纪要》的通知</w:t>
      </w:r>
    </w:p>
    <w:p w14:paraId="146B7D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        文号：法〔2020〕185号</w:t>
      </w:r>
    </w:p>
    <w:p w14:paraId="7AB50A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全国法院审理债券纠纷案件座谈会纪要</w:t>
      </w:r>
    </w:p>
    <w:p w14:paraId="0E6ABA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近年来，我国债券市场发展迅速，为服务实体经济发展和国家重点项目建设提供了有力的支持和保障。债券市场在平稳、有序、健康发展的同时，也出现了少数债券发行人因经营不善、盲目扩张、违规担保等原因而不能按期还本付息，以及欺诈发行、虚假陈述等违法违规事件，严重损害了债券持有人和债券投资者的合法权益。为正确审理因公司债券、企业债券、非金融企业债务融资工具的发行和交易所引发的合同、侵权和破产民商事案件，统一法律适用，最高人民法院于2019年12月24日在北京召开了全国法院审理债券纠纷相关案件座谈会，邀请全国人大常委会法制工作委员会、司法部、国家发展和改革委员会、中国人民银行、中国证监会等单位有关负责同志参加会议，各省、自治区、直辖市高级人民法院和解放军军事法院以及新疆维吾尔自治区高级人民法院生产建设兵团分院主管民商事审判工作的院领导、相关庭室的负责同志，沪、深证券交易所、中国银行间市场交易商协会等市场自律监管机构、市场中介机构的代表也参加了会议。与会同志经认真讨论，就案件审理中的主要问题取得了一致意见，现纪要如下：</w:t>
      </w:r>
    </w:p>
    <w:p w14:paraId="2F855E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一、关于案件审理的基本原则</w:t>
      </w:r>
    </w:p>
    <w:p w14:paraId="2A934C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会议认为，当前债券市场风险形势总体稳定。债券市场风险的有序释放和平稳化解，是防范和化解金融风险的重要组成部分，事关国家金融安全和社会稳定。因此，人民法院必须高度重视此类案件，并在审理中注意坚持以下原则：</w:t>
      </w:r>
    </w:p>
    <w:p w14:paraId="6FEE46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坚持保障国家金融安全原则。民商事审判工作是国家维护经济秩序、防范和化解市场风险、维护国家经济安全的重要手段。全国法院必须服从和服务于防范和化解金融风险的国家工作大局，以民法总则、合同法、侵权责任法、公司法、中国人民银行法、证券法、信托法、破产法、企业债券管理条例等法律和行政法规为依据，将法律规则的适用与中央监管政策目标的实现相结合，将个案风险化</w:t>
      </w:r>
      <w:r>
        <w:rPr>
          <w:rFonts w:ascii="宋体" w:eastAsia="宋体" w:hAnsi="宋体" w:cs="宋体" w:hint="eastAsia"/>
          <w:sz w:val="24"/>
        </w:rPr>
        <w:lastRenderedPageBreak/>
        <w:t>解与国家经济政策、金融市场监管和社会影响等因素相结合，本着规范债券市场、防范金融风险、维护金融稳定和安全的宗旨，依法公正审理此类纠纷案件，妥善防范和化解金融风险，为国家经济秩序稳定和金融安全提供有力司法服务和保障。</w:t>
      </w:r>
    </w:p>
    <w:p w14:paraId="231EE9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坚持依法公正原则。目前，债券发行和交易市场的规则体系，主要由法律、行政法规、部门规章、行政规范性文件构成。人民法院在审理此类案件中，要根据法律和行政法规规定的基本原理，对具有还本付息这一共同属性的公司债券、企业债券、非金融企业债务融资工具</w:t>
      </w:r>
      <w:proofErr w:type="gramStart"/>
      <w:r>
        <w:rPr>
          <w:rFonts w:ascii="宋体" w:eastAsia="宋体" w:hAnsi="宋体" w:cs="宋体" w:hint="eastAsia"/>
          <w:sz w:val="24"/>
        </w:rPr>
        <w:t>适用相同</w:t>
      </w:r>
      <w:proofErr w:type="gramEnd"/>
      <w:r>
        <w:rPr>
          <w:rFonts w:ascii="宋体" w:eastAsia="宋体" w:hAnsi="宋体" w:cs="宋体" w:hint="eastAsia"/>
          <w:sz w:val="24"/>
        </w:rPr>
        <w:t>的法律标准。正确处理好保护债券持有人和债券投资者的合法权益、强化对发行人的信用约束、保障债券市场风险处置的平稳有序和促进债券市场健康发展之间的关系，统筹兼顾公募与私募、场内与场外等不同市场发展的实际情况，妥善合理弥补部门规章、行政规范性文件和自律监管规则的模糊地带，确保案件审理的法律效果和社会效果相统一。</w:t>
      </w:r>
    </w:p>
    <w:p w14:paraId="73E956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坚持“卖者尽责、买者自负”原则。债券依法发行后，因发行人经营与收益的变化导致的投资风险，依法应当由投资人自行负责。但是，“买者自负”的前提是“卖者尽责”。对于债券欺诈发行、虚假陈述等侵权民事案件的审理，要立足法律和相关监管规则，依法确定发行人董事、监事、高级管理人员及其控股股东、实际控制人，以及增信机构，债券承销机构，信用评级机构、资产评估机构、会计师事务所、律师事务所等中介机构（以下简称债券服务机构），受托管理人或者具有同等职责的机构（以下简称受托管理人）等相关各方的权利、义务和责任，将责任承担与行为人的注意义务、注意能力和过错程度相结合，将民事责任追究的损失填补与震慑违法两个功能相结合，切实保护债券持有人、债券投资者的合法权益，维护公开、公平、公正的资本市场秩序。</w:t>
      </w:r>
    </w:p>
    <w:p w14:paraId="59A5DF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坚持纠纷多元化解原则。债券纠纷案件涉及的投资者人数众多、发行和交易方式复杂、责任主体多元，要充分发挥债券持有人会议的议事平台作用，保障受托管理人和其他债券代表人能够履行参与诉讼、债务重组、破产重整、和解、清算等债券持有人会议赋予的职责。要进一步加强与债券监管部门的沟通联系和信息共享，建立、健全有机衔接、协调联动、高效便民的债券纠纷多元化解机制，协调好诉讼、调解、委托调解、破产重整、和解、清算等多种司法救济手段之间的关系，形成纠纷化解合力，构建债券纠纷排查预警机制，防止矛盾纠纷积累激</w:t>
      </w:r>
      <w:r>
        <w:rPr>
          <w:rFonts w:ascii="宋体" w:eastAsia="宋体" w:hAnsi="宋体" w:cs="宋体" w:hint="eastAsia"/>
          <w:sz w:val="24"/>
        </w:rPr>
        <w:lastRenderedPageBreak/>
        <w:t>化。充分尊重投资者的程序选择权，着眼于纠纷的实际情况，灵活确定纠纷化解的方式、时间和地点，尽可能便利投资者，降低解决纠纷成本。</w:t>
      </w:r>
    </w:p>
    <w:p w14:paraId="4B728F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二、关于诉讼主体资格的认定</w:t>
      </w:r>
    </w:p>
    <w:p w14:paraId="04E739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会议认为，同期发行债券的持有人利益诉求高度同质化且往往人数众多，采用共同诉讼的方式能够切实降低债券持有人的维权成本，最大限度地保障债券持有人的利益，也有利于提高案件审理效率，节约司法资源，实现诉讼经济。案件审理中，人民法院应当根据当事人的协议约定或者债券持有人会议的决议，承认债券受托管理人或者债券持有人会议推选的代表人的法律地位，充分保障受托管理人、诉讼代表人履行统一行使诉权的职能。对于债券违约合同纠纷案件，应当以债券受托管理人或者债券持有人会议推选的代表人集中起诉为原则，以债券持有人个别起诉为补充。</w:t>
      </w:r>
    </w:p>
    <w:p w14:paraId="359496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债券受托管理人的诉讼主体资格。债券发行人不能如约偿付债券本息或者出现债券募集文件约定的违约情形时，受托管理人根据债券募集文件、债券受托管理协议的约定或者债券持有人会议决议的授权，以自己的名义代表债券持有人提起、参加民事诉讼，或者申请发行人破产重整、破产清算的，人民法院应当依法予以受理。</w:t>
      </w:r>
    </w:p>
    <w:p w14:paraId="206141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受托管理人应当向人民法院提交符合债券募集文件、债券受托管理协议或者债券持有人会议规则的授权文件。</w:t>
      </w:r>
    </w:p>
    <w:p w14:paraId="4E0933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债券持有人自行或者共同提起诉讼。在债券持有人会议决议授权受托管理人或者推选代表人代表部分债券持有人主张权利的情况下，其他债券持有人另行单独或者共同提起、参加民事诉讼，或者申请发行人破产重整、破产清算的，人民法院应当依法予以受理。</w:t>
      </w:r>
    </w:p>
    <w:p w14:paraId="520268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债券持有人会议以受托管理人</w:t>
      </w:r>
      <w:proofErr w:type="gramStart"/>
      <w:r>
        <w:rPr>
          <w:rFonts w:ascii="宋体" w:eastAsia="宋体" w:hAnsi="宋体" w:cs="宋体" w:hint="eastAsia"/>
          <w:sz w:val="24"/>
        </w:rPr>
        <w:t>怠</w:t>
      </w:r>
      <w:proofErr w:type="gramEnd"/>
      <w:r>
        <w:rPr>
          <w:rFonts w:ascii="宋体" w:eastAsia="宋体" w:hAnsi="宋体" w:cs="宋体" w:hint="eastAsia"/>
          <w:sz w:val="24"/>
        </w:rPr>
        <w:t>于行使职责为由</w:t>
      </w:r>
      <w:proofErr w:type="gramStart"/>
      <w:r>
        <w:rPr>
          <w:rFonts w:ascii="宋体" w:eastAsia="宋体" w:hAnsi="宋体" w:cs="宋体" w:hint="eastAsia"/>
          <w:sz w:val="24"/>
        </w:rPr>
        <w:t>作出</w:t>
      </w:r>
      <w:proofErr w:type="gramEnd"/>
      <w:r>
        <w:rPr>
          <w:rFonts w:ascii="宋体" w:eastAsia="宋体" w:hAnsi="宋体" w:cs="宋体" w:hint="eastAsia"/>
          <w:sz w:val="24"/>
        </w:rPr>
        <w:t>自行主张权利的有效决议后，债券持有人根据决议单独、共同或者代表其他债券持有人向人民法院提起诉讼、申请发行人破产重整或者破产清算的，人民法院应当依法予以受理。</w:t>
      </w:r>
    </w:p>
    <w:p w14:paraId="417446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7.资产管理产品管理人的诉讼地位。通过各类资产管理产品投资债券的，资产管理产品的管理人根据相关规定或者资产管理文件的约定以自己的名义提起</w:t>
      </w:r>
      <w:r>
        <w:rPr>
          <w:rFonts w:ascii="宋体" w:eastAsia="宋体" w:hAnsi="宋体" w:cs="宋体" w:hint="eastAsia"/>
          <w:sz w:val="24"/>
        </w:rPr>
        <w:lastRenderedPageBreak/>
        <w:t>诉讼的，人民法院应当依法予以受理。</w:t>
      </w:r>
    </w:p>
    <w:p w14:paraId="24B1F8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8.债券交易对诉讼地位的影响。债券持有人以债券质押式回购、融券交易、债券收益权转让等不改变债券持有人身份的方式融资的，不影响其诉讼主体资格的认定。</w:t>
      </w:r>
    </w:p>
    <w:p w14:paraId="5A9B56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三、关于案件的受理、管辖与诉讼方式</w:t>
      </w:r>
    </w:p>
    <w:p w14:paraId="144337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会议认为，对债券纠纷案件实施相对集中管辖，有利于债券纠纷的及时、有序化解和裁判尺度的统一。在债券持有人、债券投资者自行提起诉讼的情况下，受诉法院也要选择适当的共同诉讼方式，实现案件审理的集约化。同时，为切实降低诉讼维权成本，应当允许符合条件的受托管理人、债券持有人和债券投资者以自身信用作为财产保全的担保方式。</w:t>
      </w:r>
    </w:p>
    <w:p w14:paraId="71A3E7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9.欺诈发行、虚假陈述案件的受理。债券持有人、债券投资者以自己受到欺诈发行、虚假陈述侵害为由，对欺诈发行、虚假陈述行为人提起的民事赔偿诉讼，符合民事诉讼法第一百一十九条规定的，人民法院应当予以受理。欺诈发行、虚假陈述行为人以债券持有人、债券投资者主张的欺诈发行、虚假陈述行为未经有关机关行政处罚或者生效刑事裁判文书认定为由请求不予受理或者驳回起诉的，人民法院不予支持。</w:t>
      </w:r>
    </w:p>
    <w:p w14:paraId="37F439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10.债券违约案件的管辖。受托管理人、债券持有人以发行人或者增</w:t>
      </w:r>
      <w:proofErr w:type="gramStart"/>
      <w:r>
        <w:rPr>
          <w:rFonts w:ascii="宋体" w:eastAsia="宋体" w:hAnsi="宋体" w:cs="宋体" w:hint="eastAsia"/>
          <w:sz w:val="24"/>
        </w:rPr>
        <w:t>信机构</w:t>
      </w:r>
      <w:proofErr w:type="gramEnd"/>
      <w:r>
        <w:rPr>
          <w:rFonts w:ascii="宋体" w:eastAsia="宋体" w:hAnsi="宋体" w:cs="宋体" w:hint="eastAsia"/>
          <w:sz w:val="24"/>
        </w:rPr>
        <w:t>为被告提起的要求依约偿付债券本息或者履行增</w:t>
      </w:r>
      <w:proofErr w:type="gramStart"/>
      <w:r>
        <w:rPr>
          <w:rFonts w:ascii="宋体" w:eastAsia="宋体" w:hAnsi="宋体" w:cs="宋体" w:hint="eastAsia"/>
          <w:sz w:val="24"/>
        </w:rPr>
        <w:t>信义务</w:t>
      </w:r>
      <w:proofErr w:type="gramEnd"/>
      <w:r>
        <w:rPr>
          <w:rFonts w:ascii="宋体" w:eastAsia="宋体" w:hAnsi="宋体" w:cs="宋体" w:hint="eastAsia"/>
          <w:sz w:val="24"/>
        </w:rPr>
        <w:t>的合同纠纷案件，由发行人住所地人民法院管辖。债券募集文件与受托管理协议另有约定的，从其约定。</w:t>
      </w:r>
    </w:p>
    <w:p w14:paraId="2F5DC2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券募集文件与受托管理协议中关于管辖的约定不一致，根据《最高人民法院关于适用〈中华人民共和国民事诉讼法〉若干问题的解释》第三十条第一款的规定不能确定管辖法院的，由发行人住所地人民法院管辖。</w:t>
      </w:r>
    </w:p>
    <w:p w14:paraId="3AF617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纪要发布之前，人民法院以原告住所地为合同履行地确定管辖的案件，尚未开庭审理的，应当移送发行人住所地人民法院审理；已经生效尚未申请执行的案件，应当向发行人住所地人民法院申请强制执行；已经执行尚未执结的案件，应当交由发行人住所地人民法院继续执行。</w:t>
      </w:r>
    </w:p>
    <w:p w14:paraId="0DFB8E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11.欺诈发行和虚假陈述案件的管辖。债券持有人、债券投资者以发行人、</w:t>
      </w:r>
      <w:r>
        <w:rPr>
          <w:rFonts w:ascii="宋体" w:eastAsia="宋体" w:hAnsi="宋体" w:cs="宋体" w:hint="eastAsia"/>
          <w:sz w:val="24"/>
        </w:rPr>
        <w:lastRenderedPageBreak/>
        <w:t>债券承销机构、债券服务机构等为被告提起的要求承担欺诈发行、虚假陈述民事责任的侵权纠纷案件，由省、直辖市、自治区人民政府所在的市、计划单列市和经济特区中级人民法院管辖。</w:t>
      </w:r>
    </w:p>
    <w:p w14:paraId="0694CB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多个被告中有发行人的，由发行人住所地有管辖权的人民法院管辖。</w:t>
      </w:r>
    </w:p>
    <w:p w14:paraId="154E47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12.破产案件的管辖。受托管理人、债券持有人申请发行人重整、破产清算的破产案件，以及发行人申请重整、和解、破产清算的破产案件，由发行人住所地中级人民法院管辖。</w:t>
      </w:r>
    </w:p>
    <w:p w14:paraId="770ABD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13.允许金融机构以自身信用提供财产保全担保。诉讼中，对证券公司、信托公司、基金公司、期货公司等由金融监管部门批准设立的具有独立偿付债务能力的金融机构及其分支机构以其自身财产作为信用担保的方式提出的财产保全申请，根据《最高人民法院关于人民法院办理财产保全案件若干问题的规定》（法释〔2016〕22号）第九条规定的精神，人民法院可以予以准许。</w:t>
      </w:r>
    </w:p>
    <w:p w14:paraId="72132B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14.案件的集中审理。为节约司法资源，对于由债券持有人自行主张权利的债券违约纠纷案件，以及债券持有人、债券投资者依法提起的债券欺诈发行、虚假陈述侵权赔偿纠纷案件，受诉人民法院可以根据债券发行和交易的方式等案件具体情况，以民事诉讼法第五十二条、第五十三条、第五十四条，证券法第九十五条和《最高人民法院关于适用〈中华人民共和国民事诉讼法〉若干问题的解释》的相关规定为依据，引导当事人选择适当的诉讼方式，对案件进行审理。</w:t>
      </w:r>
    </w:p>
    <w:p w14:paraId="648688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四、关于债券持有人权利保护的特别规定</w:t>
      </w:r>
    </w:p>
    <w:p w14:paraId="1832D1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会议认为，债券持有人会议是强化债券持有人权利主体地位、统一债券持有人立场的债券市场基础性制度，也是债券持有人指挥和监督受托管理人勤勉履职的专门制度安排。人民法院在案件审理过程中，要充分发挥债券持有人会议的议事平台作用，尊重债券持有人会议依法依规所</w:t>
      </w:r>
      <w:proofErr w:type="gramStart"/>
      <w:r>
        <w:rPr>
          <w:rFonts w:ascii="宋体" w:eastAsia="宋体" w:hAnsi="宋体" w:cs="宋体" w:hint="eastAsia"/>
          <w:sz w:val="24"/>
        </w:rPr>
        <w:t>作出</w:t>
      </w:r>
      <w:proofErr w:type="gramEnd"/>
      <w:r>
        <w:rPr>
          <w:rFonts w:ascii="宋体" w:eastAsia="宋体" w:hAnsi="宋体" w:cs="宋体" w:hint="eastAsia"/>
          <w:sz w:val="24"/>
        </w:rPr>
        <w:t>决议的效力，保障受托管理人和诉讼代表人能够履行参与诉讼、债务重组、破产重整、和解、清算等债券持有人会议赋予的职责。对可能减损、让渡债券持有人利益的相关协议内容的表决，受托管理人和诉讼代表人必须忠实表达债券持有人的意愿。支持受托管理人开展代债券持有人行使担保物权、统一受领案件执行款等工作，切实保护债券持有人</w:t>
      </w:r>
      <w:r>
        <w:rPr>
          <w:rFonts w:ascii="宋体" w:eastAsia="宋体" w:hAnsi="宋体" w:cs="宋体" w:hint="eastAsia"/>
          <w:sz w:val="24"/>
        </w:rPr>
        <w:lastRenderedPageBreak/>
        <w:t>的合法权益。</w:t>
      </w:r>
    </w:p>
    <w:p w14:paraId="709A76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15.债券持有人会议决议的效力。债券持有人会议根据债券募集文件规定的决议范围、议事方式和表决程序所</w:t>
      </w:r>
      <w:proofErr w:type="gramStart"/>
      <w:r>
        <w:rPr>
          <w:rFonts w:ascii="宋体" w:eastAsia="宋体" w:hAnsi="宋体" w:cs="宋体" w:hint="eastAsia"/>
          <w:sz w:val="24"/>
        </w:rPr>
        <w:t>作出</w:t>
      </w:r>
      <w:proofErr w:type="gramEnd"/>
      <w:r>
        <w:rPr>
          <w:rFonts w:ascii="宋体" w:eastAsia="宋体" w:hAnsi="宋体" w:cs="宋体" w:hint="eastAsia"/>
          <w:sz w:val="24"/>
        </w:rPr>
        <w:t>的决议，除非存在法定无效事由，人民法院应当认定为合法有效，除本纪要第5条、第6条和第16条规定的事项外，对全体债券持有人具有约束力。</w:t>
      </w:r>
    </w:p>
    <w:p w14:paraId="70B0D1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债券持有人会议表决过程中，发行人及其关联方，以及对决议事项存在利益冲突的债券持有人应当回避表决。</w:t>
      </w:r>
    </w:p>
    <w:p w14:paraId="4A6CAA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16.债券持有人重大事项决定权的保留。债券持有人会议授权的受托管理人或者推选的代表人</w:t>
      </w:r>
      <w:proofErr w:type="gramStart"/>
      <w:r>
        <w:rPr>
          <w:rFonts w:ascii="宋体" w:eastAsia="宋体" w:hAnsi="宋体" w:cs="宋体" w:hint="eastAsia"/>
          <w:sz w:val="24"/>
        </w:rPr>
        <w:t>作出</w:t>
      </w:r>
      <w:proofErr w:type="gramEnd"/>
      <w:r>
        <w:rPr>
          <w:rFonts w:ascii="宋体" w:eastAsia="宋体" w:hAnsi="宋体" w:cs="宋体" w:hint="eastAsia"/>
          <w:sz w:val="24"/>
        </w:rPr>
        <w:t>可能减损、让渡债券持有人利益的行为，在案件审理中与对方当事人达成调解协议，或者在破产程序中就发行人重整计划草案、和解协议进行表决时，如未获得债券持有人会议特别授权的，应当事先征求各债券持有人的意见或者由各债券持有人自行决定。</w:t>
      </w:r>
    </w:p>
    <w:p w14:paraId="45D661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17.破产程序中受托管理人和代表人</w:t>
      </w:r>
      <w:proofErr w:type="gramStart"/>
      <w:r>
        <w:rPr>
          <w:rFonts w:ascii="宋体" w:eastAsia="宋体" w:hAnsi="宋体" w:cs="宋体" w:hint="eastAsia"/>
          <w:sz w:val="24"/>
        </w:rPr>
        <w:t>的债委会</w:t>
      </w:r>
      <w:proofErr w:type="gramEnd"/>
      <w:r>
        <w:rPr>
          <w:rFonts w:ascii="宋体" w:eastAsia="宋体" w:hAnsi="宋体" w:cs="宋体" w:hint="eastAsia"/>
          <w:sz w:val="24"/>
        </w:rPr>
        <w:t>成员资格。债券持有人会议授权的受托管理人或者推选的代表人参与破产重整、清算、和解程序的，人民法院在确定债权人委员会的成员时，应当将其作为债权人代表人选。</w:t>
      </w:r>
    </w:p>
    <w:p w14:paraId="4C57B9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券持有人自行主张权利的，人民法院在破产重整、清算、和解程序中确定债权人委员会的成员时，可以责成自行主张权利的债券持有人通过自行召集债券持有人会议等方式推选出代表人，并吸收该代表人进入债权人委员会，以体现和代表多数债券持有人的意志和利益。</w:t>
      </w:r>
    </w:p>
    <w:p w14:paraId="5C63E2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18.登记在受托管理人名下的担保物权行使。根据《最高人民法院关于〈国土资源部办公厅关于征求为公司债券持有人办理国有土地使用权抵押登记意见函〉的答复》精神，为债券设定的担保物权可登记在受托管理人名下，受托管理人根据民事诉讼法第一百九十六条、第一百九十七条的规定或者通过普通程序主张担保物权的，人民法院应当予以支持，但应在裁判文书主文中明确由此所得权益归属于全体债券持有人。受托管理人仅代表部分债券持有人提起诉讼的，人民法院还应当根据其所代表的债券持有人份额占当期发行债券的比例明确其相应的份额。</w:t>
      </w:r>
    </w:p>
    <w:p w14:paraId="7EE97F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19.受托管理人所获利益归属于债券持有人。受托管理人提起诉讼或者参与破产程序的，生效裁判文书的既判力及于其所代表的债券持有人。在执行程序、破产程序中所得款项由受托管理人受领后在十个工作日内分配给各债券持有人。</w:t>
      </w:r>
    </w:p>
    <w:p w14:paraId="5EC42B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20.共</w:t>
      </w:r>
      <w:proofErr w:type="gramStart"/>
      <w:r>
        <w:rPr>
          <w:rFonts w:ascii="宋体" w:eastAsia="宋体" w:hAnsi="宋体" w:cs="宋体" w:hint="eastAsia"/>
          <w:sz w:val="24"/>
        </w:rPr>
        <w:t>益费用</w:t>
      </w:r>
      <w:proofErr w:type="gramEnd"/>
      <w:r>
        <w:rPr>
          <w:rFonts w:ascii="宋体" w:eastAsia="宋体" w:hAnsi="宋体" w:cs="宋体" w:hint="eastAsia"/>
          <w:sz w:val="24"/>
        </w:rPr>
        <w:t>的分担。债券持有人会议授权的受托管理人或者推选的代表人在诉讼中垫付的合理律师费等维护全体债券持有人利益所必要的共益费用，可以直接从执行程序、破产程序中受领的款项中扣除，将剩余款项按比例支付给债券持有人。</w:t>
      </w:r>
    </w:p>
    <w:p w14:paraId="26B803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五、关于发行人的民事责任</w:t>
      </w:r>
    </w:p>
    <w:p w14:paraId="7C6691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会议认为，民事责任追究是强化债券发行人信用约束的重要手段，各级人民法院要充分发挥审判职能作用，严格落实债券发行人及其相关人员的债券兑付和信息披露责任，依法打击公司控股股东、实际控制人随意支配发行人资产，甚至恶意转移资产等“逃废债”的行为。对于债券违约案件，要根据法律规定和合同约定，依法确定发行人的违约责任；对于债券欺诈发行和虚假陈述侵权民事案件，应当根据债券持有人和债券投资者的实际损失确定发行人的赔偿责任，依法提高债券市场违法违规成本。</w:t>
      </w:r>
    </w:p>
    <w:p w14:paraId="05E41A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21.发行人的违约责任范围。债券发行人未能如约偿付债券当期利息或者到期本息的，债券持有人请求发行人支付当期利息或者到期本息，并支付逾期利息、违约金、实现债权的合理费用的，人民法院应当予以支持。</w:t>
      </w:r>
    </w:p>
    <w:p w14:paraId="1AE1CE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债券持有人以发行人出现债券募集文件约定的违约情形为由，要求发行人提前还本付息的，人民法院应当综合</w:t>
      </w:r>
      <w:proofErr w:type="gramStart"/>
      <w:r>
        <w:rPr>
          <w:rFonts w:ascii="宋体" w:eastAsia="宋体" w:hAnsi="宋体" w:cs="宋体" w:hint="eastAsia"/>
          <w:sz w:val="24"/>
        </w:rPr>
        <w:t>考量</w:t>
      </w:r>
      <w:proofErr w:type="gramEnd"/>
      <w:r>
        <w:rPr>
          <w:rFonts w:ascii="宋体" w:eastAsia="宋体" w:hAnsi="宋体" w:cs="宋体" w:hint="eastAsia"/>
          <w:sz w:val="24"/>
        </w:rPr>
        <w:t>债券募集文件关于预期违约、交叉违约等的具体约定以及发生事件的具体情形予以判断。</w:t>
      </w:r>
    </w:p>
    <w:p w14:paraId="63C18C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债券持有人以发行人存在其他证券的欺诈发行、虚假陈述为由，请求提前解除合同并要求发行人承担还本付息等责任的，人民法院应当综合</w:t>
      </w:r>
      <w:proofErr w:type="gramStart"/>
      <w:r>
        <w:rPr>
          <w:rFonts w:ascii="宋体" w:eastAsia="宋体" w:hAnsi="宋体" w:cs="宋体" w:hint="eastAsia"/>
          <w:sz w:val="24"/>
        </w:rPr>
        <w:t>考量</w:t>
      </w:r>
      <w:proofErr w:type="gramEnd"/>
      <w:r>
        <w:rPr>
          <w:rFonts w:ascii="宋体" w:eastAsia="宋体" w:hAnsi="宋体" w:cs="宋体" w:hint="eastAsia"/>
          <w:sz w:val="24"/>
        </w:rPr>
        <w:t>其他证券的欺诈发行、虚假陈述等行为是否足以导致合同目的不能实现等因素，判断是否符合提前解除合同的条件。</w:t>
      </w:r>
    </w:p>
    <w:p w14:paraId="134812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22.债券欺诈发行和虚假陈述的损失计算。债券信息披露文件中就发行人财务业务信息等与其偿付能力相关的重要内容存在虚假记载、误导性陈述或者重大</w:t>
      </w:r>
      <w:r>
        <w:rPr>
          <w:rFonts w:ascii="宋体" w:eastAsia="宋体" w:hAnsi="宋体" w:cs="宋体" w:hint="eastAsia"/>
          <w:sz w:val="24"/>
        </w:rPr>
        <w:lastRenderedPageBreak/>
        <w:t>遗漏的，欺诈发行的债券认购人或者欺诈发行、虚假陈述行为实施日及之后、揭露日之前在交易市场上买入该债券的投资者，其损失按照如下方式计算：</w:t>
      </w:r>
    </w:p>
    <w:p w14:paraId="4F0141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（1）在起诉日之前已经卖出债券，或者在起诉时虽然持有债券，但在一审判决</w:t>
      </w:r>
      <w:proofErr w:type="gramStart"/>
      <w:r>
        <w:rPr>
          <w:rFonts w:ascii="宋体" w:eastAsia="宋体" w:hAnsi="宋体" w:cs="宋体" w:hint="eastAsia"/>
          <w:sz w:val="24"/>
        </w:rPr>
        <w:t>作出</w:t>
      </w:r>
      <w:proofErr w:type="gramEnd"/>
      <w:r>
        <w:rPr>
          <w:rFonts w:ascii="宋体" w:eastAsia="宋体" w:hAnsi="宋体" w:cs="宋体" w:hint="eastAsia"/>
          <w:sz w:val="24"/>
        </w:rPr>
        <w:t>前已经卖出的，本金损失按投资人购买该债券所支付的加权平均价格扣减持有该债券期间收取的本金偿付（如有），与卖出该债券的加权平均价格的差额计算，并可加计实际损失确定之日至实际清偿之日止的利息。利息分段计算，在2019年8月19日之前，按照中国人民银行确定的同期同类贷款基准利率计算；在2019年8月20日之后，按照中国人民银行授权全国银行间同业拆借中心公布的贷款市场报价利率（LPR）标准计算。</w:t>
      </w:r>
    </w:p>
    <w:p w14:paraId="7E3F7B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（2）在一审判决</w:t>
      </w:r>
      <w:proofErr w:type="gramStart"/>
      <w:r>
        <w:rPr>
          <w:rFonts w:ascii="宋体" w:eastAsia="宋体" w:hAnsi="宋体" w:cs="宋体" w:hint="eastAsia"/>
          <w:sz w:val="24"/>
        </w:rPr>
        <w:t>作出</w:t>
      </w:r>
      <w:proofErr w:type="gramEnd"/>
      <w:r>
        <w:rPr>
          <w:rFonts w:ascii="宋体" w:eastAsia="宋体" w:hAnsi="宋体" w:cs="宋体" w:hint="eastAsia"/>
          <w:sz w:val="24"/>
        </w:rPr>
        <w:t>前仍然持有该债券的，债券持有人请求按照本纪要第21条第一款的规定计算损失赔偿数额的，人民法院应当予以支持；债券持有人请求赔偿虚假陈述行为所导致的利息损失的，人民法院应当在综合</w:t>
      </w:r>
      <w:proofErr w:type="gramStart"/>
      <w:r>
        <w:rPr>
          <w:rFonts w:ascii="宋体" w:eastAsia="宋体" w:hAnsi="宋体" w:cs="宋体" w:hint="eastAsia"/>
          <w:sz w:val="24"/>
        </w:rPr>
        <w:t>考量</w:t>
      </w:r>
      <w:proofErr w:type="gramEnd"/>
      <w:r>
        <w:rPr>
          <w:rFonts w:ascii="宋体" w:eastAsia="宋体" w:hAnsi="宋体" w:cs="宋体" w:hint="eastAsia"/>
          <w:sz w:val="24"/>
        </w:rPr>
        <w:t>欺诈发行、虚假陈述等因素的基础上，根据相关虚假陈述内容被揭露后的发行人真实信用状况所对应的债券发行利率或者债券估值，确定合理的利率赔偿标准。</w:t>
      </w:r>
    </w:p>
    <w:p w14:paraId="6475B3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23.损失赔偿后债券的交还与注销。依照本纪要第21条、第22条第二项的规定请求发行人承担还本付息责任的，人民法院应当在一审判决</w:t>
      </w:r>
      <w:proofErr w:type="gramStart"/>
      <w:r>
        <w:rPr>
          <w:rFonts w:ascii="宋体" w:eastAsia="宋体" w:hAnsi="宋体" w:cs="宋体" w:hint="eastAsia"/>
          <w:sz w:val="24"/>
        </w:rPr>
        <w:t>作出</w:t>
      </w:r>
      <w:proofErr w:type="gramEnd"/>
      <w:r>
        <w:rPr>
          <w:rFonts w:ascii="宋体" w:eastAsia="宋体" w:hAnsi="宋体" w:cs="宋体" w:hint="eastAsia"/>
          <w:sz w:val="24"/>
        </w:rPr>
        <w:t>前向债券登记结算机构调取本案当事人的债券交易情况，并通知债券登记结算机构冻结本案债券持有人所持有的相关债券。</w:t>
      </w:r>
    </w:p>
    <w:p w14:paraId="126256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判令发行人依照本纪要第21条、第22条第二项的规定承担还本付息责任的，无论债券持有人是否提出了由发行人赎回债券的诉讼请求，均应当在判项中明确债券持有人交回债券的义务，以及发行人依据生效法律文书申请债券登记结算机构注销该债券的权利。</w:t>
      </w:r>
    </w:p>
    <w:p w14:paraId="6194E5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24.因果关系抗辩。债券持有人在债券信息披露文件中的虚假陈述内容被揭露后在交易市场买入债券的，对其依据本纪要第22条规定要求发行人承担责任的诉讼请求，人民法院不予支持。</w:t>
      </w:r>
    </w:p>
    <w:p w14:paraId="282A5F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债券投资人在债券信息披露文件中的虚假陈述内容被揭露后在交易市场买入该债券，其后又因发行人的其他信息披露文件中存在虚假记载、误导性陈述或</w:t>
      </w:r>
      <w:r>
        <w:rPr>
          <w:rFonts w:ascii="宋体" w:eastAsia="宋体" w:hAnsi="宋体" w:cs="宋体" w:hint="eastAsia"/>
          <w:sz w:val="24"/>
        </w:rPr>
        <w:lastRenderedPageBreak/>
        <w:t>者重大遗漏导致其信用风险进一步恶化所造成的损失，按照本纪要第22条的规定计算。</w:t>
      </w:r>
    </w:p>
    <w:p w14:paraId="7CA80A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在认定债券信息披露文件中的虚假陈述内容对债券投资人交易损失的影响时，发行人及其他责任主体能够证明投资者通过内幕交易、操纵市场等方式卖出债券，导致交易价格明显低于卖出时的债券市场公允价值的，人民法院可以参考欺诈发行、虚假陈述行为揭露日之后的十个交易日的加权平均交易价格或前三十个交易日的市场估值确定该债券的市场公允价格，并以此计算债券投资者的交易损失。</w:t>
      </w:r>
    </w:p>
    <w:p w14:paraId="55A356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行人及其他责任主体能够证明债券持有人、债券投资者的损失部分或者全部是由于市场无风险利率水平变化（以同期限国债利率为参考）、政策风险等与欺诈发行、虚假陈述行为无关的其他因素造成的，人民法院在确定损失赔偿范围时，应当根据原因力的大小相应减轻或者免除赔偿责任。</w:t>
      </w:r>
    </w:p>
    <w:p w14:paraId="763295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人民法院在案件审理中，可以委托市场投资者认可的专业机构确定欺诈发行、虚假陈述行为对债券持有人和债券投资者损失的影响。</w:t>
      </w:r>
    </w:p>
    <w:p w14:paraId="0DAA8E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六、关于其他责任主体的责任</w:t>
      </w:r>
    </w:p>
    <w:p w14:paraId="6339FA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会议认为，对于债券欺诈发行、虚假陈述案件的审理，要按照证券法的规定，严格落实债券承销机构和债券服务机构保护投资者利益的核查把关责任，将责任承担与过错程度相结合。债券承销机构和债券服务机构对各自专业相关的业务事项未履行特别注意义务，对其他业务事项未履行普通注意义务的，应当判令其承担相应法律责任。</w:t>
      </w:r>
    </w:p>
    <w:p w14:paraId="425883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25.受托管理人的赔偿责任。受托管理人未能勤勉尽责公正履行受托管理职责，损害债券持有人合法利益，债券持有人请求其承担相应赔偿责任的，人民法院应当予以支持。</w:t>
      </w:r>
    </w:p>
    <w:p w14:paraId="58CB52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26.债券发行增</w:t>
      </w:r>
      <w:proofErr w:type="gramStart"/>
      <w:r>
        <w:rPr>
          <w:rFonts w:ascii="宋体" w:eastAsia="宋体" w:hAnsi="宋体" w:cs="宋体" w:hint="eastAsia"/>
          <w:sz w:val="24"/>
        </w:rPr>
        <w:t>信机构</w:t>
      </w:r>
      <w:proofErr w:type="gramEnd"/>
      <w:r>
        <w:rPr>
          <w:rFonts w:ascii="宋体" w:eastAsia="宋体" w:hAnsi="宋体" w:cs="宋体" w:hint="eastAsia"/>
          <w:sz w:val="24"/>
        </w:rPr>
        <w:t>与发行人的共同责任。债券发行人不能如约偿付债券本息或者出现债券募集文件约定的违约情形时，人民法院应当根据相关增</w:t>
      </w:r>
      <w:proofErr w:type="gramStart"/>
      <w:r>
        <w:rPr>
          <w:rFonts w:ascii="宋体" w:eastAsia="宋体" w:hAnsi="宋体" w:cs="宋体" w:hint="eastAsia"/>
          <w:sz w:val="24"/>
        </w:rPr>
        <w:t>信文件</w:t>
      </w:r>
      <w:proofErr w:type="gramEnd"/>
      <w:r>
        <w:rPr>
          <w:rFonts w:ascii="宋体" w:eastAsia="宋体" w:hAnsi="宋体" w:cs="宋体" w:hint="eastAsia"/>
          <w:sz w:val="24"/>
        </w:rPr>
        <w:t>约定的内容，判令增</w:t>
      </w:r>
      <w:proofErr w:type="gramStart"/>
      <w:r>
        <w:rPr>
          <w:rFonts w:ascii="宋体" w:eastAsia="宋体" w:hAnsi="宋体" w:cs="宋体" w:hint="eastAsia"/>
          <w:sz w:val="24"/>
        </w:rPr>
        <w:t>信机构</w:t>
      </w:r>
      <w:proofErr w:type="gramEnd"/>
      <w:r>
        <w:rPr>
          <w:rFonts w:ascii="宋体" w:eastAsia="宋体" w:hAnsi="宋体" w:cs="宋体" w:hint="eastAsia"/>
          <w:sz w:val="24"/>
        </w:rPr>
        <w:t>向债券持有人承担相应的责任。监管文件中规定或者增</w:t>
      </w:r>
      <w:proofErr w:type="gramStart"/>
      <w:r>
        <w:rPr>
          <w:rFonts w:ascii="宋体" w:eastAsia="宋体" w:hAnsi="宋体" w:cs="宋体" w:hint="eastAsia"/>
          <w:sz w:val="24"/>
        </w:rPr>
        <w:t>信文件</w:t>
      </w:r>
      <w:proofErr w:type="gramEnd"/>
      <w:r>
        <w:rPr>
          <w:rFonts w:ascii="宋体" w:eastAsia="宋体" w:hAnsi="宋体" w:cs="宋体" w:hint="eastAsia"/>
          <w:sz w:val="24"/>
        </w:rPr>
        <w:t>中约定增</w:t>
      </w:r>
      <w:proofErr w:type="gramStart"/>
      <w:r>
        <w:rPr>
          <w:rFonts w:ascii="宋体" w:eastAsia="宋体" w:hAnsi="宋体" w:cs="宋体" w:hint="eastAsia"/>
          <w:sz w:val="24"/>
        </w:rPr>
        <w:t>信机构</w:t>
      </w:r>
      <w:proofErr w:type="gramEnd"/>
      <w:r>
        <w:rPr>
          <w:rFonts w:ascii="宋体" w:eastAsia="宋体" w:hAnsi="宋体" w:cs="宋体" w:hint="eastAsia"/>
          <w:sz w:val="24"/>
        </w:rPr>
        <w:t>的增</w:t>
      </w:r>
      <w:proofErr w:type="gramStart"/>
      <w:r>
        <w:rPr>
          <w:rFonts w:ascii="宋体" w:eastAsia="宋体" w:hAnsi="宋体" w:cs="宋体" w:hint="eastAsia"/>
          <w:sz w:val="24"/>
        </w:rPr>
        <w:t>信范围</w:t>
      </w:r>
      <w:proofErr w:type="gramEnd"/>
      <w:r>
        <w:rPr>
          <w:rFonts w:ascii="宋体" w:eastAsia="宋体" w:hAnsi="宋体" w:cs="宋体" w:hint="eastAsia"/>
          <w:sz w:val="24"/>
        </w:rPr>
        <w:t>包括损失赔偿内容的，对债券持有人、债券</w:t>
      </w:r>
      <w:r>
        <w:rPr>
          <w:rFonts w:ascii="宋体" w:eastAsia="宋体" w:hAnsi="宋体" w:cs="宋体" w:hint="eastAsia"/>
          <w:sz w:val="24"/>
        </w:rPr>
        <w:lastRenderedPageBreak/>
        <w:t>投资者要求增</w:t>
      </w:r>
      <w:proofErr w:type="gramStart"/>
      <w:r>
        <w:rPr>
          <w:rFonts w:ascii="宋体" w:eastAsia="宋体" w:hAnsi="宋体" w:cs="宋体" w:hint="eastAsia"/>
          <w:sz w:val="24"/>
        </w:rPr>
        <w:t>信机构</w:t>
      </w:r>
      <w:proofErr w:type="gramEnd"/>
      <w:r>
        <w:rPr>
          <w:rFonts w:ascii="宋体" w:eastAsia="宋体" w:hAnsi="宋体" w:cs="宋体" w:hint="eastAsia"/>
          <w:sz w:val="24"/>
        </w:rPr>
        <w:t>对发行人因欺诈发行、虚假陈述而应负的赔偿责任承担相应担保责任的诉讼请求，人民法院应当予以支持。增</w:t>
      </w:r>
      <w:proofErr w:type="gramStart"/>
      <w:r>
        <w:rPr>
          <w:rFonts w:ascii="宋体" w:eastAsia="宋体" w:hAnsi="宋体" w:cs="宋体" w:hint="eastAsia"/>
          <w:sz w:val="24"/>
        </w:rPr>
        <w:t>信机构</w:t>
      </w:r>
      <w:proofErr w:type="gramEnd"/>
      <w:r>
        <w:rPr>
          <w:rFonts w:ascii="宋体" w:eastAsia="宋体" w:hAnsi="宋体" w:cs="宋体" w:hint="eastAsia"/>
          <w:sz w:val="24"/>
        </w:rPr>
        <w:t>承担责任后，有权向发行人等侵权责任主体进行追偿。</w:t>
      </w:r>
    </w:p>
    <w:p w14:paraId="0B1F51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27.发行人与其他责任主体的连带责任。发行人的控股股东、实际控制人、发行人的董事、监事、高级管理人员或者履行同等职责的人员，对其制作、出具的信息披露文件中存在虚假记载、误导性陈述或者重大遗漏，足以影响投资人对发行人偿债能力判断的，应当与发行人共同对债券持有人、债券投资者的损失承担连带赔偿责任，但是能够证明自己没有过错的除外。</w:t>
      </w:r>
    </w:p>
    <w:p w14:paraId="4B976B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28.发行人内部人的过错认定。对发行人的执行董事、非执行董事、独立董事、监事、职工监事、高级管理人员或者履行同等职责的人员，以及参与信息披露文件制作的责任人员所提出的其主观上没有过错的抗辩理由，人民法院应当根据前述人员在公司中所处的实际地位、在信息披露文件的制作中所起的作用、取得和了解相关信息的渠道及其为核验相关信息所做的努力等实际情况，审查、认定其是否存在过错。</w:t>
      </w:r>
    </w:p>
    <w:p w14:paraId="0B0715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29.债券承销机构的过错认定。债券承销机构存在下列行为之一，导致信息披露文件中的关于发行人偿付能力相关的重要内容存在虚假记载、误导性陈述或者重大遗漏，足以影响投资人对发行人偿债能力判断的，人民法院应当认定其存在过错：</w:t>
      </w:r>
    </w:p>
    <w:p w14:paraId="29D3E8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（1）协助发行人制作虚假、误导性信息，或者明知发行人存在上述行为而故意隐瞒的；</w:t>
      </w:r>
    </w:p>
    <w:p w14:paraId="419A65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（2）未按照合理性、必要性和重要性原则开展尽职调查，随意改变尽职调查工作计划或者不适当地省略工作计划中规定的步骤；</w:t>
      </w:r>
    </w:p>
    <w:p w14:paraId="5B2243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（3）故意隐瞒所知悉的有关发行人经营活动、财务状况、偿债能力和意愿等重大信息；</w:t>
      </w:r>
    </w:p>
    <w:p w14:paraId="4C8E6C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（4）对信息披露文件中相关债券服务机构出具专业意见的重要内容已经产生了合理怀疑，但未进行审慎核查和必要的调查、复核工作；</w:t>
      </w:r>
    </w:p>
    <w:p w14:paraId="0EE924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（5）其他严重违反规范性文件、执业规范和自律监管规则中关于尽职调查</w:t>
      </w:r>
      <w:r>
        <w:rPr>
          <w:rFonts w:ascii="宋体" w:eastAsia="宋体" w:hAnsi="宋体" w:cs="宋体" w:hint="eastAsia"/>
          <w:sz w:val="24"/>
        </w:rPr>
        <w:lastRenderedPageBreak/>
        <w:t>要求的行为。</w:t>
      </w:r>
    </w:p>
    <w:p w14:paraId="21371E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30.债券承销机构的免责抗辩。债券承销机构对发行人信息披露文件中关于发行人偿付能力的相关内容，能够提交尽职调查工作底稿、尽职调查报告等证据证明符合下列情形之一的，人民法院应当认定其没有过错：</w:t>
      </w:r>
    </w:p>
    <w:p w14:paraId="5A8F73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（1）已经按照法律、行政法规和债券监管部门的规范性文件、执业规范和自律监管规则要求，通过查阅、访谈、列席会议、实地调查、印证和讨论等方法，对债券发行相关情况进行了合理尽职调查；</w:t>
      </w:r>
    </w:p>
    <w:p w14:paraId="4C5E67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（2）对信息披露文件中没有债券服务机构专业意见支持的重要内容，经过尽职调查和独立判断，有合理的理由相信该部分信息披露内容与真实情况相符；</w:t>
      </w:r>
    </w:p>
    <w:p w14:paraId="5CA7C4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（3）对信息披露文件中相关债券服务机构出具专业意见的重要内容，在履行了审慎核查和必要的调查、复核工作的基础上，排除了原先的合理怀疑；</w:t>
      </w:r>
    </w:p>
    <w:p w14:paraId="2B2800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（4）尽职调查工作虽然存在瑕疵，但即使完整履行了相关程序也难以发现信息披露文件存在虚假记载、误导性陈述或者重大遗漏。</w:t>
      </w:r>
    </w:p>
    <w:p w14:paraId="389EE2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31.债券服务机构的过错认定。信息披露文件中关于发行人偿付能力的相关内容存在虚假记载、误导性陈述或者重大遗漏，足以影响投资人对发行人偿付能力的判断的，会计师事务所、律师事务所、信用评级机构、资产评估机构等债券服务机构不能证明其已经按照法律、行政法规、部门规章、行业执业规范和职业道德等规定的勤勉义务谨慎执业的，人民法院应当认定其存在过错。</w:t>
      </w:r>
    </w:p>
    <w:p w14:paraId="426B0C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会计师事务所、律师事务所、信用评级机构、资产评估机构等债券服务机构的注意义务和应负责任范围，限于各自的工作范围和专业领域，其制作、出具的文件有虚假记载、误导性陈述或者重大遗漏，应当按照证券法及相关司法解释的规定，</w:t>
      </w:r>
      <w:proofErr w:type="gramStart"/>
      <w:r>
        <w:rPr>
          <w:rFonts w:ascii="宋体" w:eastAsia="宋体" w:hAnsi="宋体" w:cs="宋体" w:hint="eastAsia"/>
          <w:sz w:val="24"/>
        </w:rPr>
        <w:t>考量</w:t>
      </w:r>
      <w:proofErr w:type="gramEnd"/>
      <w:r>
        <w:rPr>
          <w:rFonts w:ascii="宋体" w:eastAsia="宋体" w:hAnsi="宋体" w:cs="宋体" w:hint="eastAsia"/>
          <w:sz w:val="24"/>
        </w:rPr>
        <w:t>其是否尽到勤勉尽责义务，区分故意、过失等不同情况，分别确定其应当承担的法律责任。</w:t>
      </w:r>
    </w:p>
    <w:p w14:paraId="1FDD65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32.责任追偿。发行人的控股股东、实际控制人、发行人的董事、监事、高级管理人员或者履行同等职责的人员、债券承销机构以及债券服务机构根据生效法律文书或者按照先行赔付约定承担赔偿责任后，对超出其责任范围的部分，向发行人及其他相关责任主体追偿的，人民法院应当支持。</w:t>
      </w:r>
    </w:p>
    <w:p w14:paraId="0B7F5C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七、关于发行人破产管理人的责任</w:t>
      </w:r>
    </w:p>
    <w:p w14:paraId="300A46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会议认为，对于债券发行人破产案件的审理，要坚持企业拯救、市场出清、债权人利益保护和维护社会稳定并重，在发行人破产重整、和解、清算程序中，应当进一步明确破产管理人及时确认债权、持续信息披露等义务，确保诉讼程序能够及时进行，保护债券持有人的合法权益，切实做到化解风险，理顺关系，安定人心，维护秩序。</w:t>
      </w:r>
    </w:p>
    <w:p w14:paraId="154DC1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33.发行人破产管理人的债券信息披露责任。债券发行人进入破产程序后，发行人的债券信息披露义务由破产管理人承担，但发行人自行管理财产和营业事务的除外。破产管理人应当按照证券法及相关监管规定的要求，及时、公平地履行披露义务，所披露的信息必须真实、准确、完整。破产管理人就接管破产企业后的相关事项所披露的内容存在虚假记载、误导性陈述或者重大遗漏，足以影响投资人对发行人偿付能力的判断的，对债券持有人、债券投资者主张依法判令其承担虚假陈述民事责任的诉讼请求，人民法院应当予以支持。</w:t>
      </w:r>
    </w:p>
    <w:p w14:paraId="6303ADA6"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34.破产管理人无正当理由不予确认债权的赔偿责任。债券发行人进入破产程序后，受托管理人根据债券募集文件或者债券持有人会议决议的授权，依照债券登记机关出具的债券持仓登记文件代表全体债券持有人所申报的破产债权，破产管理人应当依法及时予以确认。因破产管理人无正当理由不予确认而导致的诉讼费用、律师费用、差旅费用等合理支出以及由此导致债权迟延清偿期间的利息损失，受托管理人另行向破产管理人主张赔偿责任的，人民法院应当予以支持。</w:t>
      </w:r>
    </w:p>
    <w:p w14:paraId="1F2994B8"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11.《最高人民法院关于证券纠纷代表人诉讼若干问题的规定》</w:t>
      </w:r>
    </w:p>
    <w:p w14:paraId="193B21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    文号：法释〔2020〕5号</w:t>
      </w:r>
    </w:p>
    <w:p w14:paraId="0C7D15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（2020年7月23日最高人民法院审判委员会第1808次会议通过,自2020年7月31日起施行）</w:t>
      </w:r>
    </w:p>
    <w:p w14:paraId="35B397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进一步完善证券集体诉讼制度，便利投资者提起和参加诉讼，降低投资者维权成本，保护投资者合法权益，有效惩治资本市场违法违规行为，维护资本市场健康稳定发展，根据《中华人民共和国民事诉讼法》《中华人民共和国证券法》等法律的规定，结合证券市场实际和审判实践，制定本规定。</w:t>
      </w:r>
    </w:p>
    <w:p w14:paraId="45CAFD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一般规定</w:t>
      </w:r>
    </w:p>
    <w:p w14:paraId="1771D7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本规定所指证券纠纷代表人诉讼包括因证券市场虚假陈述、内幕交易、操纵市场等行为引发的普通代表人诉讼和特别代表人诉讼。</w:t>
      </w:r>
    </w:p>
    <w:p w14:paraId="055D3A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普通代表人诉讼是依据民事诉讼法第五十三条、第五十四条、证券法第九十五条第一款、第二款规定提起的诉讼；特别代表人诉讼是依据证券法第九十五条第三款规定提起的诉讼。</w:t>
      </w:r>
    </w:p>
    <w:p w14:paraId="648AD9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证券纠纷代表人诉讼案件，由省、自治区、直辖市人民政府所在的市、计划单列市和经济特区中级人民法院或者专门人民法院管辖。</w:t>
      </w:r>
    </w:p>
    <w:p w14:paraId="3DD360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对多个被告提起的诉讼，由发行人住所地有管辖权的中级人民法院或者专门人民法院管辖；对发行人以外的主体提起的诉讼，由被告住所地有管辖权的中级人民法院或者专门人民法院管辖。</w:t>
      </w:r>
    </w:p>
    <w:p w14:paraId="7127EB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特别代表人诉讼案件，</w:t>
      </w:r>
      <w:proofErr w:type="gramStart"/>
      <w:r>
        <w:rPr>
          <w:rFonts w:ascii="宋体" w:eastAsia="宋体" w:hAnsi="宋体" w:cs="宋体" w:hint="eastAsia"/>
          <w:sz w:val="24"/>
        </w:rPr>
        <w:t>由涉诉证券</w:t>
      </w:r>
      <w:proofErr w:type="gramEnd"/>
      <w:r>
        <w:rPr>
          <w:rFonts w:ascii="宋体" w:eastAsia="宋体" w:hAnsi="宋体" w:cs="宋体" w:hint="eastAsia"/>
          <w:sz w:val="24"/>
        </w:rPr>
        <w:t>集中交易的证券交易所、国务院批准的其他全国性证券交易场所所在地的中级人民法院或者专门人民法院管辖。</w:t>
      </w:r>
    </w:p>
    <w:p w14:paraId="238B11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人民法院应当充分发挥多元解纷机制的功能，按照自愿、合法原则，引导和鼓励当事人通过行政调解、行业调解、专业调解等非诉讼方式解决证券纠纷。</w:t>
      </w:r>
    </w:p>
    <w:p w14:paraId="291D72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当事人选择通过诉讼方式解决纠纷的，人民法院应当及时立案。案件审理过程中应当着重调解。</w:t>
      </w:r>
    </w:p>
    <w:p w14:paraId="69BEDC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第四条 人民法院审理证券纠纷代表人诉讼案件，应当依托信息化技术手段开展立案登记、诉讼文书送达、公告和通知、权利登记、执行款项发放等工作，便利当事人行使诉讼权利、履行诉讼义务，提高审判执行的公正性、高效性和透明度。</w:t>
      </w:r>
    </w:p>
    <w:p w14:paraId="5A242D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普通代表人诉讼</w:t>
      </w:r>
    </w:p>
    <w:p w14:paraId="38FC81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符合以下条件的，人民法院应当适用普通代表人诉讼程序进行审理：</w:t>
      </w:r>
    </w:p>
    <w:p w14:paraId="49EEFF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（一）原告一方人数十人以上，起诉符合民事诉讼法第一百一十九条规定和共同诉讼条件；</w:t>
      </w:r>
    </w:p>
    <w:p w14:paraId="70BA71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（二）起诉书中确定二至五名拟任代表人且符合本规定第十二条规定的代表人条件；</w:t>
      </w:r>
    </w:p>
    <w:p w14:paraId="3B9A8F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（三）原告提交有关行政处罚决定、刑事裁判文书、被告自认材料、证券交易所和国务院批准的其他全国性证券交易场所等给予的纪律处分或者采取的自律管理措施等证明证券侵权事实的初步证据。</w:t>
      </w:r>
    </w:p>
    <w:p w14:paraId="338AFD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不符合前款规定的，人民法院应当适用</w:t>
      </w:r>
      <w:proofErr w:type="gramStart"/>
      <w:r>
        <w:rPr>
          <w:rFonts w:ascii="宋体" w:eastAsia="宋体" w:hAnsi="宋体" w:cs="宋体" w:hint="eastAsia"/>
          <w:sz w:val="24"/>
        </w:rPr>
        <w:t>非代表</w:t>
      </w:r>
      <w:proofErr w:type="gramEnd"/>
      <w:r>
        <w:rPr>
          <w:rFonts w:ascii="宋体" w:eastAsia="宋体" w:hAnsi="宋体" w:cs="宋体" w:hint="eastAsia"/>
          <w:sz w:val="24"/>
        </w:rPr>
        <w:t>人诉讼程序进行审理。</w:t>
      </w:r>
    </w:p>
    <w:p w14:paraId="763EC9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对起诉时当事人人数尚未确定的代表人诉讼，在发出权利登记公告前，人民法院可以通过阅卷、调查、询问和听证等方式对被</w:t>
      </w:r>
      <w:proofErr w:type="gramStart"/>
      <w:r>
        <w:rPr>
          <w:rFonts w:ascii="宋体" w:eastAsia="宋体" w:hAnsi="宋体" w:cs="宋体" w:hint="eastAsia"/>
          <w:sz w:val="24"/>
        </w:rPr>
        <w:t>诉证券</w:t>
      </w:r>
      <w:proofErr w:type="gramEnd"/>
      <w:r>
        <w:rPr>
          <w:rFonts w:ascii="宋体" w:eastAsia="宋体" w:hAnsi="宋体" w:cs="宋体" w:hint="eastAsia"/>
          <w:sz w:val="24"/>
        </w:rPr>
        <w:t>侵权行为的性质、侵权事实等进行审查,并在受理后三十日内以裁定的方式确定具有相同诉讼请求的权利人范围。</w:t>
      </w:r>
    </w:p>
    <w:p w14:paraId="61BD42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当事人对权利人范围有异议的，可以自裁定送达之日起十日内向上一级人民法院申请复议，上一级人民法院应当在十五日内</w:t>
      </w:r>
      <w:proofErr w:type="gramStart"/>
      <w:r>
        <w:rPr>
          <w:rFonts w:ascii="宋体" w:eastAsia="宋体" w:hAnsi="宋体" w:cs="宋体" w:hint="eastAsia"/>
          <w:sz w:val="24"/>
        </w:rPr>
        <w:t>作出</w:t>
      </w:r>
      <w:proofErr w:type="gramEnd"/>
      <w:r>
        <w:rPr>
          <w:rFonts w:ascii="宋体" w:eastAsia="宋体" w:hAnsi="宋体" w:cs="宋体" w:hint="eastAsia"/>
          <w:sz w:val="24"/>
        </w:rPr>
        <w:t>复议裁定。</w:t>
      </w:r>
    </w:p>
    <w:p w14:paraId="349F88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人民法院应当在权利人范围确定后五日内发出权利登记公告，通知相关权利人在指定期间登记。权利登记公告应当包括以下内容：</w:t>
      </w:r>
    </w:p>
    <w:p w14:paraId="6732D8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（一）案件情况和诉讼请求；</w:t>
      </w:r>
    </w:p>
    <w:p w14:paraId="24A788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（二）被告的基本情况；</w:t>
      </w:r>
    </w:p>
    <w:p w14:paraId="4A3CC6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（三）权利人范围及登记期间；</w:t>
      </w:r>
    </w:p>
    <w:p w14:paraId="1890B9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（四）起诉书中确定的拟任代表人人选姓名或者名称、联系方式等基本信息；</w:t>
      </w:r>
    </w:p>
    <w:p w14:paraId="031E37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（五）自愿担任代表人的权利人，向人民法院提交书面申请和相关材料的期限；</w:t>
      </w:r>
    </w:p>
    <w:p w14:paraId="394E2A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（六）人民法院认为必要的其他事项。</w:t>
      </w:r>
    </w:p>
    <w:p w14:paraId="06B9AC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公告应当以醒目的方式提示，代表人的诉讼权限包括代表原告参加开庭审理，变更、放弃诉讼请求或者承认对方当事人的诉讼请求，与被告达成调解协议，提起或者放弃上诉，申请执行，委托诉讼代理人等，参加登记视为对代表人进行特别授权。</w:t>
      </w:r>
    </w:p>
    <w:p w14:paraId="1C1AD9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公告期间为三十日。</w:t>
      </w:r>
    </w:p>
    <w:p w14:paraId="4D1F95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权利人应在公告确定的登记期间向人民法院登记。未按期登记的，可在一审开庭前向人民法院申请补充登记，补充登记前已经完成的诉讼程序对其发生效力。</w:t>
      </w:r>
    </w:p>
    <w:p w14:paraId="4FC0D7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权利登记可以依托电子信息平台进行。权利人进行登记时，应当按照权利登记公告要求填写诉讼请求金额、收款方式、电子送达地址等事项，并提供身份证明文件、交易记录及投资损失等证据材料。</w:t>
      </w:r>
    </w:p>
    <w:p w14:paraId="340A6B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人民法院在登记期间届满后十日内对登记的权利人进行审核。不符合权利人范围的投资者，人民法院不确认其原告资格。</w:t>
      </w:r>
    </w:p>
    <w:p w14:paraId="0ECEBF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权利登记公告前已就同一证券违法事实提起诉讼且符合权利人范围的投资者，申请撤诉并加入代表人诉讼的，人民法院应当予以准许。</w:t>
      </w:r>
    </w:p>
    <w:p w14:paraId="2C9643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投资者申请撤诉并加入代表人诉讼的，列为代表人诉讼的原告，已经收取的诉讼费予以退还；不申请撤诉的，人民法院不准许其加入代表人诉讼，原诉讼继续进行。</w:t>
      </w:r>
    </w:p>
    <w:p w14:paraId="1BAB85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人民法院应当将审核通过的权利人列入代表人诉讼原告名单，并通知全体原告。</w:t>
      </w:r>
    </w:p>
    <w:p w14:paraId="1E1BCF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代表人应当符合以下条件：</w:t>
      </w:r>
    </w:p>
    <w:p w14:paraId="2BF975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（一）自愿担任代表人；</w:t>
      </w:r>
    </w:p>
    <w:p w14:paraId="1C1CE4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（二）拥有相当比例的利益诉求份额；</w:t>
      </w:r>
    </w:p>
    <w:p w14:paraId="1B7C7C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（三）本人或者其委托诉讼代理人具备一定的诉讼能力和专业经验；</w:t>
      </w:r>
    </w:p>
    <w:p w14:paraId="11C271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（四）能忠实、勤勉地履行维护全体原告利益的职责。</w:t>
      </w:r>
    </w:p>
    <w:p w14:paraId="6B8944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照法律、行政法规或者国务院证券监督管理机构的规定设立的投资者保护机构作为原告参与诉讼，或者接受投资者的委托指派工作人员或委派诉讼代理人参与案件审理活动的，人民法院可以指定该机构为代表人，或者在被代理的当事人中指定代表人。</w:t>
      </w:r>
    </w:p>
    <w:p w14:paraId="0C1A4A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申请担任代表人的原告存在与被告有关联关系等可能影响其履行职责情形的，人民法院对其申请不予准许。</w:t>
      </w:r>
    </w:p>
    <w:p w14:paraId="67AF8A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在起诉时当事人人数确定的代表人诉讼，应当在起诉前确定获得特别授权的代表人，并在起诉书中就代表人的推选情况</w:t>
      </w:r>
      <w:proofErr w:type="gramStart"/>
      <w:r>
        <w:rPr>
          <w:rFonts w:ascii="宋体" w:eastAsia="宋体" w:hAnsi="宋体" w:cs="宋体" w:hint="eastAsia"/>
          <w:sz w:val="24"/>
        </w:rPr>
        <w:t>作出</w:t>
      </w:r>
      <w:proofErr w:type="gramEnd"/>
      <w:r>
        <w:rPr>
          <w:rFonts w:ascii="宋体" w:eastAsia="宋体" w:hAnsi="宋体" w:cs="宋体" w:hint="eastAsia"/>
          <w:sz w:val="24"/>
        </w:rPr>
        <w:t>专项说明。</w:t>
      </w:r>
    </w:p>
    <w:p w14:paraId="54582E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在起诉时当事人人数尚未确定的代表人诉讼，应当在起诉书中就拟任代表人人选及条件</w:t>
      </w:r>
      <w:proofErr w:type="gramStart"/>
      <w:r>
        <w:rPr>
          <w:rFonts w:ascii="宋体" w:eastAsia="宋体" w:hAnsi="宋体" w:cs="宋体" w:hint="eastAsia"/>
          <w:sz w:val="24"/>
        </w:rPr>
        <w:t>作出</w:t>
      </w:r>
      <w:proofErr w:type="gramEnd"/>
      <w:r>
        <w:rPr>
          <w:rFonts w:ascii="宋体" w:eastAsia="宋体" w:hAnsi="宋体" w:cs="宋体" w:hint="eastAsia"/>
          <w:sz w:val="24"/>
        </w:rPr>
        <w:t>说明。在登记期间向人民法院登记的权利人对拟任代表人人选均没有提出异议，并且登记的权利人无人申请担任代表人的，人民法院可以认定由该二至五名人选作为代表人。</w:t>
      </w:r>
    </w:p>
    <w:p w14:paraId="55EDFF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在登记期间向人民法院登记的权利人对拟任代表人的人选提出异议，或者申请担任代表人的，人民法院应当自原告范围审核完毕后十日内在自愿担任代表人的原告中组织推选。</w:t>
      </w:r>
    </w:p>
    <w:p w14:paraId="266DD4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代表人的推选实行一人一票，每位代表人的得票数应当不少于参与投票人数的50 %。代表人人数为二至五名，按得票数排名确定，通过投票产生二名以上代表人的，为推选成功。首次推选不出的，人民法院应当即时组织原告在得票数前五名的候选人中进行二次推选。</w:t>
      </w:r>
    </w:p>
    <w:p w14:paraId="5E8646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依据前条规定推选不出代表人的，由人民法院指定。</w:t>
      </w:r>
    </w:p>
    <w:p w14:paraId="604E43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人民法院指定代表人的，应当将投票情况、诉讼能力、利益诉求份额等作为</w:t>
      </w:r>
      <w:proofErr w:type="gramStart"/>
      <w:r>
        <w:rPr>
          <w:rFonts w:ascii="宋体" w:eastAsia="宋体" w:hAnsi="宋体" w:cs="宋体" w:hint="eastAsia"/>
          <w:sz w:val="24"/>
        </w:rPr>
        <w:t>考量</w:t>
      </w:r>
      <w:proofErr w:type="gramEnd"/>
      <w:r>
        <w:rPr>
          <w:rFonts w:ascii="宋体" w:eastAsia="宋体" w:hAnsi="宋体" w:cs="宋体" w:hint="eastAsia"/>
          <w:sz w:val="24"/>
        </w:rPr>
        <w:t>因素，并征得被指定代表人的同意。</w:t>
      </w:r>
    </w:p>
    <w:p w14:paraId="3590C2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第十六条 代表人确定后，人民法院应当进行公告。</w:t>
      </w:r>
    </w:p>
    <w:p w14:paraId="0D8B15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原告可以自公告之日起十日内向人民法院申请撤回权利登记，并可以另行起诉。</w:t>
      </w:r>
    </w:p>
    <w:p w14:paraId="2BB3E9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代表人因丧失诉讼行为能力或者其他事由影响案件审理或者可能损害原告利益的，人民法院依原告申请，可以决定撤销代表人资格。代表人不足二人时，人民法院应当补充指定代表人。</w:t>
      </w:r>
    </w:p>
    <w:p w14:paraId="3005E9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代表人与被告达成调解协议草案的，应当向人民法院提交制作调解书的申请书及调解协议草案。申请书应当包括以下内容：</w:t>
      </w:r>
    </w:p>
    <w:p w14:paraId="6DDF62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（一）原告的诉讼请求、案件事实以及审理进展等基本情况；</w:t>
      </w:r>
    </w:p>
    <w:p w14:paraId="2DD3CD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（二）代表人和委托诉讼代理人参加诉讼活动的情况；</w:t>
      </w:r>
    </w:p>
    <w:p w14:paraId="3191D0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（三）调解协议草案对原告的有利因素和不利影响；</w:t>
      </w:r>
    </w:p>
    <w:p w14:paraId="41EF1E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（四）对诉讼费以及合理的公告费、通知费、律师费等费用的分摊及理由；</w:t>
      </w:r>
    </w:p>
    <w:p w14:paraId="0D790D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（五）需要特别说明的其他事项。</w:t>
      </w:r>
    </w:p>
    <w:p w14:paraId="7818C5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人民法院经初步审查，认为调解协议草案不存在违反法律、行政法规的强制性规定、违背公序良俗以及损害他人合法权益等情形的，应当自收到申请书后十日内向全体原告发出通知。通知应当包括以下内容：</w:t>
      </w:r>
    </w:p>
    <w:p w14:paraId="6966F9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（一）调解协议草案；</w:t>
      </w:r>
    </w:p>
    <w:p w14:paraId="2E70C2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（二）代表人请求人民法院制作调解书的申请书；</w:t>
      </w:r>
    </w:p>
    <w:p w14:paraId="36DAF7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（三）对调解协议草案发表意见的权利以及方式、程序和期限；</w:t>
      </w:r>
    </w:p>
    <w:p w14:paraId="094ABA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（四）原告有异议时，召开听证会的时间、地点及报名方式；</w:t>
      </w:r>
    </w:p>
    <w:p w14:paraId="12DD7E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（五）人民法院认为需要通知的其他事项。</w:t>
      </w:r>
    </w:p>
    <w:p w14:paraId="563C45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对调解协议草案有异议的原告，有权出席听证会或者以书面方式向人民法院提交异议的具体内容及理由。异议人未出席听证会的，人民法院应当在听证会上公开其异议的内容及理由，代表人及其委托诉讼代理人、被告应当进</w:t>
      </w:r>
      <w:r>
        <w:rPr>
          <w:rFonts w:ascii="宋体" w:eastAsia="宋体" w:hAnsi="宋体" w:cs="宋体" w:hint="eastAsia"/>
          <w:sz w:val="24"/>
        </w:rPr>
        <w:lastRenderedPageBreak/>
        <w:t>行解释。</w:t>
      </w:r>
    </w:p>
    <w:p w14:paraId="613F47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代表人和被告可以根据听证会的情况，对调解协议草案进行修改。人民法院应当将修改后的调解协议草案通知所有原告，并对修改的内容</w:t>
      </w:r>
      <w:proofErr w:type="gramStart"/>
      <w:r>
        <w:rPr>
          <w:rFonts w:ascii="宋体" w:eastAsia="宋体" w:hAnsi="宋体" w:cs="宋体" w:hint="eastAsia"/>
          <w:sz w:val="24"/>
        </w:rPr>
        <w:t>作出</w:t>
      </w:r>
      <w:proofErr w:type="gramEnd"/>
      <w:r>
        <w:rPr>
          <w:rFonts w:ascii="宋体" w:eastAsia="宋体" w:hAnsi="宋体" w:cs="宋体" w:hint="eastAsia"/>
          <w:sz w:val="24"/>
        </w:rPr>
        <w:t>重点提示。人民法院可以根据案件的具体情况，决定是否再次召开听证会。</w:t>
      </w:r>
    </w:p>
    <w:p w14:paraId="53AAA7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人民法院应当综合考虑当事人赞成和反对意见、本案所涉法律和事实情况、调解协议草案的合法性、适当性和可行性等因素，决定是否制作调解书。</w:t>
      </w:r>
    </w:p>
    <w:p w14:paraId="54F625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人民法院准备制作调解书的，应当通知提出异议的原告，告知其可以在收到通知后十日内向人民法院提交退出调解的申请。未在上述期间内提交退出申请的原告，视为接受。</w:t>
      </w:r>
    </w:p>
    <w:p w14:paraId="02198C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申请退出的期间届满后，人民法院应当在十日内制作调解书。调解书经代表人和被告签收后，对被代表的原告发生效力。人民法院对申请退出原告的诉讼继续审理，并依法</w:t>
      </w:r>
      <w:proofErr w:type="gramStart"/>
      <w:r>
        <w:rPr>
          <w:rFonts w:ascii="宋体" w:eastAsia="宋体" w:hAnsi="宋体" w:cs="宋体" w:hint="eastAsia"/>
          <w:sz w:val="24"/>
        </w:rPr>
        <w:t>作出</w:t>
      </w:r>
      <w:proofErr w:type="gramEnd"/>
      <w:r>
        <w:rPr>
          <w:rFonts w:ascii="宋体" w:eastAsia="宋体" w:hAnsi="宋体" w:cs="宋体" w:hint="eastAsia"/>
          <w:sz w:val="24"/>
        </w:rPr>
        <w:t>相应判决。</w:t>
      </w:r>
    </w:p>
    <w:p w14:paraId="292C11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代表人变更或者放弃诉讼请求、承认对方当事人诉讼请求、决定撤诉的，应当向人民法院提交书面申请，并通知全体原告。人民法院收到申请后，应当根据原告所提异议情况，依法裁定是否准许。</w:t>
      </w:r>
    </w:p>
    <w:p w14:paraId="1AAFE8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对于代表人依据前款规定提交的书面申请，原告自收到通知之日起十日内未提出异议的，人民法院可以裁定准许。</w:t>
      </w:r>
    </w:p>
    <w:p w14:paraId="6973A9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第二十三条 </w:t>
      </w:r>
      <w:proofErr w:type="gramStart"/>
      <w:r>
        <w:rPr>
          <w:rFonts w:ascii="宋体" w:eastAsia="宋体" w:hAnsi="宋体" w:cs="宋体" w:hint="eastAsia"/>
          <w:sz w:val="24"/>
        </w:rPr>
        <w:t>除代表</w:t>
      </w:r>
      <w:proofErr w:type="gramEnd"/>
      <w:r>
        <w:rPr>
          <w:rFonts w:ascii="宋体" w:eastAsia="宋体" w:hAnsi="宋体" w:cs="宋体" w:hint="eastAsia"/>
          <w:sz w:val="24"/>
        </w:rPr>
        <w:t>人诉讼案件外，人民法院还受理其他基于同一证券违法事实发生的</w:t>
      </w:r>
      <w:proofErr w:type="gramStart"/>
      <w:r>
        <w:rPr>
          <w:rFonts w:ascii="宋体" w:eastAsia="宋体" w:hAnsi="宋体" w:cs="宋体" w:hint="eastAsia"/>
          <w:sz w:val="24"/>
        </w:rPr>
        <w:t>非代表</w:t>
      </w:r>
      <w:proofErr w:type="gramEnd"/>
      <w:r>
        <w:rPr>
          <w:rFonts w:ascii="宋体" w:eastAsia="宋体" w:hAnsi="宋体" w:cs="宋体" w:hint="eastAsia"/>
          <w:sz w:val="24"/>
        </w:rPr>
        <w:t>人诉讼案件的，原则上代表人诉讼案件先行审理，</w:t>
      </w:r>
      <w:proofErr w:type="gramStart"/>
      <w:r>
        <w:rPr>
          <w:rFonts w:ascii="宋体" w:eastAsia="宋体" w:hAnsi="宋体" w:cs="宋体" w:hint="eastAsia"/>
          <w:sz w:val="24"/>
        </w:rPr>
        <w:t>非代表</w:t>
      </w:r>
      <w:proofErr w:type="gramEnd"/>
      <w:r>
        <w:rPr>
          <w:rFonts w:ascii="宋体" w:eastAsia="宋体" w:hAnsi="宋体" w:cs="宋体" w:hint="eastAsia"/>
          <w:sz w:val="24"/>
        </w:rPr>
        <w:t>人诉讼案件中止审理。但</w:t>
      </w:r>
      <w:proofErr w:type="gramStart"/>
      <w:r>
        <w:rPr>
          <w:rFonts w:ascii="宋体" w:eastAsia="宋体" w:hAnsi="宋体" w:cs="宋体" w:hint="eastAsia"/>
          <w:sz w:val="24"/>
        </w:rPr>
        <w:t>非代表</w:t>
      </w:r>
      <w:proofErr w:type="gramEnd"/>
      <w:r>
        <w:rPr>
          <w:rFonts w:ascii="宋体" w:eastAsia="宋体" w:hAnsi="宋体" w:cs="宋体" w:hint="eastAsia"/>
          <w:sz w:val="24"/>
        </w:rPr>
        <w:t>人诉讼案件具有典型性且先行审理有利于及时解决纠纷的除外。</w:t>
      </w:r>
    </w:p>
    <w:p w14:paraId="153039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人民法院可以依当事人的申请，委托双方认可或者随机抽取的专业机构对投资损失数额、证券侵权行为以外其他风险因素导致的损失扣除比例等进行核定。当事人虽未申请但案件审理确有需要的，人民法院可以通过随机抽取的方式委托专业机构对有关事项进行核定。</w:t>
      </w:r>
    </w:p>
    <w:p w14:paraId="7611B0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对专业机构的核定意见，人民法院应当组织双方当事人质证。</w:t>
      </w:r>
    </w:p>
    <w:p w14:paraId="1FB4E2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代表人请求败诉的被告赔偿合理的公告费、通知费、律师费等费用的，人民法院应当予以支持。</w:t>
      </w:r>
    </w:p>
    <w:p w14:paraId="796CA9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判决被告承担民事赔偿责任的，可以在判决主文中确定赔偿总额和损害赔偿计算方法，并将每个原告的姓名、应获赔偿金额等以列表方式作为民事判决书的附件。</w:t>
      </w:r>
    </w:p>
    <w:p w14:paraId="58B589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当事人对计算方法、赔偿金额等有异议的，可以向人民法院申请复核。确有错误的，人民法院裁定补正。</w:t>
      </w:r>
    </w:p>
    <w:p w14:paraId="475C09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一审判决送达后，代表人决定放弃上诉的，应当在上诉期间届满前通知全体原告。</w:t>
      </w:r>
    </w:p>
    <w:p w14:paraId="30DC5C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原告自收到通知之日起十五日内未上诉，被告在上诉期间内亦未上诉的，一审判决在全体原告与被告之间生效。</w:t>
      </w:r>
    </w:p>
    <w:p w14:paraId="10E6E2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原告自收到通知之日起十五日内上诉的，应当同时提交上诉状，人民法院收到上诉状后，对上诉的原告按上诉处理。被告在上诉期间内未上诉的，一审判决在未上诉的原告与被告之间生效，二审裁判的效力</w:t>
      </w:r>
      <w:proofErr w:type="gramStart"/>
      <w:r>
        <w:rPr>
          <w:rFonts w:ascii="宋体" w:eastAsia="宋体" w:hAnsi="宋体" w:cs="宋体" w:hint="eastAsia"/>
          <w:sz w:val="24"/>
        </w:rPr>
        <w:t>不及于未</w:t>
      </w:r>
      <w:proofErr w:type="gramEnd"/>
      <w:r>
        <w:rPr>
          <w:rFonts w:ascii="宋体" w:eastAsia="宋体" w:hAnsi="宋体" w:cs="宋体" w:hint="eastAsia"/>
          <w:sz w:val="24"/>
        </w:rPr>
        <w:t>上诉的原告。</w:t>
      </w:r>
    </w:p>
    <w:p w14:paraId="0479AA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一审判决送达后，代表人决定上诉的，应当在上诉期间届满前通知全体原告。</w:t>
      </w:r>
    </w:p>
    <w:p w14:paraId="4A8C75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原告自收到通知之日起十五日内决定放弃上诉的，应当通知一审法院。被告在上诉期间内未上诉的，一审判决在放弃上诉的原告与被告之间生效，二审裁判的效力</w:t>
      </w:r>
      <w:proofErr w:type="gramStart"/>
      <w:r>
        <w:rPr>
          <w:rFonts w:ascii="宋体" w:eastAsia="宋体" w:hAnsi="宋体" w:cs="宋体" w:hint="eastAsia"/>
          <w:sz w:val="24"/>
        </w:rPr>
        <w:t>不</w:t>
      </w:r>
      <w:proofErr w:type="gramEnd"/>
      <w:r>
        <w:rPr>
          <w:rFonts w:ascii="宋体" w:eastAsia="宋体" w:hAnsi="宋体" w:cs="宋体" w:hint="eastAsia"/>
          <w:sz w:val="24"/>
        </w:rPr>
        <w:t>及于放弃上诉的原告。</w:t>
      </w:r>
    </w:p>
    <w:p w14:paraId="0988C3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符合权利人范围但未参加登记的投资者提起诉讼，</w:t>
      </w:r>
      <w:proofErr w:type="gramStart"/>
      <w:r>
        <w:rPr>
          <w:rFonts w:ascii="宋体" w:eastAsia="宋体" w:hAnsi="宋体" w:cs="宋体" w:hint="eastAsia"/>
          <w:sz w:val="24"/>
        </w:rPr>
        <w:t>且主张</w:t>
      </w:r>
      <w:proofErr w:type="gramEnd"/>
      <w:r>
        <w:rPr>
          <w:rFonts w:ascii="宋体" w:eastAsia="宋体" w:hAnsi="宋体" w:cs="宋体" w:hint="eastAsia"/>
          <w:sz w:val="24"/>
        </w:rPr>
        <w:t>的事实和理由与代表人诉讼生效判决、裁定所认定的案件基本事实和法律</w:t>
      </w:r>
      <w:proofErr w:type="gramStart"/>
      <w:r>
        <w:rPr>
          <w:rFonts w:ascii="宋体" w:eastAsia="宋体" w:hAnsi="宋体" w:cs="宋体" w:hint="eastAsia"/>
          <w:sz w:val="24"/>
        </w:rPr>
        <w:t>适用相同</w:t>
      </w:r>
      <w:proofErr w:type="gramEnd"/>
      <w:r>
        <w:rPr>
          <w:rFonts w:ascii="宋体" w:eastAsia="宋体" w:hAnsi="宋体" w:cs="宋体" w:hint="eastAsia"/>
          <w:sz w:val="24"/>
        </w:rPr>
        <w:t>的，人民法院审查具体诉讼请求后,裁定适用已经生效的判决、裁定。适用已经生效裁判的裁定中应当明确被告赔偿的金额，裁定一经</w:t>
      </w:r>
      <w:proofErr w:type="gramStart"/>
      <w:r>
        <w:rPr>
          <w:rFonts w:ascii="宋体" w:eastAsia="宋体" w:hAnsi="宋体" w:cs="宋体" w:hint="eastAsia"/>
          <w:sz w:val="24"/>
        </w:rPr>
        <w:t>作出</w:t>
      </w:r>
      <w:proofErr w:type="gramEnd"/>
      <w:r>
        <w:rPr>
          <w:rFonts w:ascii="宋体" w:eastAsia="宋体" w:hAnsi="宋体" w:cs="宋体" w:hint="eastAsia"/>
          <w:sz w:val="24"/>
        </w:rPr>
        <w:t>立即生效。</w:t>
      </w:r>
    </w:p>
    <w:p w14:paraId="5EB674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代表人诉讼调解结案的，人民法院对后续涉及同一证券违法事实的案件可以引导当事人先行调解。</w:t>
      </w:r>
    </w:p>
    <w:p w14:paraId="18B118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第三十条 履行或者执行生效法律文书所得财产，人民法院在进行分配时，可以通知证券登记结算机构等协助执行义务人依法协助执行。</w:t>
      </w:r>
    </w:p>
    <w:p w14:paraId="5D0482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人民法院应当编制分配方案并通知全体原告，分配方案应当包括原告范围、债权总额、扣除项目及金额、分配的基准及方法、分配金额的受领期间等内容。</w:t>
      </w:r>
    </w:p>
    <w:p w14:paraId="10FDC0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原告对分配方案有异议的，可以依据民事诉讼法第二百二十五条的规定提出执行异议。</w:t>
      </w:r>
    </w:p>
    <w:p w14:paraId="71D4AC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特别代表人诉讼</w:t>
      </w:r>
    </w:p>
    <w:p w14:paraId="06F017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人民法院已经根据民事诉讼法第五十四条第一款、证券法第九十五条第二款的规定发布权利登记公告的，投资者保护机构在公告期间受五十名以上权利人的特别授权，可以作为代表人参加诉讼。先受理的人民法院不具有特别代表人诉讼管辖权的，应当将案件及时移送有管辖权的人民法院。</w:t>
      </w:r>
    </w:p>
    <w:p w14:paraId="43D38F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不同意加入特别代表人诉讼的权利人可以提交退出声明，原诉讼继续进行。</w:t>
      </w:r>
    </w:p>
    <w:p w14:paraId="262AAE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权利人范围确定后，人民法院应当发出权利登记公告。权利登记公告除本规定第七条的内容外，还应当包括投资者保护机构基本情况、对投资者保护机构的特别授权、投资者声明退出的权利及期间、未声明退出的法律后果等。</w:t>
      </w:r>
    </w:p>
    <w:p w14:paraId="4E87F0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投资者明确表示不愿意参加诉讼的，应当在公告期间届满后十五日内向人民法院声明退出。未声明退出的，视为同意参加该代表人诉讼。</w:t>
      </w:r>
    </w:p>
    <w:p w14:paraId="50265C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对于声明退出的投资者，人民法院不再将其登记为特别代表人诉讼的原告，该投资者可以另行起诉。</w:t>
      </w:r>
    </w:p>
    <w:p w14:paraId="6AABED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投资者保护机构依据公告确定的权利人范围向证券登记结算机构调取的权利人名单，人民法院应当予以登记，列入代表人诉讼原告名单，并通知全体原告。</w:t>
      </w:r>
    </w:p>
    <w:p w14:paraId="60D4E3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诉讼过程中由于声明退出等原因导致明示授权投资者的数量不足五十名的，不影响投资者保护机构的代表人资格。</w:t>
      </w:r>
    </w:p>
    <w:p w14:paraId="622CD1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针对同一代表人诉讼，原则上应当由一个投资者保护机构作为</w:t>
      </w:r>
      <w:r>
        <w:rPr>
          <w:rFonts w:ascii="宋体" w:eastAsia="宋体" w:hAnsi="宋体" w:cs="宋体" w:hint="eastAsia"/>
          <w:sz w:val="24"/>
        </w:rPr>
        <w:lastRenderedPageBreak/>
        <w:t>代表人参加诉讼。两个以上的投资者保护机构分别受五十名以上投资者委托，且均决定作为代表人参加诉讼的，应当协商处理；协商不成的，由人民法院指定其中一个作为代表人参加诉讼。</w:t>
      </w:r>
    </w:p>
    <w:p w14:paraId="6C6B49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投资者保护机构应当采取必要措施，保障被代表的投资者持续了解案件审理的进展情况，回应投资者的诉求。对投资者提出的意见和建议不予采纳的，应当对投资者做好解释工作。</w:t>
      </w:r>
    </w:p>
    <w:p w14:paraId="6AE2D9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特别代表人诉讼案件不预交案件受理费。败诉或者部分败诉的原告申请减交或者免交诉讼费的，人民法院应当依照《诉讼费用交纳办法》的规定，视原告的经济状况和案件的审理情况决定是否准许。</w:t>
      </w:r>
    </w:p>
    <w:p w14:paraId="1BB181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投资者保护机构作为代表人在诉讼中申请财产保全的，人民法院可以不要求提供担保。</w:t>
      </w:r>
    </w:p>
    <w:p w14:paraId="03C632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人民法院审理特别代表人诉讼案件，本部分没有规定的，适用普通代表人诉讼中关于起诉时当事人人数尚未确定的代表人诉讼的相关规定。</w:t>
      </w:r>
    </w:p>
    <w:p w14:paraId="65971F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附则</w:t>
      </w:r>
    </w:p>
    <w:p w14:paraId="719449EE"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第四十二条 本规定自2020年7月31日起施行。</w:t>
      </w:r>
    </w:p>
    <w:p w14:paraId="60E512F7"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12.《最高人民法院关于审理侵犯商业秘密民事案件适用法律若干问题的规定》</w:t>
      </w:r>
    </w:p>
    <w:p w14:paraId="4F156F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      文号：法释〔2020〕7号</w:t>
      </w:r>
    </w:p>
    <w:p w14:paraId="04750F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（2020年8月24日最高人民法院审判委员会第1810次会议通过，自2020年9月12日起施行）</w:t>
      </w:r>
    </w:p>
    <w:p w14:paraId="19D5FC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为正确审理侵犯商业秘密民事案件，根据《中华人民共和国反不正当竞争法》《中华人民共和国民事诉讼法》等有关法律规定，结合审判实际，制定本规定。</w:t>
      </w:r>
    </w:p>
    <w:p w14:paraId="413B68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与技术有关的结构、原料、组分、配方、材料、样品、样式、植物新品种繁殖材料、工艺、方法或其步骤、算法、数据、计算机程序及其有关文档等信息，人民法院可以认定构成反不正当竞争法第九条第四款所称的技术信息。</w:t>
      </w:r>
    </w:p>
    <w:p w14:paraId="1F17D4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与经营活动有关的创意、管理、销售、财务、计划、样本、招投标材料、客户信息、数据等信息，人民法院可以认定构成反不正当竞争法第九条第四款所称的经营信息。</w:t>
      </w:r>
    </w:p>
    <w:p w14:paraId="703554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前款所称的客户信息，包括客户的名称、地址、联系方式以及交易习惯、意向、内容等信息。</w:t>
      </w:r>
    </w:p>
    <w:p w14:paraId="48FED6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当事人仅以与特定客户保持长期稳定交易关系为由，主张该特定客户属于商业秘密的，人民法院不予支持。</w:t>
      </w:r>
    </w:p>
    <w:p w14:paraId="738361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客户基于对员工个人的信赖而与该员工所在单位进行交易，该员工离职后，能够证明客户自愿选择与该员工或者该员工所在的新单位进行交易的，人民法院应当认定该员工没有采用不正当手段获取权利人的商业秘密。</w:t>
      </w:r>
    </w:p>
    <w:p w14:paraId="124D80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权利人请求保护的信息在被诉侵权行为发生时不为所属领域的相关人员普遍知悉和容易获得的，人民法院应当认定为反不正当竞争法第九条第四款所称的不为公众所知悉。</w:t>
      </w:r>
    </w:p>
    <w:p w14:paraId="424676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具有下列情形之一的，人民法院可以认定有关信息为公众所知悉：</w:t>
      </w:r>
    </w:p>
    <w:p w14:paraId="242D9C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（一）该信息在所属领域属于一般常识或者行业惯例的；</w:t>
      </w:r>
    </w:p>
    <w:p w14:paraId="04DDEC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（二）该信息仅涉及产品的尺寸、结构、材料、部件的简单组合等内容，所属领域的相关人员通过观察上市产品即可直接获得的；</w:t>
      </w:r>
    </w:p>
    <w:p w14:paraId="50C137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（三）该信息已经在公开出版物或者其他媒体上公开披露的；</w:t>
      </w:r>
    </w:p>
    <w:p w14:paraId="1F6E84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（四）该信息已通过公开的报告会、展览等方式公开的；</w:t>
      </w:r>
    </w:p>
    <w:p w14:paraId="6DD283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（五）所属领域的相关人员从其他公开渠道可以获得该信息的。</w:t>
      </w:r>
    </w:p>
    <w:p w14:paraId="401DD3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将为公众所知悉的信息进行整理、改进、加工后形成的新信息，符合本规定第三条规定的，应当认定该新信息不为公众所知悉。</w:t>
      </w:r>
    </w:p>
    <w:p w14:paraId="5344F3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权利人为防止商业秘密泄露，在被诉侵权行为发生以前所采取的合理保密措施，人民法院应当认定为反不正当竞争法第九条第四款所称的相应保密措施。</w:t>
      </w:r>
    </w:p>
    <w:p w14:paraId="172D66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人民法院应当根据商业秘密及其载体的性质、商业秘密的商业价值、保密措施的可识别程度、保密措施与商业秘密的对应程度以及权利人的保密意愿等因素，认定权利人是否采取了相应保密措施。</w:t>
      </w:r>
    </w:p>
    <w:p w14:paraId="43D39D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具有下列情形之一，在正常情况下足以防止商业秘密泄露的，人民法院应当认定权利人采取了相应保密措施：</w:t>
      </w:r>
    </w:p>
    <w:p w14:paraId="283C99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（一）签订保密协议或者在合同中约定保密义务的；</w:t>
      </w:r>
    </w:p>
    <w:p w14:paraId="37CFCF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（二）通过章程、培训、规章制度、书面告知等方式，对能够接触、获取商业秘密的员工、前员工、供应商、客户、来访者等提出保密要求的；</w:t>
      </w:r>
    </w:p>
    <w:p w14:paraId="3A4890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（三）对涉密的厂房、车间等生产经营场所限制来访者或者进行区分管理的;</w:t>
      </w:r>
    </w:p>
    <w:p w14:paraId="0CEDB4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（四）以标记、分类、隔离、加密、封存、限制能够接触或者获取的人员范围等方式，对商业秘密及其载体进行区分和管理的；</w:t>
      </w:r>
    </w:p>
    <w:p w14:paraId="16265D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（五）对能够接触、获取商业秘密的计算机设备、电子设备、网络设备、存储设备、软件等，采取禁止或者限制使用、访问、存储、复制等措施的；</w:t>
      </w:r>
    </w:p>
    <w:p w14:paraId="58D307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（六）要求离职员工登记、返还、清除、销毁其接触或者获取的商业秘密及其载体，继续承担保密义务的；</w:t>
      </w:r>
    </w:p>
    <w:p w14:paraId="32D8A6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（七）采取其他合理保密措施的。</w:t>
      </w:r>
    </w:p>
    <w:p w14:paraId="3C8A5F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权利人请求保护的信息因不为公众所知悉而具有现实的或者潜在的商业价值的，人民法院经审查可以认定为反不正当竞争法第九条第四款所称的具有商业价值。</w:t>
      </w:r>
    </w:p>
    <w:p w14:paraId="236FF8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生产经营活动中形成的阶段性成果符合前款规定的，人民法院经审查可以认定该成果具有商业价值。</w:t>
      </w:r>
    </w:p>
    <w:p w14:paraId="19A621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被诉侵权人以违反法律规定或者公认的商业道德的方式获取权利人的商业秘密的，人民法院应当认定属于反不正当竞争法第九条第一款所称的以其他不正当手段获取权利人的商业秘密。</w:t>
      </w:r>
    </w:p>
    <w:p w14:paraId="1557B0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被诉侵权人在生产经营活动中直</w:t>
      </w:r>
      <w:proofErr w:type="gramStart"/>
      <w:r>
        <w:rPr>
          <w:rFonts w:ascii="宋体" w:eastAsia="宋体" w:hAnsi="宋体" w:cs="宋体" w:hint="eastAsia"/>
          <w:sz w:val="24"/>
        </w:rPr>
        <w:t>接使用</w:t>
      </w:r>
      <w:proofErr w:type="gramEnd"/>
      <w:r>
        <w:rPr>
          <w:rFonts w:ascii="宋体" w:eastAsia="宋体" w:hAnsi="宋体" w:cs="宋体" w:hint="eastAsia"/>
          <w:sz w:val="24"/>
        </w:rPr>
        <w:t>商业秘密，或者对商业秘密进行修改、改进后使用，或者根据商业秘密调整、优化、改进有关生产经营活动的，人民法院应当认定属于反不正当竞争法第九条所称的使用商业秘密。</w:t>
      </w:r>
    </w:p>
    <w:p w14:paraId="602C6C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当事人根据法律规定或者合同约定所承担的保密义务，人民法院应当认定属于反不正当竞争法第九条第一款所称的保密义务。</w:t>
      </w:r>
    </w:p>
    <w:p w14:paraId="235552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未在合同中约定保密义务，但根据诚信原则以及合同的性质、目的、缔约过程、交易习惯等，被诉侵权人知道或者应当知道其获取的信息属于权利人的商业秘密的，人民法院应当认定被诉侵权人对其获取的商业秘密承担保密义务。</w:t>
      </w:r>
    </w:p>
    <w:p w14:paraId="1B5653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法人、非法人组织的经营、管理人员以及具有劳动关系的其他人员，人民法院可以认定为反不正当竞争法第九条第三款所称的员工、前员工。</w:t>
      </w:r>
    </w:p>
    <w:p w14:paraId="59D889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人民法院认定员工、前员工是否有渠道或者机会获取权利人的商业秘密，可以考虑与其有关的下列因素：</w:t>
      </w:r>
    </w:p>
    <w:p w14:paraId="631EF0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（一）职务、职责、权限；</w:t>
      </w:r>
    </w:p>
    <w:p w14:paraId="34EFD2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（二）承担的本职工作或者单位分配的任务；</w:t>
      </w:r>
    </w:p>
    <w:p w14:paraId="6F59F3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（三）参与和商业秘密有关的生产经营活动的具体情形；</w:t>
      </w:r>
    </w:p>
    <w:p w14:paraId="68F05F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（四）是否保管、使用、存储、复制、控制或者以其他方式接触、获取商业</w:t>
      </w:r>
      <w:r>
        <w:rPr>
          <w:rFonts w:ascii="宋体" w:eastAsia="宋体" w:hAnsi="宋体" w:cs="宋体" w:hint="eastAsia"/>
          <w:sz w:val="24"/>
        </w:rPr>
        <w:lastRenderedPageBreak/>
        <w:t>秘密及其载体；</w:t>
      </w:r>
    </w:p>
    <w:p w14:paraId="68957A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（五）需要考虑的其他因素。</w:t>
      </w:r>
    </w:p>
    <w:p w14:paraId="49876E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被诉侵权信息与商业秘密不存在实质性区别的，人民法院可以认定被诉侵权信息与商业秘密构成反不正当竞争法第三十二条第二款所称的实质上相同。</w:t>
      </w:r>
    </w:p>
    <w:p w14:paraId="6BAFFD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人民法院认定是否构成前款所称的实质上相同，可以考虑下列因素：</w:t>
      </w:r>
    </w:p>
    <w:p w14:paraId="59A7D9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（一）被诉侵权信息与商业秘密的异同程度；</w:t>
      </w:r>
    </w:p>
    <w:p w14:paraId="175174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（二）所属领域的相关人员在被诉侵权行为发生时是否容易想到被诉侵权信息与商业秘密的区别；</w:t>
      </w:r>
    </w:p>
    <w:p w14:paraId="2B0064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（三）被诉侵权信息与商业秘密的用途、使用方式、目的、效果等是否具有实质性差异；</w:t>
      </w:r>
    </w:p>
    <w:p w14:paraId="4925BE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（四）公有领域中与商业秘密相关信息的情况；</w:t>
      </w:r>
    </w:p>
    <w:p w14:paraId="4805D5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（五）需要考虑的其他因素。</w:t>
      </w:r>
    </w:p>
    <w:p w14:paraId="22D69B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通过自行开发研制或者反向工程获得被诉侵权信息的，人民法院应当认定不属于反不正当竞争法第九条规定的侵犯商业秘密行为。</w:t>
      </w:r>
    </w:p>
    <w:p w14:paraId="1E0785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前款所称的反向工程，是指通过技术手段对从公开渠道取得的产品进行拆卸、测绘、分析等而获得该产品的有关技术信息。</w:t>
      </w:r>
    </w:p>
    <w:p w14:paraId="219C9D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被诉侵权人以不正当手段获取权利人的商业秘密后，又以反向工程为由主张未侵犯商业秘密的，人民法院不予支持。</w:t>
      </w:r>
    </w:p>
    <w:p w14:paraId="1065CC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被申请人试图或者已经以不正当手段获取、披露、使用或者允许他人使用权利人所主张的商业秘密，不采取行为保全措施会使判决难以执行或者造成当事人其他损害，或者将会使权利人的合法权益受到难以弥补的损害的，人民法院可以依法裁定采取行为保全措施。</w:t>
      </w:r>
    </w:p>
    <w:p w14:paraId="2C5894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前款规定的情形属于民事诉讼法第一百条、第一百零一条所称情况紧急的，人民法院应当在四十八小时内</w:t>
      </w:r>
      <w:proofErr w:type="gramStart"/>
      <w:r>
        <w:rPr>
          <w:rFonts w:ascii="宋体" w:eastAsia="宋体" w:hAnsi="宋体" w:cs="宋体" w:hint="eastAsia"/>
          <w:sz w:val="24"/>
        </w:rPr>
        <w:t>作出</w:t>
      </w:r>
      <w:proofErr w:type="gramEnd"/>
      <w:r>
        <w:rPr>
          <w:rFonts w:ascii="宋体" w:eastAsia="宋体" w:hAnsi="宋体" w:cs="宋体" w:hint="eastAsia"/>
          <w:sz w:val="24"/>
        </w:rPr>
        <w:t>裁定。</w:t>
      </w:r>
    </w:p>
    <w:p w14:paraId="5D3F2A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第十六条 经营者以外的其他自然人、法人和非法人组织侵犯商业秘密，权利人依据反不正当竞争法第十七条的规定主张侵权人应当承担的民事责任的，人民法院应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5B4A09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人民法院对于侵犯商业秘密行为判决停止侵害的民事责任时，停止侵害的时间一般应当持续到该商业秘密已为公众所知悉时为止。</w:t>
      </w:r>
    </w:p>
    <w:p w14:paraId="426BD3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依照前款规定判决停止侵害的时间明显不合理的，人民法院可以在依法保护权利人的商业秘密竞争优势的情况下，判决侵权人在一定期限或者范围内停止使用该商业秘密。</w:t>
      </w:r>
    </w:p>
    <w:p w14:paraId="3DABAE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权利人请求判决侵权人返还或者销毁商业秘密载体，清除其控制的商业秘密信息的，人民法院一般应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7E4EC5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因侵权行为导致商业秘密为公众所知悉的，人民法院依法确定赔偿数额时，可以考虑商业秘密的商业价值。</w:t>
      </w:r>
    </w:p>
    <w:p w14:paraId="2F0B7E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人民法院认定前款所称的商业价值，应当考虑研究开发成本、实施该项商业秘密的收益、可得利益、可保持竞争优势的时间等因素。</w:t>
      </w:r>
    </w:p>
    <w:p w14:paraId="670840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权利人请求参照商业秘密许可使用费确定因被侵权所受到的实际损失的，人民法院可以根据许可的性质、内容、实际履行情况以及侵权行为的性质、情节、后果等因素确定。</w:t>
      </w:r>
    </w:p>
    <w:p w14:paraId="42A596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人民法院依照反不正当竞争法第十七条第四款确定赔偿数额的，可以考虑商业秘密的性质、商业价值、研究开发成本、创新程度、能带来的竞争优势以及侵权人的主观过错、侵权行为的性质、情节、后果等因素。</w:t>
      </w:r>
    </w:p>
    <w:p w14:paraId="659D80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对于涉及当事人或者案外人的商业秘密的证据、材料，当事人或者案外人书面申请人民法院采取保密措施的，人民法院应当在保全、证据交换、质证、委托鉴定、询问、庭审等诉讼活动中采取必要的保密措施。</w:t>
      </w:r>
    </w:p>
    <w:p w14:paraId="665502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违反前款所称的保密措施的要求，擅自披露商业秘密或者在诉讼活动之外使用或者允许他人使用在诉讼中接触、获取的商业秘密的，应当依法承担民事责任。构成民事诉讼法第一百一十一条规定情形的，人民法院可以依法采取强制措施。</w:t>
      </w:r>
      <w:r>
        <w:rPr>
          <w:rFonts w:ascii="宋体" w:eastAsia="宋体" w:hAnsi="宋体" w:cs="宋体" w:hint="eastAsia"/>
          <w:sz w:val="24"/>
        </w:rPr>
        <w:lastRenderedPageBreak/>
        <w:t>构成犯罪的，依法追究刑事责任。</w:t>
      </w:r>
    </w:p>
    <w:p w14:paraId="663DBE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人民法院审理侵犯商业秘密民事案件时，对在侵犯商业秘密犯罪刑事诉讼程序中形成的证据，应当按照法定程序，全面、客观地审查。</w:t>
      </w:r>
    </w:p>
    <w:p w14:paraId="69CA39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由公安机关、检察机关或者人民法院保存的与被诉侵权行为具有关联性的证据，侵犯商业秘密民事案件的当事人及其诉讼代理人因客观原因不能自行收集，申请调查收集的，人民法院应当准许，但可能影响正在进行的刑事诉讼程序的除外。</w:t>
      </w:r>
    </w:p>
    <w:p w14:paraId="0E01B8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当事人主张依据生效刑事裁判认定的实际损失或者违法所得确定涉及同一侵犯商业秘密行为的民事案件赔偿数额的，人民法院应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730D89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权利人已经提供侵权人因侵权所获得的利益的初步证据，但与侵犯商业秘密行为相关的账簿、资料由侵权人掌握的，人民法院可以根据权利人的申请，责令侵权人提供该账簿、资料。侵权人无正当理由拒不提供或者</w:t>
      </w:r>
      <w:proofErr w:type="gramStart"/>
      <w:r>
        <w:rPr>
          <w:rFonts w:ascii="宋体" w:eastAsia="宋体" w:hAnsi="宋体" w:cs="宋体" w:hint="eastAsia"/>
          <w:sz w:val="24"/>
        </w:rPr>
        <w:t>不</w:t>
      </w:r>
      <w:proofErr w:type="gramEnd"/>
      <w:r>
        <w:rPr>
          <w:rFonts w:ascii="宋体" w:eastAsia="宋体" w:hAnsi="宋体" w:cs="宋体" w:hint="eastAsia"/>
          <w:sz w:val="24"/>
        </w:rPr>
        <w:t>如实提供的，人民法院可以根据权利人的主张和提供的证据认定侵权人因侵权所获得的利益。</w:t>
      </w:r>
    </w:p>
    <w:p w14:paraId="6952E5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当事人以涉及同一被诉侵犯商业秘密行为的刑事案件尚未审结为由，请求中止审理侵犯商业秘密民事案件，人民法院在听取当事人意见后认为必须以该刑事案件的审理结果为依据的，应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2C3B14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对于侵犯商业秘密行为，商业秘密独占使用许可合同的被许可人提起诉讼的，人民法院应当依法受理。</w:t>
      </w:r>
    </w:p>
    <w:p w14:paraId="71930F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排他使用许可合同的被许可人和权利人共同提起诉讼，或者在权利人不起诉的情况下自行提起诉讼的，人民法院应当依法受理。</w:t>
      </w:r>
    </w:p>
    <w:p w14:paraId="31CC1E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普通使用许可合同的被许可人和权利人共同提起诉讼，或者经权利人书面授权单独提起诉讼的，人民法院应当依法受理。</w:t>
      </w:r>
    </w:p>
    <w:p w14:paraId="7EC4CF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权利人应当在一审法庭辩论结束前明确所主张的商业秘密具体内容。仅能明确部分的，人民法院对该明确的部分进行审理。</w:t>
      </w:r>
    </w:p>
    <w:p w14:paraId="5F46C4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权利人在第二审程序中另行主张其在一审中未明确的商业秘密具体内容的，</w:t>
      </w:r>
      <w:r>
        <w:rPr>
          <w:rFonts w:ascii="宋体" w:eastAsia="宋体" w:hAnsi="宋体" w:cs="宋体" w:hint="eastAsia"/>
          <w:sz w:val="24"/>
        </w:rPr>
        <w:lastRenderedPageBreak/>
        <w:t>第二审人民法院可以根据当事人自愿的原则就与该商业秘密具体内容有关的诉讼请求进行调解；调解不成的，告知当事人另行起诉。双方当事人均同意由第二审人民法院一并审理的，第二审人民法院可以一并裁判。</w:t>
      </w:r>
    </w:p>
    <w:p w14:paraId="38F848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人民法院审理侵犯商业秘密民事案件，适用被诉侵权行为发生时的法律。被诉侵权行为在法律修改之前已经发生且持续到法律修改之后的，适用修改后的法律。</w:t>
      </w:r>
    </w:p>
    <w:p w14:paraId="27FF96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本规定自2020年9月12日起施行。最高人民法院以前发布的相关司法解释与本规定不一致的，以本规定为准。</w:t>
      </w:r>
    </w:p>
    <w:p w14:paraId="132A69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本规定施行后，人民法院正在审理的一审、二审案件适用本规定；施行前已经</w:t>
      </w:r>
      <w:proofErr w:type="gramStart"/>
      <w:r>
        <w:rPr>
          <w:rFonts w:ascii="宋体" w:eastAsia="宋体" w:hAnsi="宋体" w:cs="宋体" w:hint="eastAsia"/>
          <w:sz w:val="24"/>
        </w:rPr>
        <w:t>作出</w:t>
      </w:r>
      <w:proofErr w:type="gramEnd"/>
      <w:r>
        <w:rPr>
          <w:rFonts w:ascii="宋体" w:eastAsia="宋体" w:hAnsi="宋体" w:cs="宋体" w:hint="eastAsia"/>
          <w:sz w:val="24"/>
        </w:rPr>
        <w:t>生效裁判的案件，不适用本规定再审。</w:t>
      </w:r>
    </w:p>
    <w:p w14:paraId="5D194683"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2DB30A19"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13.《最高人民法院关于审理融资租赁合同纠纷案件适用法律问题的解释（2020修正）》</w:t>
      </w:r>
    </w:p>
    <w:p w14:paraId="48973A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       文号：法释〔2020〕17号</w:t>
      </w:r>
    </w:p>
    <w:p w14:paraId="6CA262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（2013年11月25日最高人民法院审判委员会第1597次会议通过，根据2020年12月23日最高人民法院审判委员会第1823次会议通过的</w:t>
      </w:r>
      <w:proofErr w:type="gramStart"/>
      <w:r>
        <w:rPr>
          <w:rFonts w:ascii="宋体" w:eastAsia="宋体" w:hAnsi="宋体" w:cs="宋体" w:hint="eastAsia"/>
          <w:sz w:val="24"/>
        </w:rPr>
        <w:t>《</w:t>
      </w:r>
      <w:proofErr w:type="gramEnd"/>
      <w:r>
        <w:rPr>
          <w:rFonts w:ascii="宋体" w:eastAsia="宋体" w:hAnsi="宋体" w:cs="宋体" w:hint="eastAsia"/>
          <w:sz w:val="24"/>
        </w:rPr>
        <w:t>最高人民法院关于修改〈最高人民法院关于在民事审判工作中适用《中华人民共和国工会法》若干问题的解释〉等二十七件民事类司法解释的决定</w:t>
      </w:r>
      <w:proofErr w:type="gramStart"/>
      <w:r>
        <w:rPr>
          <w:rFonts w:ascii="宋体" w:eastAsia="宋体" w:hAnsi="宋体" w:cs="宋体" w:hint="eastAsia"/>
          <w:sz w:val="24"/>
        </w:rPr>
        <w:t>》</w:t>
      </w:r>
      <w:proofErr w:type="gramEnd"/>
      <w:r>
        <w:rPr>
          <w:rFonts w:ascii="宋体" w:eastAsia="宋体" w:hAnsi="宋体" w:cs="宋体" w:hint="eastAsia"/>
          <w:sz w:val="24"/>
        </w:rPr>
        <w:t>修正）</w:t>
      </w:r>
    </w:p>
    <w:p w14:paraId="2CAC53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为正确审理融资租赁合同纠纷案件，根据《中华人民共和国民法典》《中华人民共和国民事诉讼法》等法律的规定，结合审判实践，制定本解释。</w:t>
      </w:r>
    </w:p>
    <w:p w14:paraId="69FEF0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一、融资租赁合同的认定</w:t>
      </w:r>
    </w:p>
    <w:p w14:paraId="7458CB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人民法院应当根据民法典第七百三十五条的规定，结合标的物的性质、价值、租金的构成以及当事人的合同权利和义务，对是否构成融资租赁法律关系</w:t>
      </w:r>
      <w:proofErr w:type="gramStart"/>
      <w:r>
        <w:rPr>
          <w:rFonts w:ascii="宋体" w:eastAsia="宋体" w:hAnsi="宋体" w:cs="宋体" w:hint="eastAsia"/>
          <w:sz w:val="24"/>
        </w:rPr>
        <w:t>作出</w:t>
      </w:r>
      <w:proofErr w:type="gramEnd"/>
      <w:r>
        <w:rPr>
          <w:rFonts w:ascii="宋体" w:eastAsia="宋体" w:hAnsi="宋体" w:cs="宋体" w:hint="eastAsia"/>
          <w:sz w:val="24"/>
        </w:rPr>
        <w:t>认定。</w:t>
      </w:r>
    </w:p>
    <w:p w14:paraId="0D7277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对名为融资租赁合同，但实际不构成融资租赁法律关系的，人民法院应按照其实际构成的法律关系处理。</w:t>
      </w:r>
    </w:p>
    <w:p w14:paraId="7B58C7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承租人将其自有物出卖给出租人，再通过融资租赁合同将租赁物从出租人处租回的，人民法院不应仅以承租人和出卖人系同一人为由认定不构成融资租赁法律关系。</w:t>
      </w:r>
    </w:p>
    <w:p w14:paraId="17FCA2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二、合同的履行和租赁物的公示</w:t>
      </w:r>
    </w:p>
    <w:p w14:paraId="51EC48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承租人拒绝受领租赁物，未及时通知出租人，或者无正当理由拒绝受领租赁物，造成出租人损失，出租人向承租人主张损害赔偿的，人民法院应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70A859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出租人转让其在融资租赁合同项下的部分或者全部权利，受让方以此为由请求解除或者变更融资租赁合同的，人民法院不予支持。</w:t>
      </w:r>
    </w:p>
    <w:p w14:paraId="058B2F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三、合同的解除</w:t>
      </w:r>
    </w:p>
    <w:p w14:paraId="47BB42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第五条 有下列情形之一，出租人请求解除融资租赁合同的，人民法院应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75F64F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（一）承租人未按照合同约定的期限和数额支付租金，符合合同约定的解除条件，经出租人催告后在合理期限内仍不支付的；</w:t>
      </w:r>
    </w:p>
    <w:p w14:paraId="0541C3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（二）合同对于欠付租金解除合同的情形没有明确约定，但承租人欠付租金达到两期以上，或者数额达到全部租金百分之十五以上，经出租人催告后在合理期限内仍不支付的；</w:t>
      </w:r>
    </w:p>
    <w:p w14:paraId="46F187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（三）承租人违反合同约定，致使合同目的不能实现的其他情形。</w:t>
      </w:r>
    </w:p>
    <w:p w14:paraId="3AEFDC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因出租人的原因致使承租人无法占有、使用租赁物，承租人请求解除融资租赁合同的，人民法院应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1EFC71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当事人在一审诉讼中仅请求解除融资租赁合同，未对租赁物的归属及损失赔偿提出主张的，人民法院可以向当事人进行释明。</w:t>
      </w:r>
    </w:p>
    <w:p w14:paraId="559390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四、违约责任</w:t>
      </w:r>
    </w:p>
    <w:p w14:paraId="190A57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租赁物不符合融资租赁合同的约定且出租人实施了下列行为之一，承租人依照民法典第七百四十四条、第七百四十七条的规定，要求出租人承担相应责任的，人民法院应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3CC42C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（一）出租人在承租人选择出卖人、租赁物时，对租赁物的选定起决定作用的；</w:t>
      </w:r>
    </w:p>
    <w:p w14:paraId="4CEF94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（二）出租人干预或者要求承租人按照出租人意愿选择出卖人或者租赁物的；</w:t>
      </w:r>
    </w:p>
    <w:p w14:paraId="1E15E9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（三）出租人擅自变更承租人已经选定的出卖人或者租赁物的。</w:t>
      </w:r>
    </w:p>
    <w:p w14:paraId="49A721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承租人主张其系依赖出租人的技能确定租赁物或者出租人干预选择租赁物的，对上述事实承担举证责任。</w:t>
      </w:r>
    </w:p>
    <w:p w14:paraId="2BBF0C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承租人逾期履行支付租金义务或者迟延履行其他付款义务，出租人按照融资租赁合同的约定要求承租人支付逾期利息、相应违约金的，人民法院应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5B614B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第十条 出租人既请求承租人支付合同约定的全部未付租金又请求解除融资租赁合同的，人民法院应告知其依照民法典第七百五十二条的规定</w:t>
      </w:r>
      <w:proofErr w:type="gramStart"/>
      <w:r>
        <w:rPr>
          <w:rFonts w:ascii="宋体" w:eastAsia="宋体" w:hAnsi="宋体" w:cs="宋体" w:hint="eastAsia"/>
          <w:sz w:val="24"/>
        </w:rPr>
        <w:t>作出</w:t>
      </w:r>
      <w:proofErr w:type="gramEnd"/>
      <w:r>
        <w:rPr>
          <w:rFonts w:ascii="宋体" w:eastAsia="宋体" w:hAnsi="宋体" w:cs="宋体" w:hint="eastAsia"/>
          <w:sz w:val="24"/>
        </w:rPr>
        <w:t>选择。</w:t>
      </w:r>
    </w:p>
    <w:p w14:paraId="3E9688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出租人请求承租人支付合同约定的全部未付租金，人民法院判决后承租人未予履行，出租人再行起诉请求解除融资租赁合同、收回租赁物的，人民法院应予受理。</w:t>
      </w:r>
    </w:p>
    <w:p w14:paraId="300FFC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出租人依照本解释第五条的规定请求解除融资租赁合同，同时请求收回租赁物并赔偿损失的，人民法院应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7055FB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前款规定的损失赔偿范围为承租人全部未付租金及其他费用与收回租赁物价值的差额。合同约定租赁期间届满后租赁物归出租人所有的，损失赔偿范围还应包括融资租赁合同到期后租赁物的残值。</w:t>
      </w:r>
    </w:p>
    <w:p w14:paraId="2DA646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诉讼期间承租人与出租人对租赁物的价值有争议的，人民法院可以按照融资租赁合同的约定确定租赁物价值；融资租赁合同未约定或者约定不明的，可以参照融资租赁合同约定的租赁物折旧以及合同到期后租赁物的残值确定租赁物价值。</w:t>
      </w:r>
    </w:p>
    <w:p w14:paraId="5EF3AC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承租人或者出租人认为依前款确定的价值严重偏离租赁</w:t>
      </w:r>
      <w:proofErr w:type="gramStart"/>
      <w:r>
        <w:rPr>
          <w:rFonts w:ascii="宋体" w:eastAsia="宋体" w:hAnsi="宋体" w:cs="宋体" w:hint="eastAsia"/>
          <w:sz w:val="24"/>
        </w:rPr>
        <w:t>物实际</w:t>
      </w:r>
      <w:proofErr w:type="gramEnd"/>
      <w:r>
        <w:rPr>
          <w:rFonts w:ascii="宋体" w:eastAsia="宋体" w:hAnsi="宋体" w:cs="宋体" w:hint="eastAsia"/>
          <w:sz w:val="24"/>
        </w:rPr>
        <w:t>价值的，可以请求人民法院委托有资质的机构评估或者拍卖确定。</w:t>
      </w:r>
    </w:p>
    <w:p w14:paraId="453FCC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五、其他规定</w:t>
      </w:r>
    </w:p>
    <w:p w14:paraId="3B8721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出卖人与买受人因买卖合同发生纠纷，或者出租人与承租人因融资租赁合同发生纠纷，当事人仅对其中一个合同关系提起诉讼，人民法院经审查后认为另一合同关系的当事人与案件处理结果有法律上的利害关系的，可以通知其作为第三人参加诉讼。</w:t>
      </w:r>
    </w:p>
    <w:p w14:paraId="4A2F1D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承租人与租赁物的实际使用人不一致，融资租赁合同当事人未对租赁物的实际使用人提起诉讼，人民法院经审查后认为租赁物的实际使用人与案件处理结果有法律上的利害关系的，可以通知其作为第三人参加诉讼。</w:t>
      </w:r>
    </w:p>
    <w:p w14:paraId="0C8511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承租人基于买卖合同和融资租赁合同直接向出卖人主张受领租赁物、索赔等买卖合同权利的，人民法院应通知出租人作为第三人参加诉讼。</w:t>
      </w:r>
    </w:p>
    <w:p w14:paraId="67FC80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第十四条 当事人因融资租赁合同租金欠付争议向人民法院请求保护其权利的诉讼时效期 间为三年，自租赁期限届满之日起计算。</w:t>
      </w:r>
    </w:p>
    <w:p w14:paraId="5CCAB5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本</w:t>
      </w:r>
      <w:proofErr w:type="gramStart"/>
      <w:r>
        <w:rPr>
          <w:rFonts w:ascii="宋体" w:eastAsia="宋体" w:hAnsi="宋体" w:cs="宋体" w:hint="eastAsia"/>
          <w:sz w:val="24"/>
        </w:rPr>
        <w:t>解释自</w:t>
      </w:r>
      <w:proofErr w:type="gramEnd"/>
      <w:r>
        <w:rPr>
          <w:rFonts w:ascii="宋体" w:eastAsia="宋体" w:hAnsi="宋体" w:cs="宋体" w:hint="eastAsia"/>
          <w:sz w:val="24"/>
        </w:rPr>
        <w:t>2014年3月1日起施行。《最高人民法院关于审理融资租赁合同纠纷案件若干问题的规定》（法发〔1996〕19号）同时废止。</w:t>
      </w:r>
    </w:p>
    <w:p w14:paraId="679313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本解释施行后尚未终审的融资租赁合同纠纷案件，适用本解释；本解释施行前已经终审，当事人申请再审或者按照审判监督程序决定再审的，不适用本解释。</w:t>
      </w:r>
    </w:p>
    <w:p w14:paraId="106663D0"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430FCA20"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14.《最高人民法院关于审理独立保函纠纷案件若干问题的规定（2020修正》</w:t>
      </w:r>
    </w:p>
    <w:p w14:paraId="4FCA03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w:t>
      </w:r>
      <w:r>
        <w:rPr>
          <w:rFonts w:ascii="宋体" w:eastAsia="宋体" w:hAnsi="宋体" w:cs="宋体" w:hint="eastAsia"/>
          <w:sz w:val="24"/>
        </w:rPr>
        <w:tab/>
      </w:r>
    </w:p>
    <w:p w14:paraId="140338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文号：法释〔2020〕18号</w:t>
      </w:r>
      <w:r>
        <w:rPr>
          <w:rFonts w:ascii="宋体" w:eastAsia="宋体" w:hAnsi="宋体" w:cs="宋体" w:hint="eastAsia"/>
          <w:sz w:val="24"/>
        </w:rPr>
        <w:tab/>
      </w:r>
    </w:p>
    <w:p w14:paraId="5A8C69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2016年7月11日最高人民法院审判委员会第1688次会议通过，根据2020年12月23日最高人民法院审判委员会第1823次会议通过的《最高人民法院关于修改〈最高人民法院关于破产企业国有划拨土地使用权应否列入破产财产等问题的批复〉等二十九件商事类司法解释的决定》修正）</w:t>
      </w:r>
    </w:p>
    <w:p w14:paraId="57BA4F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正确审理独立保函纠纷案件，切实维护当事人的合法权益，服务和保障“一带一路”建设，促进对外开放，根据《中华人民共和国民法典》《中华人民共和国涉外民事关系法律适用法》《中华人民共和国民事诉讼法》等法律，结合审判实际，制定本规定。</w:t>
      </w:r>
    </w:p>
    <w:p w14:paraId="217CE6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本规定所称的独立保函，是指银行或非银行金融机构作为开立人，以书面形式向受益人出具的，同意在受益人请求付款并提交符合保函要求的单据时，向其支付特定款项或在保函最高金额内付款的承诺。</w:t>
      </w:r>
    </w:p>
    <w:p w14:paraId="4F95B6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前款所称的单据，是指独立保函载明的受益人应提交的付款请求书、违约声明、第三方签发的文件、法院判决、仲裁裁决、汇票、发票等表明发生付款到期事件的书面文件。</w:t>
      </w:r>
    </w:p>
    <w:p w14:paraId="3D8D6B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独立保函可以依保函申请人的申请而开立，也</w:t>
      </w:r>
      <w:proofErr w:type="gramStart"/>
      <w:r>
        <w:rPr>
          <w:rFonts w:ascii="宋体" w:eastAsia="宋体" w:hAnsi="宋体" w:cs="宋体" w:hint="eastAsia"/>
          <w:sz w:val="24"/>
        </w:rPr>
        <w:t>可以依另一</w:t>
      </w:r>
      <w:proofErr w:type="gramEnd"/>
      <w:r>
        <w:rPr>
          <w:rFonts w:ascii="宋体" w:eastAsia="宋体" w:hAnsi="宋体" w:cs="宋体" w:hint="eastAsia"/>
          <w:sz w:val="24"/>
        </w:rPr>
        <w:t>金融机构的指示而开立。开立人依指示开立独立保函的，可以要求指示人向其开立用以保障追偿权的独立保函。</w:t>
      </w:r>
    </w:p>
    <w:p w14:paraId="756016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本规定所称的独立保函纠纷，是指在独立保函的开立、撤销、修改、转让、付款、追偿等环节产生的纠纷。</w:t>
      </w:r>
    </w:p>
    <w:p w14:paraId="0259C7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保函具有下列情形之一，当事人主张保函性质为独立保函的，人民法院应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持，但保函未载明据以付款的单据和最高金额的除外：</w:t>
      </w:r>
    </w:p>
    <w:p w14:paraId="49594B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（一）保函载明见索即付；</w:t>
      </w:r>
    </w:p>
    <w:p w14:paraId="01A07F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（二）保函载明适用国际商会《见索即付保函统一规则》等独立保函交易示</w:t>
      </w:r>
      <w:r>
        <w:rPr>
          <w:rFonts w:ascii="宋体" w:eastAsia="宋体" w:hAnsi="宋体" w:cs="宋体" w:hint="eastAsia"/>
          <w:sz w:val="24"/>
        </w:rPr>
        <w:lastRenderedPageBreak/>
        <w:t>范规则；</w:t>
      </w:r>
    </w:p>
    <w:p w14:paraId="053D8E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（三）根据保函文本内容，开立人的付款义务独立于基础交易关系及保函申请法律关系，其仅承担相符交单的付款责任。</w:t>
      </w:r>
    </w:p>
    <w:p w14:paraId="2585AC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当事人以独立保函记载了对应的基础交易为由，主张该保函性质为一般保证或连带保证的，人民法院不予支持。</w:t>
      </w:r>
    </w:p>
    <w:p w14:paraId="142531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当事人主张独立保函适用民法典关于一般保证或连带保证规定的，人民法院不予支持。</w:t>
      </w:r>
    </w:p>
    <w:p w14:paraId="71EB31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独立保函的开立时间为开立人发出独立保函的时间。</w:t>
      </w:r>
    </w:p>
    <w:p w14:paraId="66D7B9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独立保函</w:t>
      </w:r>
      <w:proofErr w:type="gramStart"/>
      <w:r>
        <w:rPr>
          <w:rFonts w:ascii="宋体" w:eastAsia="宋体" w:hAnsi="宋体" w:cs="宋体" w:hint="eastAsia"/>
          <w:sz w:val="24"/>
        </w:rPr>
        <w:t>一经开立即</w:t>
      </w:r>
      <w:proofErr w:type="gramEnd"/>
      <w:r>
        <w:rPr>
          <w:rFonts w:ascii="宋体" w:eastAsia="宋体" w:hAnsi="宋体" w:cs="宋体" w:hint="eastAsia"/>
          <w:sz w:val="24"/>
        </w:rPr>
        <w:t>生效，但独立保函载明生效日期或事件的除外。</w:t>
      </w:r>
    </w:p>
    <w:p w14:paraId="7CF2A2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独立保函未载明可撤销，当事人主张独立保函开立后不可撤销的，人民法院应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035409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独立保函载明适用《见索即付保函统一规则》等独立保函交易示范规则，或开立人和受益人在一审法庭辩论终结前一致援引的，人民法院应当认定交易示范规则的内容构成独立保函条款的组成部分。</w:t>
      </w:r>
    </w:p>
    <w:p w14:paraId="49F364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不具有前款情形，当事人主张独立保函适用相关交易示范规则的，人民法院不予支持。</w:t>
      </w:r>
    </w:p>
    <w:p w14:paraId="1965EE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受益人提交的单据与独立保函条款之间、单据与单据之间表面相符，受益人请求开立人依据独立保函承担付款责任的，人民法院应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76848D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开立人以基础交易关系或独立保函申请关系对付款义务提出抗辩的，人民法院不予支持，但有本规定第十二条情形的除外。</w:t>
      </w:r>
    </w:p>
    <w:p w14:paraId="56445D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人民法院在认定是否构成表面相符时，应当根据独立保函载明的审单标准进行审查；独立保函未载明的，可以参照适用国际商会确定的相关审单标准。</w:t>
      </w:r>
    </w:p>
    <w:p w14:paraId="17CCE3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单据与独立保函条款之间、单据与单据之间表面上不完全一致，但并不导致相互之间产生歧义的，人民法院应当认定构成表面相符。</w:t>
      </w:r>
    </w:p>
    <w:p w14:paraId="2A4120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第八条 开立人有独立审查单据的权利与义务，有权自行决定单据与独立保函条款之间、单据与单据之间是否表面相符，并自行决定接受或拒绝接受不符点。</w:t>
      </w:r>
    </w:p>
    <w:p w14:paraId="1F7D88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开立人已向受益人明确表示接受不符点，受益人请求开立人承担付款责任的，人民法院应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2DEED6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开立人拒绝接受不符点，受益人以保函申请人已接受不符点为由请求开立人承担付款责任的，人民法院不予支持。</w:t>
      </w:r>
    </w:p>
    <w:p w14:paraId="3EA553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开立人依据独立保函付款后向保函申请人追偿的，人民法院应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持，但受益人提交的单据存在不符点的除外。</w:t>
      </w:r>
    </w:p>
    <w:p w14:paraId="678682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独立保函未同时载明可转让和据以确定新受益人的单据，开立人主张受益人付款请求权的转让对其不发生效力的，人民法院应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持。独立保函对受益人付款请求权的转让有特别约定的，从其约定。</w:t>
      </w:r>
    </w:p>
    <w:p w14:paraId="2E5ADC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独立保函具有下列情形之一，当事人主张独立保函权利义务终止的，人民法院应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6ED0B3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（一）独立保函载明的到期日或到期事件届至，受益人未提交符合独立保函要求的单据；</w:t>
      </w:r>
    </w:p>
    <w:p w14:paraId="577DBA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（二）独立保函项下的应付款项已经全部支付；</w:t>
      </w:r>
    </w:p>
    <w:p w14:paraId="0D6682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（三）独立保函的金额已减额至零；</w:t>
      </w:r>
    </w:p>
    <w:p w14:paraId="309BEA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（四）开立人收到受益人出具的免除独立保函项下付款义务的文件；</w:t>
      </w:r>
    </w:p>
    <w:p w14:paraId="6888FC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（五）法律规定或者当事人约定终止的其他情形。</w:t>
      </w:r>
    </w:p>
    <w:p w14:paraId="6A4F4C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独立保函具有前款权利义务终止的情形，受益人以其持有独立保函文本为由主张享有付款请求权的，人民法院不予支持。</w:t>
      </w:r>
    </w:p>
    <w:p w14:paraId="7F2F14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具有下列情形之一的，人民法院应当认定构成独立保函欺诈：</w:t>
      </w:r>
    </w:p>
    <w:p w14:paraId="4C267D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（一）受益人与保函申请人或其他人串通，虚构基础交易的；</w:t>
      </w:r>
    </w:p>
    <w:p w14:paraId="7B9879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（二）受益人提交的第三方单据系伪造或内容虚假的；</w:t>
      </w:r>
    </w:p>
    <w:p w14:paraId="237DB1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（三）法院判决或仲裁裁决认定基础交易债务人没有付款或赔偿责任的；</w:t>
      </w:r>
    </w:p>
    <w:p w14:paraId="28117F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（四）受益人确认基础交易债务已得到完全履行或者确认独立保函载明的付款到期事件并未发生的；</w:t>
      </w:r>
    </w:p>
    <w:p w14:paraId="4260FF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（五）受益人明知其没有付款请求权仍滥用该权利的其他情形。</w:t>
      </w:r>
    </w:p>
    <w:p w14:paraId="1E2DB0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独立保函的申请人、开立人或指示人发现有本规定第十二条情形的，可以在提起诉讼或申请仲裁前，向开立人住所地或其他对独立保函欺诈纠纷案件具有管辖权的人民法院申请中止支付独立保函项下的款项，也可以在诉讼或仲裁过程中提出申请。</w:t>
      </w:r>
    </w:p>
    <w:p w14:paraId="59C93A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人民法院裁定中止支付独立保函项下的款项，必须同时具备下列条件：</w:t>
      </w:r>
    </w:p>
    <w:p w14:paraId="17E07E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（一）止付申请人提交的证据材料证明本规定第十二条情形的存在具有高度可能性；</w:t>
      </w:r>
    </w:p>
    <w:p w14:paraId="1A59DE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（二）情况紧急，</w:t>
      </w:r>
      <w:proofErr w:type="gramStart"/>
      <w:r>
        <w:rPr>
          <w:rFonts w:ascii="宋体" w:eastAsia="宋体" w:hAnsi="宋体" w:cs="宋体" w:hint="eastAsia"/>
          <w:sz w:val="24"/>
        </w:rPr>
        <w:t>不</w:t>
      </w:r>
      <w:proofErr w:type="gramEnd"/>
      <w:r>
        <w:rPr>
          <w:rFonts w:ascii="宋体" w:eastAsia="宋体" w:hAnsi="宋体" w:cs="宋体" w:hint="eastAsia"/>
          <w:sz w:val="24"/>
        </w:rPr>
        <w:t>立即采取止付措施，将给止付申请人的合法权益造成难以弥补的损害；</w:t>
      </w:r>
    </w:p>
    <w:p w14:paraId="04AE84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（三）止付申请人提供了足以弥补被申请人因止付可能遭受损失的担保。</w:t>
      </w:r>
    </w:p>
    <w:p w14:paraId="362695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止付申请人以受益人在基础交易中违约为由请求止付的，人民法院不予支持。</w:t>
      </w:r>
    </w:p>
    <w:p w14:paraId="014270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开立人在依指示开立的独立保函项下已经善意付款的，对保障该开立人追偿权的独立保函，人民法院不得裁定止付。</w:t>
      </w:r>
    </w:p>
    <w:p w14:paraId="6CD246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因止付申请错误造成损失，当事人请求止付申请人赔偿的，人民法院应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59DBB5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人民法院受理止付申请后，应当在四十八小时内</w:t>
      </w:r>
      <w:proofErr w:type="gramStart"/>
      <w:r>
        <w:rPr>
          <w:rFonts w:ascii="宋体" w:eastAsia="宋体" w:hAnsi="宋体" w:cs="宋体" w:hint="eastAsia"/>
          <w:sz w:val="24"/>
        </w:rPr>
        <w:t>作出</w:t>
      </w:r>
      <w:proofErr w:type="gramEnd"/>
      <w:r>
        <w:rPr>
          <w:rFonts w:ascii="宋体" w:eastAsia="宋体" w:hAnsi="宋体" w:cs="宋体" w:hint="eastAsia"/>
          <w:sz w:val="24"/>
        </w:rPr>
        <w:t>书面裁定。裁定应当列明申请人、被申请人和第三人，并包括初步查明的事实和是否准许止付申请的理由。</w:t>
      </w:r>
    </w:p>
    <w:p w14:paraId="5CE0CD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裁定中止支付的，应当立即执行。</w:t>
      </w:r>
    </w:p>
    <w:p w14:paraId="3731C8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止付申请人在止付裁定</w:t>
      </w:r>
      <w:proofErr w:type="gramStart"/>
      <w:r>
        <w:rPr>
          <w:rFonts w:ascii="宋体" w:eastAsia="宋体" w:hAnsi="宋体" w:cs="宋体" w:hint="eastAsia"/>
          <w:sz w:val="24"/>
        </w:rPr>
        <w:t>作出</w:t>
      </w:r>
      <w:proofErr w:type="gramEnd"/>
      <w:r>
        <w:rPr>
          <w:rFonts w:ascii="宋体" w:eastAsia="宋体" w:hAnsi="宋体" w:cs="宋体" w:hint="eastAsia"/>
          <w:sz w:val="24"/>
        </w:rPr>
        <w:t>后三十日内未依法提起独立保函欺诈纠纷诉讼</w:t>
      </w:r>
      <w:r>
        <w:rPr>
          <w:rFonts w:ascii="宋体" w:eastAsia="宋体" w:hAnsi="宋体" w:cs="宋体" w:hint="eastAsia"/>
          <w:sz w:val="24"/>
        </w:rPr>
        <w:lastRenderedPageBreak/>
        <w:t>或申请仲裁的，人民法院应当解除止付裁定。</w:t>
      </w:r>
    </w:p>
    <w:p w14:paraId="0BD2F3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当事人对人民法院就止付申请</w:t>
      </w:r>
      <w:proofErr w:type="gramStart"/>
      <w:r>
        <w:rPr>
          <w:rFonts w:ascii="宋体" w:eastAsia="宋体" w:hAnsi="宋体" w:cs="宋体" w:hint="eastAsia"/>
          <w:sz w:val="24"/>
        </w:rPr>
        <w:t>作出</w:t>
      </w:r>
      <w:proofErr w:type="gramEnd"/>
      <w:r>
        <w:rPr>
          <w:rFonts w:ascii="宋体" w:eastAsia="宋体" w:hAnsi="宋体" w:cs="宋体" w:hint="eastAsia"/>
          <w:sz w:val="24"/>
        </w:rPr>
        <w:t>的裁定有异议的，可以在裁定书送达之日起十日内向</w:t>
      </w:r>
      <w:proofErr w:type="gramStart"/>
      <w:r>
        <w:rPr>
          <w:rFonts w:ascii="宋体" w:eastAsia="宋体" w:hAnsi="宋体" w:cs="宋体" w:hint="eastAsia"/>
          <w:sz w:val="24"/>
        </w:rPr>
        <w:t>作出</w:t>
      </w:r>
      <w:proofErr w:type="gramEnd"/>
      <w:r>
        <w:rPr>
          <w:rFonts w:ascii="宋体" w:eastAsia="宋体" w:hAnsi="宋体" w:cs="宋体" w:hint="eastAsia"/>
          <w:sz w:val="24"/>
        </w:rPr>
        <w:t>裁定的人民法院申请复议。复议期间不停止裁定的执行。</w:t>
      </w:r>
    </w:p>
    <w:p w14:paraId="36CBE2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人民法院应当在收到复议申请后十日内审查，并询问当事人。</w:t>
      </w:r>
    </w:p>
    <w:p w14:paraId="46CF78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人民法院审理独立保函欺诈纠纷案件或处理止付申请，可以就当事人主张的本规定第十二条的具体情形，审查认定基础交易的相关事实。</w:t>
      </w:r>
    </w:p>
    <w:p w14:paraId="20410F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保函申请人在独立保函欺诈诉讼中仅起诉受益人的，独立保函的开立人、指示人可以作为第三人申请参加，或由人民法院通知其参加。</w:t>
      </w:r>
    </w:p>
    <w:p w14:paraId="7B0784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人民法院经审理独立保函欺诈纠纷案件，能够排除合理怀疑地认定构成独立保函欺诈，并且不存在本规定第十四条第三款情形的，应当判决开立人终止支付独立保函项下被请求的款项。</w:t>
      </w:r>
    </w:p>
    <w:p w14:paraId="6A81BD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受益人和开立人之间</w:t>
      </w:r>
      <w:proofErr w:type="gramStart"/>
      <w:r>
        <w:rPr>
          <w:rFonts w:ascii="宋体" w:eastAsia="宋体" w:hAnsi="宋体" w:cs="宋体" w:hint="eastAsia"/>
          <w:sz w:val="24"/>
        </w:rPr>
        <w:t>因独立</w:t>
      </w:r>
      <w:proofErr w:type="gramEnd"/>
      <w:r>
        <w:rPr>
          <w:rFonts w:ascii="宋体" w:eastAsia="宋体" w:hAnsi="宋体" w:cs="宋体" w:hint="eastAsia"/>
          <w:sz w:val="24"/>
        </w:rPr>
        <w:t>保函而产生的纠纷案件，由开立人住所地或被告住所地人民法院管辖，独立保函载明由其他法院管辖或提交仲裁的除外。当事人主张根据基础交易合同争议解决条款确定管辖法院或提交仲裁的，人民法院不予支持。</w:t>
      </w:r>
    </w:p>
    <w:p w14:paraId="0E4BD0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独立保函欺诈纠纷案件由被请求止付的独立保函的开立人住所地或被告住所地人民法院管辖，当事人书面协议由其他法院管辖或提交仲裁的除外。当事人主张根据基础交易合同或独立保函的争议解决条款确定管辖法院或提交仲裁的，人民法院不予支持。</w:t>
      </w:r>
    </w:p>
    <w:p w14:paraId="0D7ADA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涉外独立保函未载明适用法律，开立人和受益人在一审法庭辩论终结前亦未就适用法律达成一致的，开立人和受益人之间因涉外独立保函而产生的纠纷适用开立人经常居所地法律；独立保函由金融机构依法登记设立的分支机构开立的，适用分支机构登记地法律。</w:t>
      </w:r>
    </w:p>
    <w:p w14:paraId="3D21DE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涉外独立保函欺诈纠纷，当事人就适用法律不能达成一致的，适用被请求止付的独立保函的开立人经常居所地法律；独立保函由金融机构依法登记设立的分</w:t>
      </w:r>
      <w:r>
        <w:rPr>
          <w:rFonts w:ascii="宋体" w:eastAsia="宋体" w:hAnsi="宋体" w:cs="宋体" w:hint="eastAsia"/>
          <w:sz w:val="24"/>
        </w:rPr>
        <w:lastRenderedPageBreak/>
        <w:t>支机构开立的，适用分支机构登记地法律；当事人有共同经常居所地的，适用共同经常居所地法律。</w:t>
      </w:r>
    </w:p>
    <w:p w14:paraId="5763AA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涉外独立保函止付保全程序，适用中华人民共和国法律。</w:t>
      </w:r>
    </w:p>
    <w:p w14:paraId="258E04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当事人约定在国内交易中适用独立保函，一方当事人以独立保函不具有涉外因素为由，主张保函独立性的约定无效的，人民法院不予支持。</w:t>
      </w:r>
    </w:p>
    <w:p w14:paraId="544886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对于</w:t>
      </w:r>
      <w:proofErr w:type="gramStart"/>
      <w:r>
        <w:rPr>
          <w:rFonts w:ascii="宋体" w:eastAsia="宋体" w:hAnsi="宋体" w:cs="宋体" w:hint="eastAsia"/>
          <w:sz w:val="24"/>
        </w:rPr>
        <w:t>按照特</w:t>
      </w:r>
      <w:proofErr w:type="gramEnd"/>
      <w:r>
        <w:rPr>
          <w:rFonts w:ascii="宋体" w:eastAsia="宋体" w:hAnsi="宋体" w:cs="宋体" w:hint="eastAsia"/>
          <w:sz w:val="24"/>
        </w:rPr>
        <w:t>户管理并移交开立人占有的独立保函开立保证金，人民法院可以采取冻结措施，但不得扣划。保证金账户内的款项丧失开立保证金的功能时，人民法院可以依法采取扣划措施。</w:t>
      </w:r>
    </w:p>
    <w:p w14:paraId="7D670A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开立人已履行对外支付义务的，根据该开立人的申请，人民法院应当解除对开立保证金相应部分的冻结措施。</w:t>
      </w:r>
    </w:p>
    <w:p w14:paraId="750165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本规定施行后尚未终审的案件，适用本规定；本规定施行前已经终审的案件，当事人申请再审或者人民法院按照审判监督程序再审的，不适用本规定。</w:t>
      </w:r>
    </w:p>
    <w:p w14:paraId="51AE7C1F"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第二十六条 本规定自2016年12月1日起施行。</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2DDC9631"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15.《最高人民法院关于审理票据纠纷案件若干问题的规定（2020修正）》</w:t>
      </w:r>
    </w:p>
    <w:p w14:paraId="027AA2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w:t>
      </w:r>
      <w:r>
        <w:rPr>
          <w:rFonts w:ascii="宋体" w:eastAsia="宋体" w:hAnsi="宋体" w:cs="宋体" w:hint="eastAsia"/>
          <w:sz w:val="24"/>
        </w:rPr>
        <w:tab/>
        <w:t xml:space="preserve">    文号：法释〔2020〕18号</w:t>
      </w:r>
    </w:p>
    <w:p w14:paraId="35CB2E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2000年2月24日最高人民法院审判委员会第1102次会议通过，根据2020年12月23日最高人民法院审判委员会第1823次会议通过的《最高人民法院关于修改〈最高人民法院关于破产企业国有划拨土地使用权应否列入破产财产等问题的批复〉等二十九件商事类司法解释的决定》修正）</w:t>
      </w:r>
    </w:p>
    <w:p w14:paraId="4EB4A1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了正确适用《中华人民共和国票据法》（以下简称票据法），公正、及时审理票据纠纷案件，保护票据当事人的合法权益，维护金融秩序和金融安全，根据票据法及其他有关法律的规定，结合审判实践，现对人民法院审理票据纠纷案件的若干问题规定如下：</w:t>
      </w:r>
    </w:p>
    <w:p w14:paraId="0295EE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一、受理和管辖</w:t>
      </w:r>
    </w:p>
    <w:p w14:paraId="4CECFA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因行使票据权利或者票据法上的非票据权利而引起的纠纷，人民法院应当依法受理。</w:t>
      </w:r>
    </w:p>
    <w:p w14:paraId="3A53D1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依照票据法第十条的规定，票据债务人（即出票人）以在票据未转让时的基础关系违法、双方不具有真实的交易关系和债权债务关系、持票人应付对价而未付对价为由，要求返还票据而提起诉讼的，人民法院应当依法受理。</w:t>
      </w:r>
    </w:p>
    <w:p w14:paraId="3C88DA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依照票据法第三十六条的规定，票据被拒绝承兑、被拒绝付款或者汇票、支票超过提示付款期限后，票据持有人背书转让的，被背书人以背书人为被告行使追索权而提起诉讼的，人民法院应当依法受理。</w:t>
      </w:r>
    </w:p>
    <w:p w14:paraId="692FC8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持票人不先行使付款请求权而先行使</w:t>
      </w:r>
      <w:proofErr w:type="gramStart"/>
      <w:r>
        <w:rPr>
          <w:rFonts w:ascii="宋体" w:eastAsia="宋体" w:hAnsi="宋体" w:cs="宋体" w:hint="eastAsia"/>
          <w:sz w:val="24"/>
        </w:rPr>
        <w:t>追索权遭拒绝</w:t>
      </w:r>
      <w:proofErr w:type="gramEnd"/>
      <w:r>
        <w:rPr>
          <w:rFonts w:ascii="宋体" w:eastAsia="宋体" w:hAnsi="宋体" w:cs="宋体" w:hint="eastAsia"/>
          <w:sz w:val="24"/>
        </w:rPr>
        <w:t>提起诉讼的，人民法院不予受理。除有票据法第六十一条第二款和本规定第三条所列情形外，持票人只能在首先向付款人行使付款请求权而得不到付款时，才可以行使追索权。</w:t>
      </w:r>
    </w:p>
    <w:p w14:paraId="69291F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付款请求权是持票人享有的第一顺序权利，追索权是持票人享有的第二顺序权利，即汇票到期被拒绝付款或者具有票据法第六十一条第二款所列情形的，持票人请求背书人、出票人以及汇票的其他债务人支付票据法第七十条第一款所列金额和费用的权利。</w:t>
      </w:r>
    </w:p>
    <w:p w14:paraId="69A819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第六条 因票据纠纷提起的诉讼，依法由票据支付地或者被告住所地人民法院管辖。</w:t>
      </w:r>
    </w:p>
    <w:p w14:paraId="70D6E4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票据支付地是指票据上载明的付款地，票据上未载明付款地的，汇票付款人或者代理付款人的营业场所、住所或者经常居住地，本票出票人的营业场所，支票付款人或者代理付款人的营业场所所在地为票据付款地。代理付款人即付款人的委托代理人，是指根据付款人的委托代为支付票据金额的银行、信用合作社等金融机构。</w:t>
      </w:r>
    </w:p>
    <w:p w14:paraId="7F1203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二、票据保全</w:t>
      </w:r>
    </w:p>
    <w:p w14:paraId="7122BA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人民法院在审理、执行票据纠纷案件时，对具有下列情形之一的票据，经当事人申请并提供担保，可以依法采取保全措施或者执行措施：</w:t>
      </w:r>
    </w:p>
    <w:p w14:paraId="5C65B0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（一）不履行约定义务，与票据债务人有直接债权债务关系的票据当事人所持有的票据；</w:t>
      </w:r>
    </w:p>
    <w:p w14:paraId="4439B0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（二）持票人恶意取得的票据；</w:t>
      </w:r>
    </w:p>
    <w:p w14:paraId="743326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（三）应付对价而未付对价的持票人持有的票据；</w:t>
      </w:r>
    </w:p>
    <w:p w14:paraId="695EF7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（四）记载有“不得转让”字样而用于贴现的票据；</w:t>
      </w:r>
    </w:p>
    <w:p w14:paraId="7B3805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（五）记载有“不得转让”字样而用于质押的票据；</w:t>
      </w:r>
    </w:p>
    <w:p w14:paraId="2F42D0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（六）法律或者司法解释规定有其他情形的票据。</w:t>
      </w:r>
    </w:p>
    <w:p w14:paraId="3157E2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三、举证责任</w:t>
      </w:r>
    </w:p>
    <w:p w14:paraId="139781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票据诉讼的举证责任由提出主张的一方当事人承担。</w:t>
      </w:r>
    </w:p>
    <w:p w14:paraId="3661A3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依照票据法第四条第二款、第十条、第十二条、第二十一条的规定，向人民法院提起诉讼的持票人有责任提供诉争票据。该票据的出票、承兑、交付、背书转让涉嫌欺诈、偷盗、胁迫、恐吓、暴力等非法行为的，持票人对持票的合法性应当负责举证。</w:t>
      </w:r>
    </w:p>
    <w:p w14:paraId="5ADB2B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票据债务人依照票据法第十三条的规定，对与其有直接债权债务关系的持票人提出抗辩，人民法院合并审理票据关系和基础关系的，持票人应当提</w:t>
      </w:r>
      <w:r>
        <w:rPr>
          <w:rFonts w:ascii="宋体" w:eastAsia="宋体" w:hAnsi="宋体" w:cs="宋体" w:hint="eastAsia"/>
          <w:sz w:val="24"/>
        </w:rPr>
        <w:lastRenderedPageBreak/>
        <w:t>供相应的证据证明已经履行了约定义务。</w:t>
      </w:r>
    </w:p>
    <w:p w14:paraId="252AE8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付款人或者承兑人被人民法院依法宣告破产的，持票人因行使追索权而向人民法院提起诉讼时，应当向受理法院提供人民法院依法</w:t>
      </w:r>
      <w:proofErr w:type="gramStart"/>
      <w:r>
        <w:rPr>
          <w:rFonts w:ascii="宋体" w:eastAsia="宋体" w:hAnsi="宋体" w:cs="宋体" w:hint="eastAsia"/>
          <w:sz w:val="24"/>
        </w:rPr>
        <w:t>作出</w:t>
      </w:r>
      <w:proofErr w:type="gramEnd"/>
      <w:r>
        <w:rPr>
          <w:rFonts w:ascii="宋体" w:eastAsia="宋体" w:hAnsi="宋体" w:cs="宋体" w:hint="eastAsia"/>
          <w:sz w:val="24"/>
        </w:rPr>
        <w:t>的宣告破产裁定书或者能够证明付款人或者承兑人破产的其他证据。</w:t>
      </w:r>
    </w:p>
    <w:p w14:paraId="7A2753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在票据诉讼中，负有举证责任的票据当事人应当在一审人民法院法庭辩论结束以前提供证据。因客观原因不能在上述举证期限以内提供的，应当在举证期限届满以前向人民法院申请延期。延长的期限由人民法院根据案件的具体情况决定。</w:t>
      </w:r>
    </w:p>
    <w:p w14:paraId="51B04C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票据当事人在一审人民法院审理期间隐匿票据、故意有证不举，应当承担相应的诉讼后果。</w:t>
      </w:r>
    </w:p>
    <w:p w14:paraId="7371F8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四、票据权利及抗辩</w:t>
      </w:r>
    </w:p>
    <w:p w14:paraId="765711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票据法第十七条第一款第（一）、（二）项规定的持票人对票据的出票人和承兑人的权利，包括付款请求权和追索权。</w:t>
      </w:r>
    </w:p>
    <w:p w14:paraId="054FF4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票据债务人以票据法第十条、第二十一条的规定为由，对业经背书转让票据的持票人进行抗辩的，人民法院不予支持。</w:t>
      </w:r>
    </w:p>
    <w:p w14:paraId="676383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票据债务人依照票据法第十二条、第十三条的规定，对持票人提出下列抗辩的，人民法院应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6FBB9D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（一）与票据债务人有直接债权债务关系并且不履行约定义务的；</w:t>
      </w:r>
    </w:p>
    <w:p w14:paraId="0B9B13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（二）以欺诈、偷盗或者胁迫等非法手段取得票据，或者明知有前列情形，出于恶意取得票据的；</w:t>
      </w:r>
    </w:p>
    <w:p w14:paraId="574E23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（三）明知票据债务人与出票人或者与持票人的前手之间存在抗辩事由而取得票据的；</w:t>
      </w:r>
    </w:p>
    <w:p w14:paraId="6BA439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（四）因重大过失取得票据的；</w:t>
      </w:r>
    </w:p>
    <w:p w14:paraId="164CA2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（五）其他依法不得享有票据权利的。</w:t>
      </w:r>
    </w:p>
    <w:p w14:paraId="14FC88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票据债务人依照票据法第九条、第十七条、第十八条、第二十二</w:t>
      </w:r>
      <w:r>
        <w:rPr>
          <w:rFonts w:ascii="宋体" w:eastAsia="宋体" w:hAnsi="宋体" w:cs="宋体" w:hint="eastAsia"/>
          <w:sz w:val="24"/>
        </w:rPr>
        <w:lastRenderedPageBreak/>
        <w:t>条和第三十一条的规定，对持票人提出下列抗辩的，人民法院应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37206A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（一）欠缺法定必要记载事项或者不符合法定格式的；</w:t>
      </w:r>
    </w:p>
    <w:p w14:paraId="71A6E9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（二）超过票据权利时效的；</w:t>
      </w:r>
    </w:p>
    <w:p w14:paraId="2B68B0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（三）人民法院</w:t>
      </w:r>
      <w:proofErr w:type="gramStart"/>
      <w:r>
        <w:rPr>
          <w:rFonts w:ascii="宋体" w:eastAsia="宋体" w:hAnsi="宋体" w:cs="宋体" w:hint="eastAsia"/>
          <w:sz w:val="24"/>
        </w:rPr>
        <w:t>作出</w:t>
      </w:r>
      <w:proofErr w:type="gramEnd"/>
      <w:r>
        <w:rPr>
          <w:rFonts w:ascii="宋体" w:eastAsia="宋体" w:hAnsi="宋体" w:cs="宋体" w:hint="eastAsia"/>
          <w:sz w:val="24"/>
        </w:rPr>
        <w:t>的除权判决已经发生法律效力的；</w:t>
      </w:r>
    </w:p>
    <w:p w14:paraId="6A56F0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（四）以背书方式取得但背书不连续的；</w:t>
      </w:r>
    </w:p>
    <w:p w14:paraId="24541D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（五）其他依法不得享有票据权利的。</w:t>
      </w:r>
    </w:p>
    <w:p w14:paraId="49EABC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票据出票人或者背书人被宣告破产的，而付款人或者承兑人不知其事实而付款或者承兑，因此所产生的追索权可以登记为破产债权，付款人或者承兑人为债权人。</w:t>
      </w:r>
    </w:p>
    <w:p w14:paraId="4D450F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票据法第十七条第一款第（三）、（四）项规定的持票人对前手的追索权，不包括对票据出票人的追索权。</w:t>
      </w:r>
    </w:p>
    <w:p w14:paraId="6D73BE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票据法第四十条第二款和第六十五条规定的持票人丧失对其前手的追索权，不包括对票据出票人的追索权。</w:t>
      </w:r>
    </w:p>
    <w:p w14:paraId="0C6568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票据法第十七条规定的票据权利时效发生中断的，只对发生时效中断事由的当事人有效。</w:t>
      </w:r>
    </w:p>
    <w:p w14:paraId="2968D4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票据法第六十六条第一款规定的书面通知是否逾期，以持票人或者其前手发出书面通知之日为准；以信函通知的，以信函投寄邮戳记载之日为准。</w:t>
      </w:r>
    </w:p>
    <w:p w14:paraId="35AAF0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票据法第七十条、第七十一条所称中国人民银行规定的利率，是指中国人民银行规定的企业同期流动资金贷款利率。</w:t>
      </w:r>
    </w:p>
    <w:p w14:paraId="79D87B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代理付款人在人民法院公示催告公告发布以前按照规定程序善意付款后，承兑人或者付款人以已经公示催告为由拒付代理付款人已经垫付的款项的，人民法院不予支持。</w:t>
      </w:r>
    </w:p>
    <w:p w14:paraId="00F639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五、失票救济</w:t>
      </w:r>
    </w:p>
    <w:p w14:paraId="011A2C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票据丧失后，失票人直接向人民法院申请公示催告或者提起诉讼的，人民法院应当依法受理。</w:t>
      </w:r>
    </w:p>
    <w:p w14:paraId="6424ED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第二十四条 出票人已经签章的授权补记的支票丧失后，失票人依法向人民法院申请公示催告的，人民法院应当依法受理。</w:t>
      </w:r>
    </w:p>
    <w:p w14:paraId="77A944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票据法第十五条第三款规定的可以申请公示催告的失票人，是指按照规定可以背书转让的票据在丧失票据占有以前的最后合法持票人。</w:t>
      </w:r>
    </w:p>
    <w:p w14:paraId="33A7F9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出票人已经签章但未记载代理付款人的银行汇票丧失后，失票人依法向付款人即出票银行所在地人民法院申请公示催告的，人民法院应当依法受理。</w:t>
      </w:r>
    </w:p>
    <w:p w14:paraId="4E0AA8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超过付款提示期限的票据丧失以后，失票人申请公示催告的，人民法院应当依法受理。</w:t>
      </w:r>
    </w:p>
    <w:p w14:paraId="09EF91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失票人通知票据付款人挂失止付后三日内向人民法院申请公示催告的，公示催告申请书应当载明下列内容：</w:t>
      </w:r>
    </w:p>
    <w:p w14:paraId="46A5AC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（一）票面金额；</w:t>
      </w:r>
    </w:p>
    <w:p w14:paraId="5CDF7A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（二）出票人、持票人、背书人；</w:t>
      </w:r>
    </w:p>
    <w:p w14:paraId="0458B2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（三）申请的理由、事实；</w:t>
      </w:r>
    </w:p>
    <w:p w14:paraId="59BB80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（四）通知票据付款人或者代理付款人挂失止付的时间；</w:t>
      </w:r>
    </w:p>
    <w:p w14:paraId="0947C3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（五）付款人或者代理付款人的名称、通信地址、电话号码等。</w:t>
      </w:r>
    </w:p>
    <w:p w14:paraId="21251A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人民法院决定受理公示催告申请，应当同时通知付款人及代理付款人停止支付，并自立案之日起三日内发出公告。</w:t>
      </w:r>
    </w:p>
    <w:p w14:paraId="2778DE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付款人或者代理付款人收到人民法院发出的止付通知，应当立即停止支付，直至公示催告程序终结。非</w:t>
      </w:r>
      <w:proofErr w:type="gramStart"/>
      <w:r>
        <w:rPr>
          <w:rFonts w:ascii="宋体" w:eastAsia="宋体" w:hAnsi="宋体" w:cs="宋体" w:hint="eastAsia"/>
          <w:sz w:val="24"/>
        </w:rPr>
        <w:t>经发出</w:t>
      </w:r>
      <w:proofErr w:type="gramEnd"/>
      <w:r>
        <w:rPr>
          <w:rFonts w:ascii="宋体" w:eastAsia="宋体" w:hAnsi="宋体" w:cs="宋体" w:hint="eastAsia"/>
          <w:sz w:val="24"/>
        </w:rPr>
        <w:t>止付通知的人民法院许可擅自解付的，不得免除票据责任。</w:t>
      </w:r>
    </w:p>
    <w:p w14:paraId="62F14D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公告应当在全国性报纸或者其他媒体上刊登，并于同日公布于人民法院公告栏内。人民法院所在地有证券交易所的，还应当同日在该交易所公布。</w:t>
      </w:r>
    </w:p>
    <w:p w14:paraId="5E2B95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依照《中华人民共和国民事诉讼法》（以下简称民事诉讼法）</w:t>
      </w:r>
      <w:r>
        <w:rPr>
          <w:rFonts w:ascii="宋体" w:eastAsia="宋体" w:hAnsi="宋体" w:cs="宋体" w:hint="eastAsia"/>
          <w:sz w:val="24"/>
        </w:rPr>
        <w:lastRenderedPageBreak/>
        <w:t>第二百一十九条的规定，公告期间不得少于六十日，且公示催告期间届满日不得早于票据付款日后十五日。</w:t>
      </w:r>
    </w:p>
    <w:p w14:paraId="490CEF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依照民事诉讼法第二百二十条第二款的规定，在公示催告期间，以公示催告的票据质押、贴现，因质押、贴现而接受该票据的持票人主张票据权利的，人民法院不予支持，但公示催告期间届满以后人民法院</w:t>
      </w:r>
      <w:proofErr w:type="gramStart"/>
      <w:r>
        <w:rPr>
          <w:rFonts w:ascii="宋体" w:eastAsia="宋体" w:hAnsi="宋体" w:cs="宋体" w:hint="eastAsia"/>
          <w:sz w:val="24"/>
        </w:rPr>
        <w:t>作出</w:t>
      </w:r>
      <w:proofErr w:type="gramEnd"/>
      <w:r>
        <w:rPr>
          <w:rFonts w:ascii="宋体" w:eastAsia="宋体" w:hAnsi="宋体" w:cs="宋体" w:hint="eastAsia"/>
          <w:sz w:val="24"/>
        </w:rPr>
        <w:t>除权判决以前取得该票据的除外。</w:t>
      </w:r>
    </w:p>
    <w:p w14:paraId="103D1F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票据丧失后，失票人在票据权利时效届满以前请求出票人补发票据，或者请求债务人付款，在提供相应担保的情况下因债务人拒绝付款或者出票人拒绝补发票据提起诉讼的，由被告住所地或者票据支付地人民法院管辖。</w:t>
      </w:r>
    </w:p>
    <w:p w14:paraId="13FF51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失票人因请求出票人补发票据或者请求债务人付款遭到拒绝而向人民法院提起诉讼的，被告为与失票人具有票据债权债务关系的出票人、拒绝付款的票据付款人或者承兑人。</w:t>
      </w:r>
    </w:p>
    <w:p w14:paraId="44E818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失票人为行使票据所有权，向非法持有票据人请求返还票据的，人民法院应当依法受理。</w:t>
      </w:r>
    </w:p>
    <w:p w14:paraId="16EF09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失票人向人民法院提起诉讼的，应向人民法院说明曾经持有票据及丧失票据的情形，人民法院应当根据案件的具体情况，决定当事人是否应当提供担保以及担保的数额。</w:t>
      </w:r>
    </w:p>
    <w:p w14:paraId="6B504E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对于伪报票据丧失的当事人，人民法院在查明事实，裁定终结公示催告或者诉讼程序后，可以参照民事诉讼法第一百一十一条的规定，追究伪报人的法律责任。</w:t>
      </w:r>
    </w:p>
    <w:p w14:paraId="02D52B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六、票据效力</w:t>
      </w:r>
    </w:p>
    <w:p w14:paraId="46ED35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依照票据法第一百零八条以及经国务院批准的《票据管理实施办法》的规定，票据当事人使用的不是中国人民银行规定的统一格式票据的，按照《票据管理实施办法》的规定认定，但在中国境外签发的票据除外。</w:t>
      </w:r>
    </w:p>
    <w:p w14:paraId="1530EB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票据出票人在票据上的签章上不符合票据法以及下述规定的，该签章不具有票据法上的效力：</w:t>
      </w:r>
    </w:p>
    <w:p w14:paraId="10D0A3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（一）商业汇票上的出票人的签章，为该法人或者该单位的财务专用章或者公章加其法定代表人、单位负责人或者其授权的代理人的签名或者盖章；</w:t>
      </w:r>
    </w:p>
    <w:p w14:paraId="2F2AB5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（二）银行汇票上的出票人的签章和银行承兑汇票的承兑人的签章，为该银行汇票专用章加其法定代表人或者其授权的代理人的签名或者盖章；</w:t>
      </w:r>
    </w:p>
    <w:p w14:paraId="147402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（三）银行本票上的出票人的签章，为该银行的本票专用章加其法定代表人或者其授权的代理人的签名或者盖章；</w:t>
      </w:r>
    </w:p>
    <w:p w14:paraId="419DC7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支票上的出票人的签章，出票人为单位的，为与该单位在银行预留签章一致的财务专用章或者公章加其法定代表人或者其授权的代理人的签名或者盖章；出票人为个人的，为与该个人在银行预留签章一致的签名或者盖章。</w:t>
      </w:r>
    </w:p>
    <w:p w14:paraId="5CE81D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银行汇票、银行本票的出票人以及银行承兑汇票的承兑人在票据上未加盖规定的专用章而加盖该银行的公章，支票的出票人在票据上未加盖与该单位在银行预留签章一致的财务专用章而加盖该出票人公章的，签章人应当承担票据责任。</w:t>
      </w:r>
    </w:p>
    <w:p w14:paraId="4FB20B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依照票据法第九条以及《票据管理实施办法》的规定，票据金额的中文大写与数码不一致，或者票据载明的金额、出票日期或者签发日期、收款人名称更改，或者违反规定加盖银行部门印章代替专用章，付款人或者代理付款人对此类票据付款的，应当承担责任。</w:t>
      </w:r>
    </w:p>
    <w:p w14:paraId="7C6099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因更改银行汇票的实际结算金额引起纠纷而提起诉讼，当事人请求认定汇票效力的，人民法院应当认定该银行汇票无效。</w:t>
      </w:r>
    </w:p>
    <w:p w14:paraId="20FEA6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空白授权票据的持票人行使票据权利时未对票据必须记载事项补充完全，因付款人或者代理付款人拒绝接收该票据而提起诉讼的，人民法院不予支持。</w:t>
      </w:r>
    </w:p>
    <w:p w14:paraId="64563C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票据的背书人、承兑人、保证人在票据上的签章不符合票据法以及《票据管理实施办法》规定的，或者无民事行为能力人、限制民事行为能力人在票据上签章的，其签章无效，但不影响人民法院对票据上其他签章效力的认定。</w:t>
      </w:r>
    </w:p>
    <w:p w14:paraId="5B53E8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七、票据背书</w:t>
      </w:r>
    </w:p>
    <w:p w14:paraId="3D0D6B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因票据质权人以质押票据再行背书质押或者背书转让引起纠纷而提起诉讼的，人民法院应当认定背书行为无效。</w:t>
      </w:r>
    </w:p>
    <w:p w14:paraId="46D749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依照票据法第二十七条的规定，票据的出票人在票据上记载“不得转让”字样，票据持有人背书转让的，背书行为无效。背书转让后的受让人不得享有票据权利，票据的出票人、承兑人对受让人不承担票据责任。</w:t>
      </w:r>
    </w:p>
    <w:p w14:paraId="4C1EB9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依照票据法第二十七条和第三十条的规定，背书人未记载被背书人名称即将票据交付他人的，持票人在票据被背书人栏内记载自己的名称与背书人记载具有同等法律效力。</w:t>
      </w:r>
    </w:p>
    <w:p w14:paraId="51CBF7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第四十九条 依照票据法第三十一条的规定，连续背书的第一背书人应当是在票据上记载的收款人，最后的票据持有人应当是最后一次背书的被背书人。</w:t>
      </w:r>
    </w:p>
    <w:p w14:paraId="18E66C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第五十条 依照票据法第三十四条和第三十五条的规定，背书人在票据上记载“不得转让”“委托收款”“质押”字样，其后手再背书转让、委托收款或者质押的，原背书人对后手的被背书人不承担票据责任，但不影响出票人、承兑人以及原背书人之前手的票据责任。</w:t>
      </w:r>
    </w:p>
    <w:p w14:paraId="5ADEE0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第五十一条 依照票据法第五十七条第二款的规定，贷款人恶意或者有重大过失从事票据质押贷款的，人民法院应当认定质押行为无效。</w:t>
      </w:r>
    </w:p>
    <w:p w14:paraId="335DE7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第五十二条 依照票据法第二十七条的规定，出票人在票据上记载“不得转让”字样，其后手以此票据进行贴现、质押的，通过贴现、质押取得票据的持票人主张票据权利的，人民法院不予支持。</w:t>
      </w:r>
    </w:p>
    <w:p w14:paraId="348AAC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第五十三条 依照票据法第三十四条和第三十五条的规定，背书人在票据上记载“不得转让”字样，其后手以此票据进行贴现、质押的，原背书人对后手的被背书人不承担票据责任。</w:t>
      </w:r>
    </w:p>
    <w:p w14:paraId="470895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第五十四条 依照票据法第三十五条第二款的规定，以汇票设定质押时，出质人在汇票上只记载了“质押”字样未在票据上签章的，或者出质人未在汇票、粘单上记载“质押”字样而另行签订质押合同、质押条款的，不构成票据质押。</w:t>
      </w:r>
    </w:p>
    <w:p w14:paraId="2F4DB2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第五十五条 商业汇票的持票人向其非开户银行申请贴现，与向自己开立存款账户的银行申请贴现具有同等法律效力。但是，持票人有恶意或者与贴现银行恶意串通的除外。</w:t>
      </w:r>
    </w:p>
    <w:p w14:paraId="52BE57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第五十六条 违反规定区域出票，背书转让银行汇票，或者违反票据管理规定跨越票据交换区域出票、背书转让银行本票、支票的，不影响出票人、背书人依法应当承担的票据责任。</w:t>
      </w:r>
    </w:p>
    <w:p w14:paraId="6B36F6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第五十七条 依照票据法第三十六条的规定，票据被拒绝承兑、被拒绝付款或者超过提示付款期限，票据持有人背书转让的，背书人应当承担票据责任。</w:t>
      </w:r>
    </w:p>
    <w:p w14:paraId="36A3CD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第五十八条 承兑人或者付款人依照票据法第五十三条第二款的规定对逾期提示付款的持票人付款与按照规定的期限付款具有同等法律效力。</w:t>
      </w:r>
    </w:p>
    <w:p w14:paraId="450AE8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八、票据保证</w:t>
      </w:r>
    </w:p>
    <w:p w14:paraId="4E8CA7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第五十九条 国家机关、以公益为目的的事业单位、社会团体作为票据保证人的，票据保证无效，但经国务院批准为使用外国政府或者国际经济组织贷款进行转贷，国家机关提供票据保证的除外。</w:t>
      </w:r>
    </w:p>
    <w:p w14:paraId="04F79A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第六十条 票据保证无效的，票据的保证人应当承担与其过错相应的民事责任。</w:t>
      </w:r>
    </w:p>
    <w:p w14:paraId="29E3CA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第六十一条 保证人未在票据或者粘单上记载“保证”字样而另行签订保证合同或者保证条款的，不属于票据保证，人民法院应当适用《中华人民共和国民法典》的有关规定。</w:t>
      </w:r>
    </w:p>
    <w:p w14:paraId="22CB5D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九、法律适用</w:t>
      </w:r>
    </w:p>
    <w:p w14:paraId="6EBC4B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第六十二条 人民法院审理票据纠纷案件，适用票据法的规定；票据法没有规定的，适用《中华人民共和国民法典》等法律以及国务院制定的行政法规。</w:t>
      </w:r>
    </w:p>
    <w:p w14:paraId="48B4E0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中国人民银行制定并公布施行的有关行政规章与法律、行政法规不抵触的，可以参照适用。</w:t>
      </w:r>
    </w:p>
    <w:p w14:paraId="5E07E2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第六十三条 票据当事人因对金融行政管理部门的具体行政行为不服提起诉讼的，适用《中华人民共和国行政处罚法》、票据法以及《票据管理实施办法》</w:t>
      </w:r>
      <w:r>
        <w:rPr>
          <w:rFonts w:ascii="宋体" w:eastAsia="宋体" w:hAnsi="宋体" w:cs="宋体" w:hint="eastAsia"/>
          <w:sz w:val="24"/>
        </w:rPr>
        <w:lastRenderedPageBreak/>
        <w:t>等有关票据管理的规定。</w:t>
      </w:r>
    </w:p>
    <w:p w14:paraId="6F7DBA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中国人民银行制定并公布施行的有关行政规章与法律、行政法规不抵触的，可以参照适用。</w:t>
      </w:r>
    </w:p>
    <w:p w14:paraId="457844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第六十四条 人民法院对票据法施行以前已经</w:t>
      </w:r>
      <w:proofErr w:type="gramStart"/>
      <w:r>
        <w:rPr>
          <w:rFonts w:ascii="宋体" w:eastAsia="宋体" w:hAnsi="宋体" w:cs="宋体" w:hint="eastAsia"/>
          <w:sz w:val="24"/>
        </w:rPr>
        <w:t>作出</w:t>
      </w:r>
      <w:proofErr w:type="gramEnd"/>
      <w:r>
        <w:rPr>
          <w:rFonts w:ascii="宋体" w:eastAsia="宋体" w:hAnsi="宋体" w:cs="宋体" w:hint="eastAsia"/>
          <w:sz w:val="24"/>
        </w:rPr>
        <w:t>终审裁决的票据纠纷案件进行再审，不适用票据法。</w:t>
      </w:r>
    </w:p>
    <w:p w14:paraId="31DD44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十、法律责任</w:t>
      </w:r>
    </w:p>
    <w:p w14:paraId="1093F2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第六十五条 具有下列情形之一的票据，未经背书转让的，票据债务人不承担票据责任；已经背书转让的，票据无效不影响其他真实签章的效力：</w:t>
      </w:r>
    </w:p>
    <w:p w14:paraId="16D5C4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（一）出票人签章不真实的；</w:t>
      </w:r>
    </w:p>
    <w:p w14:paraId="21DDD8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（二）出票人为无民事行为能力人的；</w:t>
      </w:r>
    </w:p>
    <w:p w14:paraId="56B827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（三）出票人为限制民事行为能力人的。</w:t>
      </w:r>
    </w:p>
    <w:p w14:paraId="71E357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第六十六条 依照票据法第十四条、第一百零二条、第一百零三条的规定，伪造、变造票据者除应当依法承担刑事、行政责任外，给他人造成损失的，还应当承担民事赔偿责任。被伪造签章者不承担票据责任。</w:t>
      </w:r>
    </w:p>
    <w:p w14:paraId="39A378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第六十七条 对票据未记载事项或者未完全记载事项作补充记载，补充事项超出授权范围的，出票人对补充后的票据应当承担票据责任。给他人造成损失的，出票人还应当承担相应的民事责任。</w:t>
      </w:r>
    </w:p>
    <w:p w14:paraId="4F526E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第六十八条 付款人或者代理付款人未能识别出伪造、变造的票据或者身份证件而错误付款，属于票据法第五十七条规定的“重大过失”，给持票人造成损失的，应当依法承担民事责任。付款人或者代理付款人承担责任后有权向伪造者、变造者依法追偿。</w:t>
      </w:r>
    </w:p>
    <w:p w14:paraId="286F10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持票人有过错的，也应当承担相应的民事责任。</w:t>
      </w:r>
    </w:p>
    <w:p w14:paraId="47E7D8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第六十九条 付款人及其代理付款人有下列情形之一的，应当自行承担责任：</w:t>
      </w:r>
    </w:p>
    <w:p w14:paraId="246BEF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（一）未依照票据法第五十七条的规定对提示付款人的合法身份证明或者有效证件以及汇票背书的连续性履行审查义务而错误付款的；</w:t>
      </w:r>
    </w:p>
    <w:p w14:paraId="5BBF48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（二）公示催告期间对公示催告的票据付款的；</w:t>
      </w:r>
    </w:p>
    <w:p w14:paraId="544B45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（三）收到人民法院的止付通知后付款的；</w:t>
      </w:r>
    </w:p>
    <w:p w14:paraId="66B57A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（四）其他以恶意或者重大过失付款的。</w:t>
      </w:r>
    </w:p>
    <w:p w14:paraId="5B2902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第七十条 票据法第六十三条所称“其他有关证明”是指：</w:t>
      </w:r>
    </w:p>
    <w:p w14:paraId="4F4FC4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（一）人民法院出具的宣告承兑人、付款人失踪或者死亡的证明、法律文书；</w:t>
      </w:r>
    </w:p>
    <w:p w14:paraId="424484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（二）公安机关出具的承兑人、付款人逃匿或者下落不明的证明；</w:t>
      </w:r>
    </w:p>
    <w:p w14:paraId="599979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（三）医院或者有关单位出具的承兑人、付款人死亡的证明；</w:t>
      </w:r>
    </w:p>
    <w:p w14:paraId="6FD53C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（四）公证机构出具的具有拒绝证明效力的文书。</w:t>
      </w:r>
    </w:p>
    <w:p w14:paraId="628DEA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承兑人自己</w:t>
      </w:r>
      <w:proofErr w:type="gramStart"/>
      <w:r>
        <w:rPr>
          <w:rFonts w:ascii="宋体" w:eastAsia="宋体" w:hAnsi="宋体" w:cs="宋体" w:hint="eastAsia"/>
          <w:sz w:val="24"/>
        </w:rPr>
        <w:t>作出</w:t>
      </w:r>
      <w:proofErr w:type="gramEnd"/>
      <w:r>
        <w:rPr>
          <w:rFonts w:ascii="宋体" w:eastAsia="宋体" w:hAnsi="宋体" w:cs="宋体" w:hint="eastAsia"/>
          <w:sz w:val="24"/>
        </w:rPr>
        <w:t>并发布的表明其没有支付票款能力的公告，可以认定为拒绝证明。</w:t>
      </w:r>
    </w:p>
    <w:p w14:paraId="796215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第七十一条 当事人因申请票据保全错误而给他人造成损失的，应当依法承担民事责任。</w:t>
      </w:r>
    </w:p>
    <w:p w14:paraId="42E4F8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第七十二条 因出票人签发空头支票、与其预留本名的签名式样或者印鉴不符的支票给他人造成损失的，支票的出票人和背书人应当依法承担民事责任。</w:t>
      </w:r>
    </w:p>
    <w:p w14:paraId="652276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第七十三条 人民法院在审理票据纠纷案件时，发现与本案有牵连但不属同一法律关系的票据欺诈犯罪嫌疑线索的，应当及时将犯罪嫌疑线索提供给有关公安机关，但票据纠纷案件不应因此而中止审理。</w:t>
      </w:r>
    </w:p>
    <w:p w14:paraId="761C7F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第七十四条 依据票据法第一百零四条的规定，由于金融机构工作人员在票据业务中玩忽职守，对违反票据法规定的票据予以承兑、付款、贴现或者保证，给当事人造成损失的，由该金融机构与直接责任人员依法承担连带责任。</w:t>
      </w:r>
    </w:p>
    <w:p w14:paraId="3E5BF0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第七十五条 依照票据法第一百零六条的规定，由于出票</w:t>
      </w:r>
      <w:proofErr w:type="gramStart"/>
      <w:r>
        <w:rPr>
          <w:rFonts w:ascii="宋体" w:eastAsia="宋体" w:hAnsi="宋体" w:cs="宋体" w:hint="eastAsia"/>
          <w:sz w:val="24"/>
        </w:rPr>
        <w:t>人制</w:t>
      </w:r>
      <w:proofErr w:type="gramEnd"/>
      <w:r>
        <w:rPr>
          <w:rFonts w:ascii="宋体" w:eastAsia="宋体" w:hAnsi="宋体" w:cs="宋体" w:hint="eastAsia"/>
          <w:sz w:val="24"/>
        </w:rPr>
        <w:t>作票据，或者其他票据债务人未按照法定条件在票据上签章，给他人造成损失的，除应当按照所记载事项承担票据责任外，还应当承担相应的民事责任。</w:t>
      </w:r>
    </w:p>
    <w:p w14:paraId="682D50C0"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持票人明知或者应当知道前款情形而接受的，可以适当减轻出票人或者票据债务人的责任。</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lastRenderedPageBreak/>
        <w:tab/>
      </w:r>
      <w:r>
        <w:rPr>
          <w:rFonts w:ascii="宋体" w:eastAsia="宋体" w:hAnsi="宋体" w:cs="宋体" w:hint="eastAsia"/>
          <w:sz w:val="24"/>
        </w:rPr>
        <w:tab/>
      </w:r>
      <w:r>
        <w:rPr>
          <w:rFonts w:ascii="宋体" w:eastAsia="宋体" w:hAnsi="宋体" w:cs="宋体" w:hint="eastAsia"/>
          <w:sz w:val="24"/>
        </w:rPr>
        <w:tab/>
      </w:r>
    </w:p>
    <w:p w14:paraId="2D7FB429"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16.《最高人民法院关于审理信用证纠纷案件若干问题的规定（2020修正）》</w:t>
      </w:r>
    </w:p>
    <w:p w14:paraId="172F5D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w:t>
      </w:r>
      <w:r>
        <w:rPr>
          <w:rFonts w:ascii="宋体" w:eastAsia="宋体" w:hAnsi="宋体" w:cs="宋体" w:hint="eastAsia"/>
          <w:sz w:val="24"/>
        </w:rPr>
        <w:tab/>
        <w:t xml:space="preserve">    文号：法释〔2020〕18号</w:t>
      </w:r>
      <w:r>
        <w:rPr>
          <w:rFonts w:ascii="宋体" w:eastAsia="宋体" w:hAnsi="宋体" w:cs="宋体" w:hint="eastAsia"/>
          <w:sz w:val="24"/>
        </w:rPr>
        <w:tab/>
      </w:r>
    </w:p>
    <w:p w14:paraId="0F2820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2005年10月24日最高人民法院审判委员会第1368次会议通过，根据2020年12月23日最高人民法院审判委员会第1823次会议通过的《最高人民法院关于修改〈最高人民法院关于破产企业国有划拨土地使用权应否列入破产财产等问题的批复〉等二十九件商事类司法解释的决定》修正）</w:t>
      </w:r>
    </w:p>
    <w:p w14:paraId="117DBD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根据《中华人民共和国民法典》《中华人民共和国涉外民事关系法律适用法》《中华人民共和国民事诉讼法》等法律，参照国际商会《跟单信用证统一惯例》等相关国际惯例，结合审判实践，就审理信用证纠纷案件的有关问题，制定本规定。</w:t>
      </w:r>
    </w:p>
    <w:p w14:paraId="1FEBBB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本规定所指的信用证纠纷案件，是指在信用证开立、通知、修改、撤销、保兑、议付、偿付等环节产生的纠纷。</w:t>
      </w:r>
    </w:p>
    <w:p w14:paraId="318459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人民法院审理信用证纠纷案件时，当事人约定适用相关国际惯例或者其他规定的，从其约定；当事人没有约定的，适用国际商会《跟单信用证统一惯例》或者其他相关国际惯例。</w:t>
      </w:r>
    </w:p>
    <w:p w14:paraId="3D5AA7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开证申请人与开证行之间因申请开立信用证而产生的欠款纠纷、委托人和受托人之间因委托开立信用证产生的纠纷、担保人为申请开立信用证或者委托开立信用证提供担保而产生的纠纷以及信用证项下融资产生的纠纷，适用本规定。</w:t>
      </w:r>
    </w:p>
    <w:p w14:paraId="59D562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因申请开立信用证而产生的欠款纠纷、委托开立信用证纠纷和因此产生的担保纠纷以及信用证项下融资产生的纠纷应当适用中华人民共和国相关法律。涉外合同当事人对法律适用另有约定的除外。</w:t>
      </w:r>
    </w:p>
    <w:p w14:paraId="6A215C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开证行在</w:t>
      </w:r>
      <w:proofErr w:type="gramStart"/>
      <w:r>
        <w:rPr>
          <w:rFonts w:ascii="宋体" w:eastAsia="宋体" w:hAnsi="宋体" w:cs="宋体" w:hint="eastAsia"/>
          <w:sz w:val="24"/>
        </w:rPr>
        <w:t>作出</w:t>
      </w:r>
      <w:proofErr w:type="gramEnd"/>
      <w:r>
        <w:rPr>
          <w:rFonts w:ascii="宋体" w:eastAsia="宋体" w:hAnsi="宋体" w:cs="宋体" w:hint="eastAsia"/>
          <w:sz w:val="24"/>
        </w:rPr>
        <w:t>付款、承兑或者履行信用证项下其他义务的承诺后，只要单据与信用证条款、单据与单据之间在表面上相符，开证</w:t>
      </w:r>
      <w:proofErr w:type="gramStart"/>
      <w:r>
        <w:rPr>
          <w:rFonts w:ascii="宋体" w:eastAsia="宋体" w:hAnsi="宋体" w:cs="宋体" w:hint="eastAsia"/>
          <w:sz w:val="24"/>
        </w:rPr>
        <w:t>行应当</w:t>
      </w:r>
      <w:proofErr w:type="gramEnd"/>
      <w:r>
        <w:rPr>
          <w:rFonts w:ascii="宋体" w:eastAsia="宋体" w:hAnsi="宋体" w:cs="宋体" w:hint="eastAsia"/>
          <w:sz w:val="24"/>
        </w:rPr>
        <w:t>履行在信用证规定的期限内付款的义务。当事人以开证申请人与受益人之间的基础交易提出抗辩的，人民法院不予支持。具有本规定第八条的情形除外。</w:t>
      </w:r>
    </w:p>
    <w:p w14:paraId="1CD572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第六条 人民法院在审理信用证纠纷案件中涉及单证审查的，应当根据当事人约定适用的相关国际惯例或者其他规定进行；当事人没有约定的，应当按照国际商会《跟单信用证统一惯例》以及国际商会确定的相关标准，认定单据与信用证条款、单据与单据之间是否在表面上相符。</w:t>
      </w:r>
    </w:p>
    <w:p w14:paraId="4392DA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信用证项下单据与信用证条款之间、单据与单据之间在表面上不完全一致，但并不导致相互之间产生歧义的，不应认定为不符点。</w:t>
      </w:r>
    </w:p>
    <w:p w14:paraId="73C799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开证行有独立审查单据的权利和义务，有权自行</w:t>
      </w:r>
      <w:proofErr w:type="gramStart"/>
      <w:r>
        <w:rPr>
          <w:rFonts w:ascii="宋体" w:eastAsia="宋体" w:hAnsi="宋体" w:cs="宋体" w:hint="eastAsia"/>
          <w:sz w:val="24"/>
        </w:rPr>
        <w:t>作出</w:t>
      </w:r>
      <w:proofErr w:type="gramEnd"/>
      <w:r>
        <w:rPr>
          <w:rFonts w:ascii="宋体" w:eastAsia="宋体" w:hAnsi="宋体" w:cs="宋体" w:hint="eastAsia"/>
          <w:sz w:val="24"/>
        </w:rPr>
        <w:t>单据与信用证条款、单据与单据之间是否在表面上相符的决定，并自行决定接受或者拒绝接受单据与信用证条款、单据与单据之间的不符点。</w:t>
      </w:r>
    </w:p>
    <w:p w14:paraId="4B59B2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开证行发现信用证项下存在不符点后，可以自行决定是否联系开证申请人接受不符点。开证申请人决定是否接受不符点，并不影响开证</w:t>
      </w:r>
      <w:proofErr w:type="gramStart"/>
      <w:r>
        <w:rPr>
          <w:rFonts w:ascii="宋体" w:eastAsia="宋体" w:hAnsi="宋体" w:cs="宋体" w:hint="eastAsia"/>
          <w:sz w:val="24"/>
        </w:rPr>
        <w:t>行最终</w:t>
      </w:r>
      <w:proofErr w:type="gramEnd"/>
      <w:r>
        <w:rPr>
          <w:rFonts w:ascii="宋体" w:eastAsia="宋体" w:hAnsi="宋体" w:cs="宋体" w:hint="eastAsia"/>
          <w:sz w:val="24"/>
        </w:rPr>
        <w:t>决定是否接受不符点。开证行和开证申请人另有约定的除外。</w:t>
      </w:r>
    </w:p>
    <w:p w14:paraId="4B32E5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开证行向受益人明确表示接受不符点的，应当承担付款责任。</w:t>
      </w:r>
    </w:p>
    <w:p w14:paraId="7A8CD6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开证</w:t>
      </w:r>
      <w:proofErr w:type="gramStart"/>
      <w:r>
        <w:rPr>
          <w:rFonts w:ascii="宋体" w:eastAsia="宋体" w:hAnsi="宋体" w:cs="宋体" w:hint="eastAsia"/>
          <w:sz w:val="24"/>
        </w:rPr>
        <w:t>行拒绝</w:t>
      </w:r>
      <w:proofErr w:type="gramEnd"/>
      <w:r>
        <w:rPr>
          <w:rFonts w:ascii="宋体" w:eastAsia="宋体" w:hAnsi="宋体" w:cs="宋体" w:hint="eastAsia"/>
          <w:sz w:val="24"/>
        </w:rPr>
        <w:t>接受不符点时，受益人以开证申请人已接受不符点为由要求开证</w:t>
      </w:r>
      <w:proofErr w:type="gramStart"/>
      <w:r>
        <w:rPr>
          <w:rFonts w:ascii="宋体" w:eastAsia="宋体" w:hAnsi="宋体" w:cs="宋体" w:hint="eastAsia"/>
          <w:sz w:val="24"/>
        </w:rPr>
        <w:t>行承担</w:t>
      </w:r>
      <w:proofErr w:type="gramEnd"/>
      <w:r>
        <w:rPr>
          <w:rFonts w:ascii="宋体" w:eastAsia="宋体" w:hAnsi="宋体" w:cs="宋体" w:hint="eastAsia"/>
          <w:sz w:val="24"/>
        </w:rPr>
        <w:t>信用证项下付款责任的，人民法院不予支持。</w:t>
      </w:r>
    </w:p>
    <w:p w14:paraId="07FE05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凡有下列情形之一的，应当认定存在信用证欺诈：</w:t>
      </w:r>
    </w:p>
    <w:p w14:paraId="3727B9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（一）受益人伪造单据或者提交记载内容虚假的单据；</w:t>
      </w:r>
    </w:p>
    <w:p w14:paraId="0A14B2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（二）受益人恶意不交付货物或者交付的货物无价值；</w:t>
      </w:r>
    </w:p>
    <w:p w14:paraId="571B7B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（三）受益人和开证申请人或者</w:t>
      </w:r>
      <w:proofErr w:type="gramStart"/>
      <w:r>
        <w:rPr>
          <w:rFonts w:ascii="宋体" w:eastAsia="宋体" w:hAnsi="宋体" w:cs="宋体" w:hint="eastAsia"/>
          <w:sz w:val="24"/>
        </w:rPr>
        <w:t>其他第三</w:t>
      </w:r>
      <w:proofErr w:type="gramEnd"/>
      <w:r>
        <w:rPr>
          <w:rFonts w:ascii="宋体" w:eastAsia="宋体" w:hAnsi="宋体" w:cs="宋体" w:hint="eastAsia"/>
          <w:sz w:val="24"/>
        </w:rPr>
        <w:t>方串通提交假单据，而没有真实的基础交易；</w:t>
      </w:r>
    </w:p>
    <w:p w14:paraId="546CE6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（四）其他进行信用证欺诈的情形。</w:t>
      </w:r>
    </w:p>
    <w:p w14:paraId="70E0C0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开证申请人、开证行或者其他利害关系人发现有本规定第八条的情形，并认为将会给其造成难以弥补的损害时，可以向有管辖权的人民法院申请中止支付信用证项下的款项。</w:t>
      </w:r>
    </w:p>
    <w:p w14:paraId="794460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人民法院认定存在信用证欺诈的，应当裁定中止支付或者判决终止</w:t>
      </w:r>
      <w:r>
        <w:rPr>
          <w:rFonts w:ascii="宋体" w:eastAsia="宋体" w:hAnsi="宋体" w:cs="宋体" w:hint="eastAsia"/>
          <w:sz w:val="24"/>
        </w:rPr>
        <w:lastRenderedPageBreak/>
        <w:t>支付信用证项下款项，但有下列情形之一的除外：</w:t>
      </w:r>
    </w:p>
    <w:p w14:paraId="4F3550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（一）开证行的指定人、授权人已按照开证行的指令善意地进行了付款；</w:t>
      </w:r>
    </w:p>
    <w:p w14:paraId="4B5B63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（二）开证行或者其指定人、授权人已对信用证项下票据善意地</w:t>
      </w:r>
      <w:proofErr w:type="gramStart"/>
      <w:r>
        <w:rPr>
          <w:rFonts w:ascii="宋体" w:eastAsia="宋体" w:hAnsi="宋体" w:cs="宋体" w:hint="eastAsia"/>
          <w:sz w:val="24"/>
        </w:rPr>
        <w:t>作出</w:t>
      </w:r>
      <w:proofErr w:type="gramEnd"/>
      <w:r>
        <w:rPr>
          <w:rFonts w:ascii="宋体" w:eastAsia="宋体" w:hAnsi="宋体" w:cs="宋体" w:hint="eastAsia"/>
          <w:sz w:val="24"/>
        </w:rPr>
        <w:t>了承兑；</w:t>
      </w:r>
    </w:p>
    <w:p w14:paraId="0C013F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（三）保兑行善意地履行了付款义务；</w:t>
      </w:r>
    </w:p>
    <w:p w14:paraId="26E597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（四）议付行善意地进行了议付。</w:t>
      </w:r>
    </w:p>
    <w:p w14:paraId="50EB5A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当事人在起诉前申请中止支付信用证项下款项符合下列条件的，人民法院应予受理：</w:t>
      </w:r>
    </w:p>
    <w:p w14:paraId="6FECFA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（一）受理申请的人民法院对该信用证纠纷案件享有管辖权；</w:t>
      </w:r>
    </w:p>
    <w:p w14:paraId="714962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（二）申请人提供的证据材料证明存在本规定第八条的情形；</w:t>
      </w:r>
    </w:p>
    <w:p w14:paraId="275F84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（三）如不采取中止支付信用证项下款项的措施，将会使申请人的合法权益受到难以弥补的损害；</w:t>
      </w:r>
    </w:p>
    <w:p w14:paraId="1669EC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（四）申请人提供了可靠、充分的担保；</w:t>
      </w:r>
    </w:p>
    <w:p w14:paraId="78A2BC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（五）不存在本规定第十条的情形。</w:t>
      </w:r>
    </w:p>
    <w:p w14:paraId="16253C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当事人在诉讼中申请中止支付信用证项下款项的，应当符合前款第（二）、（三）、（四）、（五）项规定的条件。</w:t>
      </w:r>
    </w:p>
    <w:p w14:paraId="2D9C81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人民法院接受中止支付信用证项下款项申请后，必须在四十八小时内</w:t>
      </w:r>
      <w:proofErr w:type="gramStart"/>
      <w:r>
        <w:rPr>
          <w:rFonts w:ascii="宋体" w:eastAsia="宋体" w:hAnsi="宋体" w:cs="宋体" w:hint="eastAsia"/>
          <w:sz w:val="24"/>
        </w:rPr>
        <w:t>作出</w:t>
      </w:r>
      <w:proofErr w:type="gramEnd"/>
      <w:r>
        <w:rPr>
          <w:rFonts w:ascii="宋体" w:eastAsia="宋体" w:hAnsi="宋体" w:cs="宋体" w:hint="eastAsia"/>
          <w:sz w:val="24"/>
        </w:rPr>
        <w:t>裁定；裁定中止支付的，应当立即开始执行。</w:t>
      </w:r>
    </w:p>
    <w:p w14:paraId="682A03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w:t>
      </w:r>
      <w:proofErr w:type="gramStart"/>
      <w:r>
        <w:rPr>
          <w:rFonts w:ascii="宋体" w:eastAsia="宋体" w:hAnsi="宋体" w:cs="宋体" w:hint="eastAsia"/>
          <w:sz w:val="24"/>
        </w:rPr>
        <w:t>作出</w:t>
      </w:r>
      <w:proofErr w:type="gramEnd"/>
      <w:r>
        <w:rPr>
          <w:rFonts w:ascii="宋体" w:eastAsia="宋体" w:hAnsi="宋体" w:cs="宋体" w:hint="eastAsia"/>
          <w:sz w:val="24"/>
        </w:rPr>
        <w:t>中止支付信用证项下款项的裁定，应当列明申请人、被申请人和第三人。</w:t>
      </w:r>
    </w:p>
    <w:p w14:paraId="2EE3AE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当事人对人民法院</w:t>
      </w:r>
      <w:proofErr w:type="gramStart"/>
      <w:r>
        <w:rPr>
          <w:rFonts w:ascii="宋体" w:eastAsia="宋体" w:hAnsi="宋体" w:cs="宋体" w:hint="eastAsia"/>
          <w:sz w:val="24"/>
        </w:rPr>
        <w:t>作出</w:t>
      </w:r>
      <w:proofErr w:type="gramEnd"/>
      <w:r>
        <w:rPr>
          <w:rFonts w:ascii="宋体" w:eastAsia="宋体" w:hAnsi="宋体" w:cs="宋体" w:hint="eastAsia"/>
          <w:sz w:val="24"/>
        </w:rPr>
        <w:t>中止支付信用证项下款项的裁定有异议的，可以在裁定书送达之日起十日内向上一级人民法院申请复议。上一级人民法院应当自收到复议申请之日起十日内</w:t>
      </w:r>
      <w:proofErr w:type="gramStart"/>
      <w:r>
        <w:rPr>
          <w:rFonts w:ascii="宋体" w:eastAsia="宋体" w:hAnsi="宋体" w:cs="宋体" w:hint="eastAsia"/>
          <w:sz w:val="24"/>
        </w:rPr>
        <w:t>作出</w:t>
      </w:r>
      <w:proofErr w:type="gramEnd"/>
      <w:r>
        <w:rPr>
          <w:rFonts w:ascii="宋体" w:eastAsia="宋体" w:hAnsi="宋体" w:cs="宋体" w:hint="eastAsia"/>
          <w:sz w:val="24"/>
        </w:rPr>
        <w:t>裁定。</w:t>
      </w:r>
    </w:p>
    <w:p w14:paraId="6FB87C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复议期间，不停止原裁定的执行。</w:t>
      </w:r>
    </w:p>
    <w:p w14:paraId="138FEB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人民法院在审理信用证欺诈案件过程中，必要时可以将信用证纠</w:t>
      </w:r>
      <w:r>
        <w:rPr>
          <w:rFonts w:ascii="宋体" w:eastAsia="宋体" w:hAnsi="宋体" w:cs="宋体" w:hint="eastAsia"/>
          <w:sz w:val="24"/>
        </w:rPr>
        <w:lastRenderedPageBreak/>
        <w:t>纷与基础交易纠纷一并审理。</w:t>
      </w:r>
    </w:p>
    <w:p w14:paraId="135977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当事人以基础交易欺诈为由起诉的，可以将与案件有关的开证行、议付行或者其他信用证法律关系的利害关系人列为第三人；第三人可以申请参加诉讼，人民法院也可以通知第三人参加诉讼。</w:t>
      </w:r>
    </w:p>
    <w:p w14:paraId="6A4E06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人民法院通过实体审理，认定构成信用证欺诈并且不存在本规定第十条的情形的，应当判决终止支付信用证项下的款项。</w:t>
      </w:r>
    </w:p>
    <w:p w14:paraId="4E5814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保证人以开证行或者开证申请人接受不符点未征得其同意为由请求免除保证责任的，人民法院不予支持。保证合同另有约定的除外。</w:t>
      </w:r>
    </w:p>
    <w:p w14:paraId="24061B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开证申请人与开证行对信用证进行修改未征得保证人同意的，保证人只在原保证合同约定的或者法律规定的期间和范围内承担保证责任。保证合同另有约定的除外。</w:t>
      </w:r>
    </w:p>
    <w:p w14:paraId="19684275"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第十八条 本规定自2006年1月1日起施行。</w:t>
      </w:r>
      <w:r>
        <w:rPr>
          <w:rFonts w:ascii="宋体" w:eastAsia="宋体" w:hAnsi="宋体" w:cs="宋体" w:hint="eastAsia"/>
          <w:sz w:val="24"/>
        </w:rPr>
        <w:tab/>
      </w:r>
      <w:r>
        <w:rPr>
          <w:rFonts w:ascii="宋体" w:eastAsia="宋体" w:hAnsi="宋体" w:cs="宋体" w:hint="eastAsia"/>
          <w:sz w:val="24"/>
        </w:rPr>
        <w:tab/>
      </w:r>
    </w:p>
    <w:p w14:paraId="4FCA536D"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17.《最高人民法院关于审理买卖合同纠纷案件适用法律问题的解释（2020修正）》</w:t>
      </w:r>
    </w:p>
    <w:p w14:paraId="1FEF5D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w:t>
      </w:r>
      <w:r>
        <w:rPr>
          <w:rFonts w:ascii="宋体" w:eastAsia="宋体" w:hAnsi="宋体" w:cs="宋体" w:hint="eastAsia"/>
          <w:sz w:val="24"/>
        </w:rPr>
        <w:tab/>
        <w:t xml:space="preserve">     文号：法释〔2020〕17号</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3CD0CC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为正确审理买卖合同纠纷案件，根据《中华人民共和国民法典》《中华人民共和国民事诉讼法》等法律的规定，结合审判实践，制定本解释。</w:t>
      </w:r>
    </w:p>
    <w:p w14:paraId="315481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一、买卖合同的成立</w:t>
      </w:r>
    </w:p>
    <w:p w14:paraId="11ECFD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当事人之间没有书面合同，一方以送货单、收货单、结算单、发票等主张存在买卖合同关系的，人民法院应当结合当事人之间的交易方式、交易习惯以及其他相关证据，对买卖合同是否成立</w:t>
      </w:r>
      <w:proofErr w:type="gramStart"/>
      <w:r>
        <w:rPr>
          <w:rFonts w:ascii="宋体" w:eastAsia="宋体" w:hAnsi="宋体" w:cs="宋体" w:hint="eastAsia"/>
          <w:sz w:val="24"/>
        </w:rPr>
        <w:t>作出</w:t>
      </w:r>
      <w:proofErr w:type="gramEnd"/>
      <w:r>
        <w:rPr>
          <w:rFonts w:ascii="宋体" w:eastAsia="宋体" w:hAnsi="宋体" w:cs="宋体" w:hint="eastAsia"/>
          <w:sz w:val="24"/>
        </w:rPr>
        <w:t>认定。</w:t>
      </w:r>
    </w:p>
    <w:p w14:paraId="4BCAF8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对账确认函、债权确认书等函件、凭证没有记载债权人名称，买卖合同当事人一方以此证明存在买卖合同关系的，人民法院应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持，但有相反证据足以推翻的除外。</w:t>
      </w:r>
    </w:p>
    <w:p w14:paraId="44B03A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二、标的物交付和所有权转移</w:t>
      </w:r>
    </w:p>
    <w:p w14:paraId="37BF86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标的物为无需以有形载体交付的电子信息产品，当事人对交付方式约定不明确，且依照民法典第五百一十条的规定仍不能确定的，买受人收到约定的电子信息产品或者权利凭证即为交付。</w:t>
      </w:r>
    </w:p>
    <w:p w14:paraId="49A245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根据民法典第六百二十九条的规定，买受人拒绝接收多交部分标的物的，可以代为保管多交部分标的物。买受人主张出卖人负担代为保管期间的合理费用的，人民法院应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715D9F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买受人主张出卖人承担代为</w:t>
      </w:r>
      <w:proofErr w:type="gramStart"/>
      <w:r>
        <w:rPr>
          <w:rFonts w:ascii="宋体" w:eastAsia="宋体" w:hAnsi="宋体" w:cs="宋体" w:hint="eastAsia"/>
          <w:sz w:val="24"/>
        </w:rPr>
        <w:t>保管期间非因</w:t>
      </w:r>
      <w:proofErr w:type="gramEnd"/>
      <w:r>
        <w:rPr>
          <w:rFonts w:ascii="宋体" w:eastAsia="宋体" w:hAnsi="宋体" w:cs="宋体" w:hint="eastAsia"/>
          <w:sz w:val="24"/>
        </w:rPr>
        <w:t>买受人故意或者重大过失造成的损失的，人民法院应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2FAC53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民法典第五百九十九条规定的“提取标的物单证以外的有关单证和资料”，主要应当包括保险单、保修单、普通发票、增值税专用发票、产品合格证、质量保证书、质量鉴定书、品质检验证书、产品进出口检疫书、原产地证明书、使用说明书、装箱单等。</w:t>
      </w:r>
    </w:p>
    <w:p w14:paraId="0100A7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出卖人仅以增值税专用发票及税款抵扣资料证明其已履行交付标的</w:t>
      </w:r>
      <w:r>
        <w:rPr>
          <w:rFonts w:ascii="宋体" w:eastAsia="宋体" w:hAnsi="宋体" w:cs="宋体" w:hint="eastAsia"/>
          <w:sz w:val="24"/>
        </w:rPr>
        <w:lastRenderedPageBreak/>
        <w:t>物义务，买受人不认可的，出卖人应当提供其他证据证明交付标的物的事实。</w:t>
      </w:r>
    </w:p>
    <w:p w14:paraId="112555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合同约定或者当事人之间习惯以普通发票作为付款凭证，买受人以普通发票证明已经履行付款义务的，人民法院应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持，但有相反证据足以推翻的除外。</w:t>
      </w:r>
    </w:p>
    <w:p w14:paraId="60425E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出卖人就同一普通动产订立多重买卖合同，在买卖合同均有效的情况下，买</w:t>
      </w:r>
      <w:proofErr w:type="gramStart"/>
      <w:r>
        <w:rPr>
          <w:rFonts w:ascii="宋体" w:eastAsia="宋体" w:hAnsi="宋体" w:cs="宋体" w:hint="eastAsia"/>
          <w:sz w:val="24"/>
        </w:rPr>
        <w:t>受人均</w:t>
      </w:r>
      <w:proofErr w:type="gramEnd"/>
      <w:r>
        <w:rPr>
          <w:rFonts w:ascii="宋体" w:eastAsia="宋体" w:hAnsi="宋体" w:cs="宋体" w:hint="eastAsia"/>
          <w:sz w:val="24"/>
        </w:rPr>
        <w:t>要求实际履行合同的，应当按照以下情形分别处理：</w:t>
      </w:r>
    </w:p>
    <w:p w14:paraId="6D34B7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（一）先行受领交付的买受人请求确认所有权已经转移的，人民法院应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1A74EC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（二）均未受领交付，先行支付价款的买受人请求出卖人履行交付标的物等合同义务的，人民法院应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12B074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（三）均未受领交付，也未支付价款，依法成立在先合同的买受人请求出卖人履行交付标的物等合同义务的，人民法院应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167F34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出卖人就同一船舶、航空器、机动车等特殊动产订立多重买卖合同，在买卖合同均有效的情况下，买</w:t>
      </w:r>
      <w:proofErr w:type="gramStart"/>
      <w:r>
        <w:rPr>
          <w:rFonts w:ascii="宋体" w:eastAsia="宋体" w:hAnsi="宋体" w:cs="宋体" w:hint="eastAsia"/>
          <w:sz w:val="24"/>
        </w:rPr>
        <w:t>受人均</w:t>
      </w:r>
      <w:proofErr w:type="gramEnd"/>
      <w:r>
        <w:rPr>
          <w:rFonts w:ascii="宋体" w:eastAsia="宋体" w:hAnsi="宋体" w:cs="宋体" w:hint="eastAsia"/>
          <w:sz w:val="24"/>
        </w:rPr>
        <w:t>要求实际履行合同的，应当按照以下情形分别处理：</w:t>
      </w:r>
    </w:p>
    <w:p w14:paraId="291478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（一）先行受领交付的买受人请求出卖人履行办理所有权转移登记手续等合同义务的，人民法院应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116A89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（二）均未受领交付，先行办理所有权转移登记手续的买受人请求出卖人履行交付标的物等合同义务的，人民法院应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3F3305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（三）均未受领交付，也未办理所有权转移登记手续，依法成立在先合同的买受人请求出卖人履行交付标的物和办理所有权转移登记手续等合同义务的，人民法院应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237569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（四）出卖人将标的物交付给买受人之一，又为</w:t>
      </w:r>
      <w:proofErr w:type="gramStart"/>
      <w:r>
        <w:rPr>
          <w:rFonts w:ascii="宋体" w:eastAsia="宋体" w:hAnsi="宋体" w:cs="宋体" w:hint="eastAsia"/>
          <w:sz w:val="24"/>
        </w:rPr>
        <w:t>其他买</w:t>
      </w:r>
      <w:proofErr w:type="gramEnd"/>
      <w:r>
        <w:rPr>
          <w:rFonts w:ascii="宋体" w:eastAsia="宋体" w:hAnsi="宋体" w:cs="宋体" w:hint="eastAsia"/>
          <w:sz w:val="24"/>
        </w:rPr>
        <w:t>受人办理所有权转移登记，已受领交付的买受人请求将标的物所有权登记在自己名下的，人民法院应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6A702C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三、标的</w:t>
      </w:r>
      <w:proofErr w:type="gramStart"/>
      <w:r>
        <w:rPr>
          <w:rFonts w:ascii="宋体" w:eastAsia="宋体" w:hAnsi="宋体" w:cs="宋体" w:hint="eastAsia"/>
          <w:sz w:val="24"/>
        </w:rPr>
        <w:t>物风险</w:t>
      </w:r>
      <w:proofErr w:type="gramEnd"/>
      <w:r>
        <w:rPr>
          <w:rFonts w:ascii="宋体" w:eastAsia="宋体" w:hAnsi="宋体" w:cs="宋体" w:hint="eastAsia"/>
          <w:sz w:val="24"/>
        </w:rPr>
        <w:t>负担</w:t>
      </w:r>
    </w:p>
    <w:p w14:paraId="6C6D2A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第八条 民法典第六百零三条第二款第一项规定的“标的物需要运输的”，是指标的物由出卖人负责办理托运，承运人系独立于买卖合同当事人之外的运输业者的情形。标的物毁损、灭失的风险负担，按照民法典第六百零七条第二款的规定处理。</w:t>
      </w:r>
    </w:p>
    <w:p w14:paraId="32FACC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出卖人根据合同约定将标的物运送至买受人指定地点并交付给承运人后，标的物毁损、灭失的风险由买受人负担，但当事人另有约定的除外。</w:t>
      </w:r>
    </w:p>
    <w:p w14:paraId="5A869F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出卖人出卖交由承运人运输的在途标的物，在合同成立时知道或者应当知道标的物已经毁损、灭失却未告知买受人，买受人主张出卖人负担标的物毁损、灭失的风险的，人民法院应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7993A7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当事人对风险负担没有约定，标的物为种类物，出卖人未以装运单据、加盖标记、通知买受人等可识别的方式清楚地将标的物特定于买卖合同，买受人主张不负担标的物毁损、灭失的风险的，人民法院应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3092A1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四、标的物检验</w:t>
      </w:r>
    </w:p>
    <w:p w14:paraId="04591F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人民法院具体认定民法典第六百二十一条第二款规定的“合理期限”时，应当综合当事人之间的交易性质、交易目的、交易方式、交易习惯、标的物的种类、数量、性质、安装和使用情况、瑕疵的性质、买受人应尽的合理注意义务、检验方法和难易程度、买受人或者检验人所处的具体环境、自身技能以及其他合理因素，依据诚实信用原则进行判断。</w:t>
      </w:r>
    </w:p>
    <w:p w14:paraId="6A0F38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民法典第六百二十一条第二款规定的“二年”是最长的合理期限。该期限为不变期间，不适用诉讼时效中止、中断或者延长的规定。</w:t>
      </w:r>
    </w:p>
    <w:p w14:paraId="650016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买受人在合理期限内提出异议，出卖人以买受人已经支付价款、确认欠款数额、使用标的物等为由，主张买受人放弃异议的，人民法院不予支持，但当事人另有约定的除外。</w:t>
      </w:r>
    </w:p>
    <w:p w14:paraId="4F77B1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民法典第六百二十一条规定的检验期限、合理期限、二年期限经过后，买受人主张标的物的数量或者质量不符合约定的，人民法院不予支持。</w:t>
      </w:r>
    </w:p>
    <w:p w14:paraId="3DE185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出卖人自愿承担违约责任后，又以上述期限经过为由翻悔的，人民法院不予</w:t>
      </w:r>
      <w:r>
        <w:rPr>
          <w:rFonts w:ascii="宋体" w:eastAsia="宋体" w:hAnsi="宋体" w:cs="宋体" w:hint="eastAsia"/>
          <w:sz w:val="24"/>
        </w:rPr>
        <w:lastRenderedPageBreak/>
        <w:t>支持。</w:t>
      </w:r>
    </w:p>
    <w:p w14:paraId="0FC929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五、违约责任</w:t>
      </w:r>
    </w:p>
    <w:p w14:paraId="334056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买受人依约保留部分价款作为质量保证金，出卖人在质量保证期未及时解决质量问题而影响标的物的价值或者使用效果，出卖人主张支付该部分价款的，人民法院不予支持。</w:t>
      </w:r>
    </w:p>
    <w:p w14:paraId="465600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买受人在检验期限、质量保证期、合理期限内提出质量异议，出卖人未按要求予以修理或者因情况紧急，买受人自行或者通过第三人修理标的物后，主张出卖人负担因此发生的合理费用的，人民法院应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6C5D16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标的物质量不符合约定，买受人依照民法典第五百八十二条的规定要求减少价款的，人民法院应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持。当事人主张以符合约定的标的物和实际交付的标的物按交付时的市场价值计算差价的，人民法院应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4A39A4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价款已经支付，买受人主张返还减价后多出部分价款的，人民法院应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2067F0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买卖合同对付款期限</w:t>
      </w:r>
      <w:proofErr w:type="gramStart"/>
      <w:r>
        <w:rPr>
          <w:rFonts w:ascii="宋体" w:eastAsia="宋体" w:hAnsi="宋体" w:cs="宋体" w:hint="eastAsia"/>
          <w:sz w:val="24"/>
        </w:rPr>
        <w:t>作出</w:t>
      </w:r>
      <w:proofErr w:type="gramEnd"/>
      <w:r>
        <w:rPr>
          <w:rFonts w:ascii="宋体" w:eastAsia="宋体" w:hAnsi="宋体" w:cs="宋体" w:hint="eastAsia"/>
          <w:sz w:val="24"/>
        </w:rPr>
        <w:t>的变更，不影响当事人关于逾期付款违约金的约定，但该违约金的起算</w:t>
      </w:r>
      <w:proofErr w:type="gramStart"/>
      <w:r>
        <w:rPr>
          <w:rFonts w:ascii="宋体" w:eastAsia="宋体" w:hAnsi="宋体" w:cs="宋体" w:hint="eastAsia"/>
          <w:sz w:val="24"/>
        </w:rPr>
        <w:t>点应当</w:t>
      </w:r>
      <w:proofErr w:type="gramEnd"/>
      <w:r>
        <w:rPr>
          <w:rFonts w:ascii="宋体" w:eastAsia="宋体" w:hAnsi="宋体" w:cs="宋体" w:hint="eastAsia"/>
          <w:sz w:val="24"/>
        </w:rPr>
        <w:t>随之变更。</w:t>
      </w:r>
    </w:p>
    <w:p w14:paraId="4E91AF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买卖合同约定逾期付款违约金，买受人以出卖人接受价款时未主张逾期付款违约金为由拒绝支付该违约金的，人民法院不予支持。</w:t>
      </w:r>
    </w:p>
    <w:p w14:paraId="45FA22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买卖合同约定逾期付款违约金，但对账单、还款协议等未涉及逾期付款责任，出卖人根据对账单、还款协议等主张欠款时请求买受人依约支付逾期付款违约金的，人民法院应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持，但对账单、还款协议等明确载有本金及逾期付款利息数额或者已经变更买卖合同中关于本金、利息等约定内容的除外。</w:t>
      </w:r>
    </w:p>
    <w:p w14:paraId="280471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买卖合同没有约定逾期付款违约金或者该违约金的计算方法，出卖人以买受人违约为由主张赔偿逾期付款损失，违约行为发生在2019年8月19日之前的，人民法院可以中国人民银行同期同类人民币贷款基准利率为基础，参照逾期罚</w:t>
      </w:r>
      <w:proofErr w:type="gramStart"/>
      <w:r>
        <w:rPr>
          <w:rFonts w:ascii="宋体" w:eastAsia="宋体" w:hAnsi="宋体" w:cs="宋体" w:hint="eastAsia"/>
          <w:sz w:val="24"/>
        </w:rPr>
        <w:t>息利率</w:t>
      </w:r>
      <w:proofErr w:type="gramEnd"/>
      <w:r>
        <w:rPr>
          <w:rFonts w:ascii="宋体" w:eastAsia="宋体" w:hAnsi="宋体" w:cs="宋体" w:hint="eastAsia"/>
          <w:sz w:val="24"/>
        </w:rPr>
        <w:t>标准计算；违约行为发生在2019年8月20日之后的，人民法院可以违约行为发生时中国人民银行授权全国银行间同业拆借中心公布的一年</w:t>
      </w:r>
      <w:proofErr w:type="gramStart"/>
      <w:r>
        <w:rPr>
          <w:rFonts w:ascii="宋体" w:eastAsia="宋体" w:hAnsi="宋体" w:cs="宋体" w:hint="eastAsia"/>
          <w:sz w:val="24"/>
        </w:rPr>
        <w:t>期贷款市场</w:t>
      </w:r>
      <w:proofErr w:type="gramEnd"/>
      <w:r>
        <w:rPr>
          <w:rFonts w:ascii="宋体" w:eastAsia="宋体" w:hAnsi="宋体" w:cs="宋体" w:hint="eastAsia"/>
          <w:sz w:val="24"/>
        </w:rPr>
        <w:t>报价利率（LPR）标准为基础，加计30—50%计算逾期付款损失。</w:t>
      </w:r>
    </w:p>
    <w:p w14:paraId="4D7E16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第十九条 出卖人没有履行或者</w:t>
      </w:r>
      <w:proofErr w:type="gramStart"/>
      <w:r>
        <w:rPr>
          <w:rFonts w:ascii="宋体" w:eastAsia="宋体" w:hAnsi="宋体" w:cs="宋体" w:hint="eastAsia"/>
          <w:sz w:val="24"/>
        </w:rPr>
        <w:t>不当履行</w:t>
      </w:r>
      <w:proofErr w:type="gramEnd"/>
      <w:r>
        <w:rPr>
          <w:rFonts w:ascii="宋体" w:eastAsia="宋体" w:hAnsi="宋体" w:cs="宋体" w:hint="eastAsia"/>
          <w:sz w:val="24"/>
        </w:rPr>
        <w:t>从给付义务，致使买受人不能实现合同目的，买受人主张解除合同的，人民法院应当根据民法典第五百六十三条第一款第四项的规定，予以支持。</w:t>
      </w:r>
    </w:p>
    <w:p w14:paraId="79309B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买卖合同因违约而解除后，守约方主张继续适用违约金条款的，人民法院应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持；但约定的违约金过分高于造成的损失的，人民法院可以参照民法典第五百八十五条第二款的规定处理。</w:t>
      </w:r>
    </w:p>
    <w:p w14:paraId="58CE9B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买卖合同当事人一方以对方违约为由主张支付违约金，对方以合同不成立、合同未生效、合同无效或者不构成违约等为由进行免责抗辩而未主张调整过高的违约金的，人民法院应当就法院若不支持免责抗辩，当事人是否需要主张调整违约金进行释明。</w:t>
      </w:r>
    </w:p>
    <w:p w14:paraId="092A59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一审法院认为免责抗辩成立且未予释明，二审法院认为应当判决支付违约金的，可以直接释明并改判。</w:t>
      </w:r>
    </w:p>
    <w:p w14:paraId="38BA8D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买卖合同当事人一方违约造成对方损失，对方主张赔偿可得利益损失的，人民法院在确定违约责任范围时，应当根据当事人的主张，依据民法典第五百八十四条、第五百九十一条、第五百九十二条、本解释第二十三条等规定进行认定。</w:t>
      </w:r>
    </w:p>
    <w:p w14:paraId="67D63D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买卖合同当事人一方因对方违约而获有利益，违约方主张从损失赔偿额中扣除该部分利益的，人民法院应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20FAD1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买受人在缔约时知道或者应当知道标的物质量存在瑕疵，主张出卖人承担瑕疵担保责任的，人民法院不予支持，但买受人在缔约时不知道该瑕疵会导致标的物的基本效用显著降低的除外。</w:t>
      </w:r>
    </w:p>
    <w:p w14:paraId="514A82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六、所有权保留</w:t>
      </w:r>
    </w:p>
    <w:p w14:paraId="3278CD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买卖合同当事人主张民法典第六百四十一条关于标的物所有权保留的规定适用于不动产的，人民法院不予支持。</w:t>
      </w:r>
    </w:p>
    <w:p w14:paraId="5F7866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买受人已经支付标的物总价款的百分之七十五以上，出卖人主张取回标的物的，人民法院不予支持。</w:t>
      </w:r>
    </w:p>
    <w:p w14:paraId="28EE18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在民法典第六百四十二条第一款第三项情形下，第三人依据民法典第三百一十一条的规定已经善意取得标的物所有权或者其他物权，出卖人主张取回标的物的，人民法院不予支持。</w:t>
      </w:r>
    </w:p>
    <w:p w14:paraId="513340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七、特种买卖</w:t>
      </w:r>
    </w:p>
    <w:p w14:paraId="364196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民法典第六百三十四条第一款规定的“分期付款”，系指买受人将应付的总价款在一定期限内至少分三次向出卖人支付。</w:t>
      </w:r>
    </w:p>
    <w:p w14:paraId="0D37AE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分期付款买卖合同的约定违反民法典第六百三十四条第一款的规定，损害买受人利益，买受人主张该约定无效的，人民法院应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2C39C3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分期付款买卖合同约定出卖人在解除合同时可以扣留已受领价金，出卖人扣留的金额超过标的物使用费以及标的物受损赔偿额，买受人请求返还超过部分的，人民法院应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3F0B9F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当事人对标的物的使用费没有约定的，人民法院可以参照当地同类标的物的租金标准确定。</w:t>
      </w:r>
    </w:p>
    <w:p w14:paraId="3BE500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合同约定的样品质量与文字说明不一致且发生纠纷时当事人不能达成合意，样品封存后外观和内在品质没有发生变化的，人民法院应当以样品为准；外观和内在品质发生变化，或者当事人对是否发生变化有争议而又无法查明的，人民法院应当以文字说明为准。</w:t>
      </w:r>
    </w:p>
    <w:p w14:paraId="5B5C47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买卖合同存在下列约定内容之一的，不属于试用买卖。买受人主张属于试用买卖的，人民法院不予支持：</w:t>
      </w:r>
    </w:p>
    <w:p w14:paraId="7E4259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（一）约定标的物经过试用或者检验符合一定要求时，买受人应当购买标的物；</w:t>
      </w:r>
    </w:p>
    <w:p w14:paraId="525E2A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（二）约定第三人经试验对标的物认可时，买受人应当购买标的物；</w:t>
      </w:r>
    </w:p>
    <w:p w14:paraId="0183CE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（三）约定买受人在一定期限内可以调换标的物；</w:t>
      </w:r>
    </w:p>
    <w:p w14:paraId="388643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（四）约定买受人在一定期限内可以退还标的物。</w:t>
      </w:r>
    </w:p>
    <w:p w14:paraId="11E54F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八、其他问题</w:t>
      </w:r>
    </w:p>
    <w:p w14:paraId="253214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第三十一条 出卖人履行交付义务后诉请买受人支付价款，买受人以出卖人违约在先为由提出异议的，人民法院应当按照下列情况分别处理：</w:t>
      </w:r>
    </w:p>
    <w:p w14:paraId="0D496D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（一）买受人拒绝支付违约金、拒绝赔偿损失或者主张出卖人应当采取减少价款等补救措施的，属于提出抗辩；</w:t>
      </w:r>
    </w:p>
    <w:p w14:paraId="55075D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（二）买受人主张出卖人应支付违约金、赔偿损失或者要求解除合同的，应当提起反诉。</w:t>
      </w:r>
    </w:p>
    <w:p w14:paraId="16999D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法律或者行政法规对债权转让、股权转让等权利转让合同有规定的，依照其规定；没有规定的，人民法院可以根据民法典第四百六十七条和第六百四十六条的规定，参照适用买卖合同的有关规定。</w:t>
      </w:r>
    </w:p>
    <w:p w14:paraId="1E34BB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权利转让或者其他有偿合同参照适用买卖合同的有关规定的，人民法院应当首先引用民法典第六百四十六条的规定，再引用买卖合同的有关规定。</w:t>
      </w:r>
    </w:p>
    <w:p w14:paraId="681AB0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本解释施行前本院发布的有关购销合同、销售合同等有偿转移标的物所有权的合同的规定，与本解释抵触的，自本解释施行之日起不再适用。</w:t>
      </w:r>
    </w:p>
    <w:p w14:paraId="62F858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本解释施行后尚未终审的买卖合同纠纷案件，适用本解释；本解释施行前已经终审，当事人申请再审或者按照审判监督程序决定再审的，不适用本解释。</w:t>
      </w:r>
    </w:p>
    <w:p w14:paraId="6C70B1C8"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3A613A2C"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18.《最高人民法院关于审理期货纠纷案件若干问题的规定(二)(2020修正）》</w:t>
      </w:r>
    </w:p>
    <w:p w14:paraId="3F016E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                     文号：法释〔2020〕18号</w:t>
      </w:r>
    </w:p>
    <w:p w14:paraId="35062B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2010年12月27日最高人民法院审判委员会第1507次会议通过，根据2020年12月23日最高人民法院审判委员会第1823次会议通过的《最高人民法院关于修改〈最高人民法院关于破产企业国有划拨土地使用权应否列入破产财产等问题的批复〉等二十九件商事类司法解释的决定》修正）</w:t>
      </w:r>
    </w:p>
    <w:p w14:paraId="48C103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为解决相关期货纠纷案件的管辖、保全与执行等法律适用问题，根据《中华人民共和国民事诉讼法》等有关法律、行政法规的规定以及审判实践的需要，制定本规定。</w:t>
      </w:r>
    </w:p>
    <w:p w14:paraId="2FA2ED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以期货交易所为被告或者第三人的因期货交易所履行职责引起的商事案件，由期货交易所所在地的中级人民法院管辖。</w:t>
      </w:r>
    </w:p>
    <w:p w14:paraId="188F43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期货交易所履行职责引起的商事案件是指：</w:t>
      </w:r>
    </w:p>
    <w:p w14:paraId="4B22C5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期货交易所会员及其相关人员、保证金存管银行及其相关人员、客户、其他期货市场参与者，以期货交易所违反法律法规以及国务院期货监督管理机构的规定，履行监督管理职责不当，造成其损害为由提起的商事诉讼案件；</w:t>
      </w:r>
    </w:p>
    <w:p w14:paraId="10012C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期货交易所会员及其相关人员、保证金存管银行及其相关人员、客户、其他期货市场参与者，以期货交易所违反其章程、交易规则、实施细则的规定以及业务协议的约定，履行监督管理职责不当，造成其损害为由提起的商事诉讼案件；</w:t>
      </w:r>
    </w:p>
    <w:p w14:paraId="1818F8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（三）期货交易所因履行职责引起的其他商事诉讼案件。</w:t>
      </w:r>
    </w:p>
    <w:p w14:paraId="10F85C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期货交易所为债务人，债权人请求冻结、划拨以下账户中资金或者有价证券的，人民法院不予支持：</w:t>
      </w:r>
    </w:p>
    <w:p w14:paraId="230A55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（一）期货交易所会员在期货交易所保证金账户中的资金；</w:t>
      </w:r>
    </w:p>
    <w:p w14:paraId="5E824B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（二）期货交易所会员向期货交易所提交的用于充抵保证金的有价证券。</w:t>
      </w:r>
    </w:p>
    <w:p w14:paraId="479D69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期货公司为债务人，债权人请求冻结、划拨以下账户中资金或者有</w:t>
      </w:r>
      <w:r>
        <w:rPr>
          <w:rFonts w:ascii="宋体" w:eastAsia="宋体" w:hAnsi="宋体" w:cs="宋体" w:hint="eastAsia"/>
          <w:sz w:val="24"/>
        </w:rPr>
        <w:lastRenderedPageBreak/>
        <w:t>价证券的，人民法院不予支持：</w:t>
      </w:r>
    </w:p>
    <w:p w14:paraId="7CD271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（一）客户在期货公司保证金账户中的资金；</w:t>
      </w:r>
    </w:p>
    <w:p w14:paraId="30470A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（二）客户向期货公司提交的用于充抵保证金的有价证券。</w:t>
      </w:r>
    </w:p>
    <w:p w14:paraId="3071C0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实行会员分级结算制度的期货交易所的结算会员为债务人，债权人请求冻结、划拨结算会员以下资金或者有价证券的，人民法院不予支持：</w:t>
      </w:r>
    </w:p>
    <w:p w14:paraId="16E762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（一）非结算会员在结算会员保证金账户中的资金；</w:t>
      </w:r>
    </w:p>
    <w:p w14:paraId="45BCCF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（二）非结算会员向结算会员提交的用于充抵保证金的有价证券。</w:t>
      </w:r>
    </w:p>
    <w:p w14:paraId="776BB3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有证据证明保证金账户中有超过上述第三条、第四条、第五条规定的资金或者有价证券部分权益的，期货交易所、期货公司或者期货交易所结算会员在人民法院指定的合理期限内不能提出相反证据的，人民法院可以依法冻结、划拨超出部分的资金或者有价证券。</w:t>
      </w:r>
    </w:p>
    <w:p w14:paraId="79E035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有证据证明期货交易所、期货公司、期货交易所结算会员自有资金与保证金发生混同，期货交易所、期货公司或者期货交易所结算会员在人民法院指定的合理期限内不能提出相反证据的，人民法院可以依法冻结、划拨相关账户内的资金或者有价证券。</w:t>
      </w:r>
    </w:p>
    <w:p w14:paraId="296C62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实行会员分级结算制度的期货交易所或者其结算会员为债务人，债权人请求冻结、划拨期货交易所向其结算会员依法收取的结算担保金的，人民法院不予支持。</w:t>
      </w:r>
    </w:p>
    <w:p w14:paraId="3E14D5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有证据证明结算会员在结算担保金专用账户中有超过交易所要求的结算担保金数额部分的，结算会员在人民法院指定的合理期限内不能提出相反证据的，人民法院可以依法冻结、划拨超出部分的资金。</w:t>
      </w:r>
    </w:p>
    <w:p w14:paraId="405A53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人民法院在办理案件过程中，依法需要通过期货交易所、期货公司查询、冻结、划拨资金或者有价证券的，期货交易所、期货公司应当予以协助。应当协助而拒不协助的，按照《中华人民共和国民事诉讼法》第一百一十四条之规定办理。</w:t>
      </w:r>
    </w:p>
    <w:p w14:paraId="644D49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本规定施行前已经受理的上述案件不再移送。</w:t>
      </w:r>
    </w:p>
    <w:p w14:paraId="03F90578"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lastRenderedPageBreak/>
        <w:t>第十条 本规定施行前本院</w:t>
      </w:r>
      <w:proofErr w:type="gramStart"/>
      <w:r>
        <w:rPr>
          <w:rFonts w:ascii="宋体" w:eastAsia="宋体" w:hAnsi="宋体" w:cs="宋体" w:hint="eastAsia"/>
          <w:sz w:val="24"/>
        </w:rPr>
        <w:t>作出</w:t>
      </w:r>
      <w:proofErr w:type="gramEnd"/>
      <w:r>
        <w:rPr>
          <w:rFonts w:ascii="宋体" w:eastAsia="宋体" w:hAnsi="宋体" w:cs="宋体" w:hint="eastAsia"/>
          <w:sz w:val="24"/>
        </w:rPr>
        <w:t>的有关司法解释与本规定不一致的，以本规定为准。</w:t>
      </w:r>
    </w:p>
    <w:p w14:paraId="03537C7A"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19.《最高人民法院关于审理侵犯专利权纠纷案件应用法律若干问题的解释（二）》</w:t>
      </w:r>
    </w:p>
    <w:p w14:paraId="34DB0A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      文号：法释〔2020〕19号</w:t>
      </w:r>
    </w:p>
    <w:p w14:paraId="522B8A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2016年1月25日最高人民法院审判委员会第1676次会议通过，根据2020年12月23日最高人民法院审判委员会第1823次会议通过的《最高人民法院关于修改〈最高人民法院关于审理侵犯专利权纠纷案件应用法律若干问题的解释（二）〉等十八件知识产权类司法解释的决定》修正）</w:t>
      </w:r>
    </w:p>
    <w:p w14:paraId="6B63D9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为正确审理侵犯专利权纠纷案件，根据《中华人民共和国民法典》《中华人民共和国专利法》《中华人民共和国民事诉讼法》等有关法律规定，结合审判实践，制定本解释。</w:t>
      </w:r>
    </w:p>
    <w:p w14:paraId="709131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权利要求书有两项以上权利要求的，权利人应当在起诉状中载明据以起诉被诉侵权人侵犯其专利权的权利要求。起诉状对此未记载或者记载不明的，人民法院应当要求权利人明确。经释明，权利人仍不予明确的，人民法院可以裁定驳回起诉。</w:t>
      </w:r>
    </w:p>
    <w:p w14:paraId="0D372E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权利人在专利侵权诉讼中主张的权利要求被国务院专利行政部门宣告无效的，审理侵犯专利权纠纷案件的人民法院可以裁定驳回权利人基于该无效权利要求的起诉。</w:t>
      </w:r>
    </w:p>
    <w:p w14:paraId="190910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有证据证明宣告上述权利要求无效的决定被生效的行政判决撤销的，权利人可以另行起诉。</w:t>
      </w:r>
    </w:p>
    <w:p w14:paraId="0BD0CA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专利权人另行起诉的，诉讼时效期间从本条第二款所称行政判决书送达之日起计算。</w:t>
      </w:r>
    </w:p>
    <w:p w14:paraId="63F5B0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因明显违反专利法第二十六条第三款、第四款导致说明书无法用于解释权利要求，且不属于本解释第四条规定的情形，专利权因此被请求宣告无效的，审理侵犯专利权纠纷案件的人民法院一般应当裁定中止诉讼；在合理期限内专利权未被请求宣告无效的，人民法院可以根据权利要求的记载确定专利权的保护范围。</w:t>
      </w:r>
    </w:p>
    <w:p w14:paraId="636EA5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第四条 权利要求书、说明书及附图中的语法、文字、标点、图形、符号等存有歧义，但本领域普通技术人员通过阅读权利要求书、说明书及附图可以得出唯一理解的，人民法院应当根据</w:t>
      </w:r>
      <w:proofErr w:type="gramStart"/>
      <w:r>
        <w:rPr>
          <w:rFonts w:ascii="宋体" w:eastAsia="宋体" w:hAnsi="宋体" w:cs="宋体" w:hint="eastAsia"/>
          <w:sz w:val="24"/>
        </w:rPr>
        <w:t>该唯一</w:t>
      </w:r>
      <w:proofErr w:type="gramEnd"/>
      <w:r>
        <w:rPr>
          <w:rFonts w:ascii="宋体" w:eastAsia="宋体" w:hAnsi="宋体" w:cs="宋体" w:hint="eastAsia"/>
          <w:sz w:val="24"/>
        </w:rPr>
        <w:t>理解予以认定。</w:t>
      </w:r>
    </w:p>
    <w:p w14:paraId="26BCF4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在人民法院确定专利权的保护范围时，独立权利要求的前序部分、特征部分以及从属权利要求的引用部分、限定部分记载的技术特征均有限定作用。</w:t>
      </w:r>
    </w:p>
    <w:p w14:paraId="39FCA3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人民法院可以运用与涉案专利存在分案申请关系的其他专利及其专利审查档案、生效的专利授权确权裁判文书解释涉案专利的权利要求。</w:t>
      </w:r>
    </w:p>
    <w:p w14:paraId="2C2785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专利审查档案，包括专利审查、复审、无效程序中专利申请人或者专利权人提交的书面材料，国务院专利行政部门制作的审查意见通知书、会晤记录、口头审理记录、生效的专利复审请求审查决定书和专利权无效宣告请求审查决定书等。</w:t>
      </w:r>
    </w:p>
    <w:p w14:paraId="03485A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被诉侵权技术方案在包含封闭式组合物权利要求全部技术特征的基础上增加其他技术特征的，人民法院应当认定被诉侵权技术方案未落入专利权的保护范围，但该增加的技术特征属于不可避免的常规数量杂质的除外。</w:t>
      </w:r>
    </w:p>
    <w:p w14:paraId="09C62A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前款所称封闭式组合物权利要求，一般不包括中药组合物权利要求。</w:t>
      </w:r>
    </w:p>
    <w:p w14:paraId="1254F2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功能性特征，是指对于结构、组分、步骤、条件或</w:t>
      </w:r>
      <w:proofErr w:type="gramStart"/>
      <w:r>
        <w:rPr>
          <w:rFonts w:ascii="宋体" w:eastAsia="宋体" w:hAnsi="宋体" w:cs="宋体" w:hint="eastAsia"/>
          <w:sz w:val="24"/>
        </w:rPr>
        <w:t>其之间</w:t>
      </w:r>
      <w:proofErr w:type="gramEnd"/>
      <w:r>
        <w:rPr>
          <w:rFonts w:ascii="宋体" w:eastAsia="宋体" w:hAnsi="宋体" w:cs="宋体" w:hint="eastAsia"/>
          <w:sz w:val="24"/>
        </w:rPr>
        <w:t>的关系等，通过其在发明创造中所起的功能或者效果进行限定的技术特征，但本领域普通技术人员仅通过阅读权利要求即可直接、明确地确定实现上述功能或者效果的具体实施方式的除外。</w:t>
      </w:r>
    </w:p>
    <w:p w14:paraId="5FD5F4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与说明书及附图记载的实现前款所称功能或者效果不可缺少的技术特征相比，被诉侵权技术方案的相应技术特征是以基本相同的手段，实现相同的功能，达到相同的效果，且本领域普通技术人员在被诉侵权行为发生时无需经过创造性劳动就能够联想到的，人民法院应当认定该相应技术特征与功能性特征相同或者等同。</w:t>
      </w:r>
    </w:p>
    <w:p w14:paraId="2E02D7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被诉侵权技术方案不能适用于权利要求中使用环境特征所限定的使用环境的，人民法院应当认定被诉侵权技术方案未落入专利权的保护范围。</w:t>
      </w:r>
    </w:p>
    <w:p w14:paraId="3E1660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对于权利要求中以制备方法界定产品的技术特征，被诉侵权产品的</w:t>
      </w:r>
      <w:r>
        <w:rPr>
          <w:rFonts w:ascii="宋体" w:eastAsia="宋体" w:hAnsi="宋体" w:cs="宋体" w:hint="eastAsia"/>
          <w:sz w:val="24"/>
        </w:rPr>
        <w:lastRenderedPageBreak/>
        <w:t>制备方法与其不相同也不等同的，人民法院应当认定被诉侵权技术方案未落入专利权的保护范围。</w:t>
      </w:r>
    </w:p>
    <w:p w14:paraId="7B7C21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方法权利要求未明确记载技术步骤的先后顺序，但本领域普通技术人员阅读权利要求书、说明书及附图后直接、明确地认为该技术步骤应当按照特定顺序实施的，人民法院应当认定该步骤顺序对于专利权的保护范围具有限定作用。</w:t>
      </w:r>
    </w:p>
    <w:p w14:paraId="641E61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权利要求采用“至少”“不超过”等用语对数值特征进行界定，且本领域普通技术人员阅读权利要求书、说明书及附图后认为专利技术方案特别强调该用语对技术特征的限定作用，权利人主张与其不相同的数值特征属于等同特征的，人民法院不予支持。</w:t>
      </w:r>
    </w:p>
    <w:p w14:paraId="7C9DAC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权利人证明专利申请人、专利权人在专利授权确权程序中对权利要求书、说明书及附图</w:t>
      </w:r>
      <w:proofErr w:type="gramStart"/>
      <w:r>
        <w:rPr>
          <w:rFonts w:ascii="宋体" w:eastAsia="宋体" w:hAnsi="宋体" w:cs="宋体" w:hint="eastAsia"/>
          <w:sz w:val="24"/>
        </w:rPr>
        <w:t>的限缩性</w:t>
      </w:r>
      <w:proofErr w:type="gramEnd"/>
      <w:r>
        <w:rPr>
          <w:rFonts w:ascii="宋体" w:eastAsia="宋体" w:hAnsi="宋体" w:cs="宋体" w:hint="eastAsia"/>
          <w:sz w:val="24"/>
        </w:rPr>
        <w:t>修改或者陈述被明确否定的，人民法院应当认定该修改或者陈述未导致技术方案的放弃。</w:t>
      </w:r>
    </w:p>
    <w:p w14:paraId="47F78F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人民法院在认定一般消费者对于外观设计所具有的知识水平和认知能力时，一般应当考虑被诉侵权行为发生时授权外观设计所属相同或者相近种类产品的设计空间。设计空间较大的，人民法院可以认定一般消费者通常不容易注意到不同设计之间的较小区别；设计空间较小的，人民法院可以认定一般消费者通常更容易注意到不同设计之间的较小区别。</w:t>
      </w:r>
    </w:p>
    <w:p w14:paraId="7F580C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对于成套产品的外观设计专利，被诉侵权设计与其一项外观设计相同或者近似的，人民法院应当认定被诉侵权设计落入专利权的保护范围。</w:t>
      </w:r>
    </w:p>
    <w:p w14:paraId="6FEA08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对于组装关系唯一的组件产品的外观设计专利，被诉侵权设计与其组合状态下的外观设计相同或者近似的，人民法院应当认定被诉侵权设计落入专利权的保护范围。</w:t>
      </w:r>
    </w:p>
    <w:p w14:paraId="005812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对于各构件之间无组装关系或者组装关系</w:t>
      </w:r>
      <w:proofErr w:type="gramStart"/>
      <w:r>
        <w:rPr>
          <w:rFonts w:ascii="宋体" w:eastAsia="宋体" w:hAnsi="宋体" w:cs="宋体" w:hint="eastAsia"/>
          <w:sz w:val="24"/>
        </w:rPr>
        <w:t>不</w:t>
      </w:r>
      <w:proofErr w:type="gramEnd"/>
      <w:r>
        <w:rPr>
          <w:rFonts w:ascii="宋体" w:eastAsia="宋体" w:hAnsi="宋体" w:cs="宋体" w:hint="eastAsia"/>
          <w:sz w:val="24"/>
        </w:rPr>
        <w:t>唯一的组件产品的外观设计专利，被诉侵权设计与其全部单个构件的外观设计均相同或者近似的，人民法院应当认定被诉侵权设计落入专利权的保护范围；被诉侵权设计缺少其单个构件的外观设计或者与之不相同也不近似的，人民法院应当认定被诉侵权设计未落入专利</w:t>
      </w:r>
      <w:r>
        <w:rPr>
          <w:rFonts w:ascii="宋体" w:eastAsia="宋体" w:hAnsi="宋体" w:cs="宋体" w:hint="eastAsia"/>
          <w:sz w:val="24"/>
        </w:rPr>
        <w:lastRenderedPageBreak/>
        <w:t>权的保护范围。</w:t>
      </w:r>
    </w:p>
    <w:p w14:paraId="4DD122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对于变化状态产品的外观设计专利，被诉侵权设计与变化状态图所示各种使用状态下的外观设计均相同或者近似的，人民法院应当认定被诉侵权设计落入专利权的保护范围；被诉侵权设计缺少其一种使用状态下的外观设计或者与之不相同也不近似的，人民法院应当认定被诉侵权设计未落入专利权的保护范围。</w:t>
      </w:r>
    </w:p>
    <w:p w14:paraId="6B2691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权利人依据专利法第十三条诉请在发明专利申请公布日至授权公告日期间实施该发明的单位或者个人支付适当费用的，人民法院可以参照有关专利许可使用费合理确定。</w:t>
      </w:r>
    </w:p>
    <w:p w14:paraId="41A018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发明专利申请公布时申请人请求保护的范围与发明专利公告授权时的专利权保护范围不一致，被</w:t>
      </w:r>
      <w:proofErr w:type="gramStart"/>
      <w:r>
        <w:rPr>
          <w:rFonts w:ascii="宋体" w:eastAsia="宋体" w:hAnsi="宋体" w:cs="宋体" w:hint="eastAsia"/>
          <w:sz w:val="24"/>
        </w:rPr>
        <w:t>诉技术</w:t>
      </w:r>
      <w:proofErr w:type="gramEnd"/>
      <w:r>
        <w:rPr>
          <w:rFonts w:ascii="宋体" w:eastAsia="宋体" w:hAnsi="宋体" w:cs="宋体" w:hint="eastAsia"/>
          <w:sz w:val="24"/>
        </w:rPr>
        <w:t>方案均落入上述两种范围的，人民法院应当认定被告在前款所称期间内实施了该发明；被</w:t>
      </w:r>
      <w:proofErr w:type="gramStart"/>
      <w:r>
        <w:rPr>
          <w:rFonts w:ascii="宋体" w:eastAsia="宋体" w:hAnsi="宋体" w:cs="宋体" w:hint="eastAsia"/>
          <w:sz w:val="24"/>
        </w:rPr>
        <w:t>诉技术</w:t>
      </w:r>
      <w:proofErr w:type="gramEnd"/>
      <w:r>
        <w:rPr>
          <w:rFonts w:ascii="宋体" w:eastAsia="宋体" w:hAnsi="宋体" w:cs="宋体" w:hint="eastAsia"/>
          <w:sz w:val="24"/>
        </w:rPr>
        <w:t>方案仅落入其中一种范围的，人民法院应当认定被告在前款所称期间内未实施该发明。</w:t>
      </w:r>
    </w:p>
    <w:p w14:paraId="35E439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明专利公告授权后，未经专利权人许可，为生产经营目的使用、许诺销售、销售在本条第一款所称期间内已由他人制造、销售、进口的产品，且该他人已支付或者书面承诺支付专利法第十三条规定的适当费用的，对于权利人关于上述使用、许诺销售、销售行为侵犯专利权的主张，人民法院不予支持。</w:t>
      </w:r>
    </w:p>
    <w:p w14:paraId="0F7A0D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产品买卖合同依法成立的，人民法院应当认定属于专利法第十一条规定的销售。</w:t>
      </w:r>
    </w:p>
    <w:p w14:paraId="58767A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对于将依照专利方法直接获得的产品进一步加工、处理而获得的后续产品，进行再加工、处理的，人民法院应当认定不属于专利法第十一条规定的“使用依照该专利方法直接获得的产品”。</w:t>
      </w:r>
    </w:p>
    <w:p w14:paraId="544261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明知有关产品系专门用于实施专利的材料、设备、零部件、中间物等，未经专利权人许可，为生产经营目的将该产品提供给他人实施了侵犯专利权的行为，权利人主张该提供者的行为属于民法典第一千一百六十九条规定的帮助他人实施侵权行为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119D08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明知有关产品、方法被授予专利权，未经专利权人许可，为生产经营目的积</w:t>
      </w:r>
      <w:r>
        <w:rPr>
          <w:rFonts w:ascii="宋体" w:eastAsia="宋体" w:hAnsi="宋体" w:cs="宋体" w:hint="eastAsia"/>
          <w:sz w:val="24"/>
        </w:rPr>
        <w:lastRenderedPageBreak/>
        <w:t>极诱导他人实施了侵犯专利权的行为，权利人主张该诱导者的行为属于民法典第一千一百六十九条规定的教唆他人实施侵权行为的，人民法院应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506070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对于被诉侵权人主张的现有技术抗辩或者现有设计抗辩，人民法院应当依照专利申请日时施行的专利法界定现有技术或者现有设计。</w:t>
      </w:r>
    </w:p>
    <w:p w14:paraId="1EBDA7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被诉侵权技术方案或者外观设计落入在先的涉案专利权的保护范围，被诉侵权人以其技术方案或者外观设计被授予专利权为由抗辩不侵犯涉案专利权的，人民法院不予支持。</w:t>
      </w:r>
    </w:p>
    <w:p w14:paraId="6CC24D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推荐性国家、行业或者地方标准明示所涉必要专利的信息，被诉侵权人以实施该标准无需专利权人许可为由抗辩不侵犯该专利权的，人民法院一般不予支持。</w:t>
      </w:r>
    </w:p>
    <w:p w14:paraId="751E22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推荐性国家、行业或者地方标准明示所涉必要专利的信息，专利权人、被诉侵权人协商该专利的实施许可条件时，专利权人故意违反其在标准制定中承诺的公平、合理、无歧视的许可义务，导致无法达成专利实施许可合同，且被诉侵权人在协商中无明显过错的，对于权利人请求停止标准实施行为的主张，人民法院一般不予支持。</w:t>
      </w:r>
    </w:p>
    <w:p w14:paraId="201B9A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第二款所称实施许可条件，应当由专利权人、被诉侵权人协商确定。经充分协商，仍无法达成一致的，可以请求人民法院确定。人民法院在确定上述实施许可条件时，应当根据公平、合理、无歧视的原则，综合考虑专利的创新程度及其在标准中的作用、标准所属的技术领域、标准的性质、标准实施的范围和相关的许可条件等因素。</w:t>
      </w:r>
    </w:p>
    <w:p w14:paraId="5DFE02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法律、行政法规对实施标准中的专利另有规定的，从其规定。</w:t>
      </w:r>
    </w:p>
    <w:p w14:paraId="74A780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为生产经营目的使用、许诺销售或者销售不知道是未经专利权人许可而制造并售出的专利侵权产品，且举证证明该产品合法来源的，对于权利人请求停止上述使用、许诺销售、销售行为的主张，人民法院应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持，但被诉侵权产品的使用者举证证明其已支付该产品的合理对价的除外。</w:t>
      </w:r>
    </w:p>
    <w:p w14:paraId="590BA2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本条第一款所称不知道，是指实际不知道且不应当知道。</w:t>
      </w:r>
    </w:p>
    <w:p w14:paraId="2E6604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本条第一款所称合法来源，是指通过合法的销售渠道、通常的买卖合同等正常商业方式取得产品。对于合法来源，使用者、许诺销售者或者销售者应当提供符合交易习惯的相关证据。</w:t>
      </w:r>
    </w:p>
    <w:p w14:paraId="1AD339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被告构成对专利权的侵犯，权利人请求判令其停止侵权行为的，人民法院应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持，但基于国家利益、公共利益的</w:t>
      </w:r>
      <w:proofErr w:type="gramStart"/>
      <w:r>
        <w:rPr>
          <w:rFonts w:ascii="宋体" w:eastAsia="宋体" w:hAnsi="宋体" w:cs="宋体" w:hint="eastAsia"/>
          <w:sz w:val="24"/>
        </w:rPr>
        <w:t>考量</w:t>
      </w:r>
      <w:proofErr w:type="gramEnd"/>
      <w:r>
        <w:rPr>
          <w:rFonts w:ascii="宋体" w:eastAsia="宋体" w:hAnsi="宋体" w:cs="宋体" w:hint="eastAsia"/>
          <w:sz w:val="24"/>
        </w:rPr>
        <w:t>，人民法院可以</w:t>
      </w:r>
      <w:proofErr w:type="gramStart"/>
      <w:r>
        <w:rPr>
          <w:rFonts w:ascii="宋体" w:eastAsia="宋体" w:hAnsi="宋体" w:cs="宋体" w:hint="eastAsia"/>
          <w:sz w:val="24"/>
        </w:rPr>
        <w:t>不</w:t>
      </w:r>
      <w:proofErr w:type="gramEnd"/>
      <w:r>
        <w:rPr>
          <w:rFonts w:ascii="宋体" w:eastAsia="宋体" w:hAnsi="宋体" w:cs="宋体" w:hint="eastAsia"/>
          <w:sz w:val="24"/>
        </w:rPr>
        <w:t>判令被告停止被诉行为，而判令其支付相应的合理费用。</w:t>
      </w:r>
    </w:p>
    <w:p w14:paraId="345CC3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权利人因被侵权所受到的实际损失难以确定的，人民法院应当依照专利法第六十五条第一款的规定，要求权利人对侵权人因侵权所获得的利益进行举证；在权利人已经提供侵权人所获利益的初步证据，而与专利侵权行为相关的账簿、资料主要由侵权人掌握的情况下，人民法院可以责令侵权人提供该账簿、资料；侵权人无正当理由拒不提供或者提供虚假的账簿、资料的，人民法院可以根据权利人的主张和提供的证据认定侵权人因侵权所获得的利益。</w:t>
      </w:r>
    </w:p>
    <w:p w14:paraId="65D3BC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权利人、侵权人依法约定专利侵权的赔偿数额或者赔偿计算方法，并在专利侵权诉讼中主张依据该约定确定赔偿数额的，人民法院应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06F616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宣告专利权无效的决定</w:t>
      </w:r>
      <w:proofErr w:type="gramStart"/>
      <w:r>
        <w:rPr>
          <w:rFonts w:ascii="宋体" w:eastAsia="宋体" w:hAnsi="宋体" w:cs="宋体" w:hint="eastAsia"/>
          <w:sz w:val="24"/>
        </w:rPr>
        <w:t>作出</w:t>
      </w:r>
      <w:proofErr w:type="gramEnd"/>
      <w:r>
        <w:rPr>
          <w:rFonts w:ascii="宋体" w:eastAsia="宋体" w:hAnsi="宋体" w:cs="宋体" w:hint="eastAsia"/>
          <w:sz w:val="24"/>
        </w:rPr>
        <w:t>后，当事人根据该决定依法申请再审，请求撤销专利权无效宣告前人民法院</w:t>
      </w:r>
      <w:proofErr w:type="gramStart"/>
      <w:r>
        <w:rPr>
          <w:rFonts w:ascii="宋体" w:eastAsia="宋体" w:hAnsi="宋体" w:cs="宋体" w:hint="eastAsia"/>
          <w:sz w:val="24"/>
        </w:rPr>
        <w:t>作出</w:t>
      </w:r>
      <w:proofErr w:type="gramEnd"/>
      <w:r>
        <w:rPr>
          <w:rFonts w:ascii="宋体" w:eastAsia="宋体" w:hAnsi="宋体" w:cs="宋体" w:hint="eastAsia"/>
          <w:sz w:val="24"/>
        </w:rPr>
        <w:t>但未执行的专利侵权的判决、调解书的，人民法院可以裁定中止再审审查，并中止原判决、调解书的执行。</w:t>
      </w:r>
    </w:p>
    <w:p w14:paraId="29C89C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专利权人向人民法院提供充分、有效的担保，请求继续执行前款所称判决、调解书的，人民法院应当继续执行；侵权人向人民法院提供充分、有效的反担保，请求中止执行的，人民法院应当准许。人民法院生效裁判未撤销宣告专利权无效的决定的，专利权人应当赔偿因继续执行给对方造成的损失；宣告专利权无效的决定被人民法院生效裁判撤销，专利权仍有效的，人民法院可以依据前款所称判决、调解书直接执行上述反担保财产。</w:t>
      </w:r>
    </w:p>
    <w:p w14:paraId="102919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在法定期限内对宣告专利权无效的决定不向人民法院起诉或者起诉后生效裁判未撤销该决定，当事人根据该决定依法申请再审，请求撤销宣告专利权无效前人民法院</w:t>
      </w:r>
      <w:proofErr w:type="gramStart"/>
      <w:r>
        <w:rPr>
          <w:rFonts w:ascii="宋体" w:eastAsia="宋体" w:hAnsi="宋体" w:cs="宋体" w:hint="eastAsia"/>
          <w:sz w:val="24"/>
        </w:rPr>
        <w:t>作出</w:t>
      </w:r>
      <w:proofErr w:type="gramEnd"/>
      <w:r>
        <w:rPr>
          <w:rFonts w:ascii="宋体" w:eastAsia="宋体" w:hAnsi="宋体" w:cs="宋体" w:hint="eastAsia"/>
          <w:sz w:val="24"/>
        </w:rPr>
        <w:t>但未执行的专利侵权的判决、调解书的，人民法院应当再审。当事人根据该决定，依法申请终结执行宣告专利权无效前人民法院</w:t>
      </w:r>
      <w:proofErr w:type="gramStart"/>
      <w:r>
        <w:rPr>
          <w:rFonts w:ascii="宋体" w:eastAsia="宋体" w:hAnsi="宋体" w:cs="宋体" w:hint="eastAsia"/>
          <w:sz w:val="24"/>
        </w:rPr>
        <w:t>作出</w:t>
      </w:r>
      <w:proofErr w:type="gramEnd"/>
      <w:r>
        <w:rPr>
          <w:rFonts w:ascii="宋体" w:eastAsia="宋体" w:hAnsi="宋体" w:cs="宋体" w:hint="eastAsia"/>
          <w:sz w:val="24"/>
        </w:rPr>
        <w:t>但</w:t>
      </w:r>
      <w:r>
        <w:rPr>
          <w:rFonts w:ascii="宋体" w:eastAsia="宋体" w:hAnsi="宋体" w:cs="宋体" w:hint="eastAsia"/>
          <w:sz w:val="24"/>
        </w:rPr>
        <w:lastRenderedPageBreak/>
        <w:t>未执行的专利侵权的判决、调解书的，人民法院应当裁定终结执行。</w:t>
      </w:r>
    </w:p>
    <w:p w14:paraId="13CF50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本</w:t>
      </w:r>
      <w:proofErr w:type="gramStart"/>
      <w:r>
        <w:rPr>
          <w:rFonts w:ascii="宋体" w:eastAsia="宋体" w:hAnsi="宋体" w:cs="宋体" w:hint="eastAsia"/>
          <w:sz w:val="24"/>
        </w:rPr>
        <w:t>解释自</w:t>
      </w:r>
      <w:proofErr w:type="gramEnd"/>
      <w:r>
        <w:rPr>
          <w:rFonts w:ascii="宋体" w:eastAsia="宋体" w:hAnsi="宋体" w:cs="宋体" w:hint="eastAsia"/>
          <w:sz w:val="24"/>
        </w:rPr>
        <w:t>2016年4月1日起施行。最高人民法院以前发布的相关司法解释与本解释不一致的，以本解释为准。</w:t>
      </w:r>
    </w:p>
    <w:p w14:paraId="13437025"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1D31EBD9"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20.《最高人民法院关于审理因垄断行为引发的民事纠纷案件应用法律若干问题的规定（2020修正）》</w:t>
      </w:r>
    </w:p>
    <w:p w14:paraId="1F31A4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       文号：法释〔2020〕19号</w:t>
      </w:r>
    </w:p>
    <w:p w14:paraId="4E7AAC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2012年1月30日由最高人民法院审判委员会第1539次会议通过，根据2020年12月23日最高人民法院审判委员会第1823次会议通过的《最高人民法院关于修改〈最高人民法院关于审理侵犯专利权纠纷案件应用法律若干问题的解释（二）〉等十八件知识产权类司法解释的决定》修正）</w:t>
      </w:r>
    </w:p>
    <w:p w14:paraId="5346A5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正确审理因垄断行为引发的民事纠纷案件，制止垄断行为，保护和促进市场公平竞争，维护消费者利益和社会公共利益，根据《中华人民共和国民法典》《中华人民共和国反垄断法》和《中华人民共和国民事诉讼法》等法律的相关规定，制定本规定。</w:t>
      </w:r>
    </w:p>
    <w:p w14:paraId="58566B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本规定所称因垄断行为引发的民事纠纷案件（以下简称垄断民事纠纷案件），是指因垄断行为受到损失以及因合同内容、行业协会的章程等违反</w:t>
      </w:r>
      <w:proofErr w:type="gramStart"/>
      <w:r>
        <w:rPr>
          <w:rFonts w:ascii="宋体" w:eastAsia="宋体" w:hAnsi="宋体" w:cs="宋体" w:hint="eastAsia"/>
          <w:sz w:val="24"/>
        </w:rPr>
        <w:t>反</w:t>
      </w:r>
      <w:proofErr w:type="gramEnd"/>
      <w:r>
        <w:rPr>
          <w:rFonts w:ascii="宋体" w:eastAsia="宋体" w:hAnsi="宋体" w:cs="宋体" w:hint="eastAsia"/>
          <w:sz w:val="24"/>
        </w:rPr>
        <w:t>垄断法而发生争议的自然人、法人或者非法人组织，向人民法院提起的民事诉讼案件。</w:t>
      </w:r>
    </w:p>
    <w:p w14:paraId="066401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原告直接向人民法院提起民事诉讼，或者在反垄断执法机构认定构成垄断行为的处理决定发生法律效力后向人民法院提起民事诉讼，并符合法律规定的其他受理条件的，人民法院应当受理。</w:t>
      </w:r>
    </w:p>
    <w:p w14:paraId="459686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第一审垄断民事纠纷案件，由知识产权法院，省、自治区、直辖市人民政府所在地的市、计划单列市中级人民法院以及最高人民法院指定的中级人民法院管辖。</w:t>
      </w:r>
    </w:p>
    <w:p w14:paraId="3AC099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垄断民事纠纷案件的地域管辖，根据案件具体情况，依照民事诉讼法及相关司法解释有关侵权纠纷、合同纠纷等的管辖规定确定。</w:t>
      </w:r>
    </w:p>
    <w:p w14:paraId="09DA80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民事纠纷案件立案时的案由并非垄断纠纷，被告以原告实施了垄断行为为由提出抗辩或者反诉且有证据支持，或者案件需要依据反垄断法</w:t>
      </w:r>
      <w:proofErr w:type="gramStart"/>
      <w:r>
        <w:rPr>
          <w:rFonts w:ascii="宋体" w:eastAsia="宋体" w:hAnsi="宋体" w:cs="宋体" w:hint="eastAsia"/>
          <w:sz w:val="24"/>
        </w:rPr>
        <w:t>作出</w:t>
      </w:r>
      <w:proofErr w:type="gramEnd"/>
      <w:r>
        <w:rPr>
          <w:rFonts w:ascii="宋体" w:eastAsia="宋体" w:hAnsi="宋体" w:cs="宋体" w:hint="eastAsia"/>
          <w:sz w:val="24"/>
        </w:rPr>
        <w:t>裁判，但受诉人民法院没有垄断民事纠纷案件管辖权的，应当将案件移送有管辖权的人民法院。</w:t>
      </w:r>
    </w:p>
    <w:p w14:paraId="1E80C5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第六条 两个或者两个以上原告因同一垄断行为向有管辖权的同一法院分别提起诉讼的，人民法院可以合并审理。</w:t>
      </w:r>
    </w:p>
    <w:p w14:paraId="4D3618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两个或者两个以上原告因同一垄断行为向有管辖权的不同法院分别提起诉讼的，后立案的法院在得知有关法院先立案的情况后，应当在七日内裁定将案件移送先立案的法院；受移送的法院可以合并审理。被告应当在答辩阶段主动向受诉人民法院提供其因同一行为在其他法院涉诉的相关信息。</w:t>
      </w:r>
    </w:p>
    <w:p w14:paraId="2F68D6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被诉垄断行为属于反垄断法第十三条第一款第一项至第五项规定的垄断协议的，被告应对该协议不具有排除、限制竞争的效果承担举证责任。</w:t>
      </w:r>
    </w:p>
    <w:p w14:paraId="63F263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被诉垄断行为属于反垄断法第十七条第一款规定的滥用市场支配地位的，原告应当对被告在相关市场内具有支配地位和其滥用市场支配地位承担举证责任。</w:t>
      </w:r>
    </w:p>
    <w:p w14:paraId="64F228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被告以其行为具有正当性为由进行抗辩的，应当承担举证责任。</w:t>
      </w:r>
    </w:p>
    <w:p w14:paraId="38F6E6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被诉垄断行为属于公用企业或者其他依法具有独占地位的经营者滥用市场支配地位的，人民法院可以根据市场结构和竞争状况的具体情况，认定被告在相关市场内具有支配地位，但有相反证据足以推翻的除外。</w:t>
      </w:r>
    </w:p>
    <w:p w14:paraId="72FB07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原告可以以被告对外发布的信息作为证明其具有市场支配地位的证据。被告对外发布的信息能够证明其在相关市场内具有支配地位的，人民法院可以据此</w:t>
      </w:r>
      <w:proofErr w:type="gramStart"/>
      <w:r>
        <w:rPr>
          <w:rFonts w:ascii="宋体" w:eastAsia="宋体" w:hAnsi="宋体" w:cs="宋体" w:hint="eastAsia"/>
          <w:sz w:val="24"/>
        </w:rPr>
        <w:t>作出</w:t>
      </w:r>
      <w:proofErr w:type="gramEnd"/>
      <w:r>
        <w:rPr>
          <w:rFonts w:ascii="宋体" w:eastAsia="宋体" w:hAnsi="宋体" w:cs="宋体" w:hint="eastAsia"/>
          <w:sz w:val="24"/>
        </w:rPr>
        <w:t>认定，但有相反证据足以推翻的除外。</w:t>
      </w:r>
    </w:p>
    <w:p w14:paraId="236374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证据涉及国家秘密、商业秘密、个人隐私或者其他依法应当保密的内容的，人民法院可以依职权或者当事人的申请采取不公开开庭、限制或者禁止复制、仅对代理律师展示、责令签署保密承诺书等保护措施。</w:t>
      </w:r>
    </w:p>
    <w:p w14:paraId="3972C9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当事人可以向人民法院申请一至二名具有相应专门知识的人员出庭，就案件的专门性问题进行说明。</w:t>
      </w:r>
    </w:p>
    <w:p w14:paraId="0399DD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当事人可以向人民法院申请委托专业机构或者专业人员就案件的专门性问题</w:t>
      </w:r>
      <w:proofErr w:type="gramStart"/>
      <w:r>
        <w:rPr>
          <w:rFonts w:ascii="宋体" w:eastAsia="宋体" w:hAnsi="宋体" w:cs="宋体" w:hint="eastAsia"/>
          <w:sz w:val="24"/>
        </w:rPr>
        <w:t>作出</w:t>
      </w:r>
      <w:proofErr w:type="gramEnd"/>
      <w:r>
        <w:rPr>
          <w:rFonts w:ascii="宋体" w:eastAsia="宋体" w:hAnsi="宋体" w:cs="宋体" w:hint="eastAsia"/>
          <w:sz w:val="24"/>
        </w:rPr>
        <w:t>市场调查或者经济分析报告。经人民法院同意，双方当事人可以协商确定专业机构或者专业人员；协商不成的，由人民法院指定。</w:t>
      </w:r>
    </w:p>
    <w:p w14:paraId="40DA6A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人民法院可以参照民事诉讼法及相关司法解释有关鉴定意见的规定，对前款规定的市场调查或者经济分析报告进行审查判断。</w:t>
      </w:r>
    </w:p>
    <w:p w14:paraId="162EC8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被告实施垄断行为，给原告造成损失的，根据原告的诉讼请求和查明的事实，人民法院可以依法判令被告承担停止侵害、赔偿损失等民事责任。</w:t>
      </w:r>
    </w:p>
    <w:p w14:paraId="1BC04D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根据原告的请求，人民法院可以将原告因调查、制止垄断行为所支付的合理开支计入损失赔偿范围。</w:t>
      </w:r>
    </w:p>
    <w:p w14:paraId="3B741F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被</w:t>
      </w:r>
      <w:proofErr w:type="gramStart"/>
      <w:r>
        <w:rPr>
          <w:rFonts w:ascii="宋体" w:eastAsia="宋体" w:hAnsi="宋体" w:cs="宋体" w:hint="eastAsia"/>
          <w:sz w:val="24"/>
        </w:rPr>
        <w:t>诉合同</w:t>
      </w:r>
      <w:proofErr w:type="gramEnd"/>
      <w:r>
        <w:rPr>
          <w:rFonts w:ascii="宋体" w:eastAsia="宋体" w:hAnsi="宋体" w:cs="宋体" w:hint="eastAsia"/>
          <w:sz w:val="24"/>
        </w:rPr>
        <w:t>内容、行业协会的章程等违反</w:t>
      </w:r>
      <w:proofErr w:type="gramStart"/>
      <w:r>
        <w:rPr>
          <w:rFonts w:ascii="宋体" w:eastAsia="宋体" w:hAnsi="宋体" w:cs="宋体" w:hint="eastAsia"/>
          <w:sz w:val="24"/>
        </w:rPr>
        <w:t>反</w:t>
      </w:r>
      <w:proofErr w:type="gramEnd"/>
      <w:r>
        <w:rPr>
          <w:rFonts w:ascii="宋体" w:eastAsia="宋体" w:hAnsi="宋体" w:cs="宋体" w:hint="eastAsia"/>
          <w:sz w:val="24"/>
        </w:rPr>
        <w:t>垄断</w:t>
      </w:r>
      <w:proofErr w:type="gramStart"/>
      <w:r>
        <w:rPr>
          <w:rFonts w:ascii="宋体" w:eastAsia="宋体" w:hAnsi="宋体" w:cs="宋体" w:hint="eastAsia"/>
          <w:sz w:val="24"/>
        </w:rPr>
        <w:t>法或者</w:t>
      </w:r>
      <w:proofErr w:type="gramEnd"/>
      <w:r>
        <w:rPr>
          <w:rFonts w:ascii="宋体" w:eastAsia="宋体" w:hAnsi="宋体" w:cs="宋体" w:hint="eastAsia"/>
          <w:sz w:val="24"/>
        </w:rPr>
        <w:t>其他法律、行政法规的强制性规定的，人民法院应当依法认定其无效。但是，该强制性规定</w:t>
      </w:r>
      <w:proofErr w:type="gramStart"/>
      <w:r>
        <w:rPr>
          <w:rFonts w:ascii="宋体" w:eastAsia="宋体" w:hAnsi="宋体" w:cs="宋体" w:hint="eastAsia"/>
          <w:sz w:val="24"/>
        </w:rPr>
        <w:t>不</w:t>
      </w:r>
      <w:proofErr w:type="gramEnd"/>
      <w:r>
        <w:rPr>
          <w:rFonts w:ascii="宋体" w:eastAsia="宋体" w:hAnsi="宋体" w:cs="宋体" w:hint="eastAsia"/>
          <w:sz w:val="24"/>
        </w:rPr>
        <w:t>导致该民事法律行为无效的除外。</w:t>
      </w:r>
    </w:p>
    <w:p w14:paraId="70E4E1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因垄断行为产生的损害赔偿请求权诉讼时效期间，从原告知道或者应当知道权益受到损害以及义务人之日起计算。</w:t>
      </w:r>
    </w:p>
    <w:p w14:paraId="17B9F7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原告向反垄断执法机构举报被诉垄断行为的，诉讼时效从其举报之日起中断。反垄断执法机构决定不立案、撤销案件或者决定终止调查的，诉讼时效期间从原告知道或者应当知道不立案、撤销案件或者终止调查之日起重新计算。反垄断执法机构调查后认定构成垄断行为的，诉讼时效期间从原告知道或者应当知道反垄断执法机构认定构成垄断行为的处理决定发生法律效力之日起重新计算。</w:t>
      </w:r>
    </w:p>
    <w:p w14:paraId="5461CB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原告知道或者应当知道权益受到损害以及义务人之日起超过三年，如果起诉时被诉垄断行为仍然持续，被告提出诉讼时效抗辩的，损害赔偿应当自原告向人民法院起诉之日起向前推算三年计算。自权利受到损害之日起超过二十年的，人民法院不予保护，有特殊情况的，人民法院可以根据权利人的申请决定延长。</w:t>
      </w:r>
    </w:p>
    <w:p w14:paraId="46C21BCC"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1FB1497D"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21.《最高人民法院关于审理著作权民事纠纷案件适用法律若干问题的解释（2020修正）》</w:t>
      </w:r>
    </w:p>
    <w:p w14:paraId="6F5CF4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      文号：法释〔2020〕19号</w:t>
      </w:r>
    </w:p>
    <w:p w14:paraId="5C2A7B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2002年10月12日最高人民法院审判委员会第1246次会议通过,根据2020年12月23日最高人民法院审判委员会第1823次会议通过的《最高人民法院关于修改〈最高人民法院关于审理侵犯专利权纠纷案件应用法律若干问题的解释（二）〉等十八件知识产权类司法解释的决定》修正）</w:t>
      </w:r>
    </w:p>
    <w:p w14:paraId="64CF01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为了正确审理著作权民事纠纷案件，根据《中华人民共和国民法典》《中华人民共和国著作权法》《中华人民共和国民事诉讼法》等法律的规定，就适用法律若干问题解释如下：</w:t>
      </w:r>
    </w:p>
    <w:p w14:paraId="748349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人民法院受理以下著作权民事纠纷案件：</w:t>
      </w:r>
    </w:p>
    <w:p w14:paraId="6BA919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（一）著作权及与著作权有关权益权属、侵权、合同纠纷案件；</w:t>
      </w:r>
    </w:p>
    <w:p w14:paraId="514C28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（二）申请诉前停止侵害著作权、与著作权有关权益行为，申请诉前财产保全、诉前证据保全案件；</w:t>
      </w:r>
    </w:p>
    <w:p w14:paraId="71AFC2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（三）其他著作权、与著作权有关权益纠纷案件。</w:t>
      </w:r>
    </w:p>
    <w:p w14:paraId="7ECE90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著作权民事纠纷案件，由中级以上人民法院管辖。</w:t>
      </w:r>
    </w:p>
    <w:p w14:paraId="5591D3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各高级人民法院根据本辖区的实际情况，可以报请最高人民法院批准，由若干基层人民法院管辖第一审著作权民事纠纷案件。</w:t>
      </w:r>
    </w:p>
    <w:p w14:paraId="567769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对著作权行政管理部门查处的侵害著作权行为，当事人向人民法院提起诉讼追究该行为人民事责任的，人民法院应当受理。</w:t>
      </w:r>
    </w:p>
    <w:p w14:paraId="3E0E30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人民法院审理已经过著作权行政管理部门处理的侵害著作权行为的民事纠纷案件，应当对案件事实进行全面审查。</w:t>
      </w:r>
    </w:p>
    <w:p w14:paraId="417956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因侵害著作权行为提起的民事诉讼，由著作权法第四十七条 、第四十八条所规定侵权行为的实施地、侵权复制品储藏地或者查封扣押地、被告住所地人民法院管辖。</w:t>
      </w:r>
    </w:p>
    <w:p w14:paraId="67005B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前款规定的侵权复制品储藏地，是指大量或者经常性储存、隐匿侵权复制品所在地；查封扣押地，是指海关、版权等行政机关依法查封、扣押侵权复制品所在地。</w:t>
      </w:r>
    </w:p>
    <w:p w14:paraId="13D3B5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对涉及不同侵权行为实施地的多个被告提起的共同诉讼，原告可以选择向其中一个被告的侵权行为实施地人民法院提起诉讼；仅对其中某一被告提起的诉讼，该被告侵权行为实施地的人民法院有管辖权。</w:t>
      </w:r>
    </w:p>
    <w:p w14:paraId="3BDA08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依法成立的著作权集体管理组织，根据著作权人的书面授权，以自己的名义提起诉讼，人民法院应当受理。</w:t>
      </w:r>
    </w:p>
    <w:p w14:paraId="367903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当事人提供的涉及著作权的底稿、原件、合法出版物、著作权登记证书、认证机构出具的证明、取得权利的合同等，可以作为证据。</w:t>
      </w:r>
    </w:p>
    <w:p w14:paraId="5B97DF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在作品或者制品上署名的自然人、法人或者非法人组织视为著作权、与著作权有关权益的权利人，但有相反证明的除外。</w:t>
      </w:r>
    </w:p>
    <w:p w14:paraId="6C6FCE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当事人自行或者委托他人以定购、现场交易等方式购买侵权复制品而取得的实物、发票等，可以作为证据。</w:t>
      </w:r>
    </w:p>
    <w:p w14:paraId="184C01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公证人员在未向涉嫌侵权的一方当事人表明身份的情况下，如实对另一方当事人按照前款规定的方式取得的证据和取证过程出具的公证书，应当作为证据使用，但有相反证据的除外。</w:t>
      </w:r>
    </w:p>
    <w:p w14:paraId="36CF40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著作权法第十条第（一）项规定的“公之于众”，是指著作权人自行或者经著作权人许可将作品向不特定的人公开，但不以公众知晓为构成条件。</w:t>
      </w:r>
    </w:p>
    <w:p w14:paraId="47F316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著作权法第十五条第二款所指的作品，著作权人是自然人的，其保护期适用著作权法第二十一条第一款的规定；著作权人是法人或非法人组织的，其保护期适用著作权法第二十一条第二款的规定。</w:t>
      </w:r>
    </w:p>
    <w:p w14:paraId="53BAF0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因作品署名顺序发生的纠纷，人民法院按照下列原则处理：有约定的按约定确定署名顺序；没有约定的，可以按照创作作品付出的劳动、作品排列、作者姓氏笔画等确定署名顺序。</w:t>
      </w:r>
    </w:p>
    <w:p w14:paraId="459FA0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第十二条按照著作权法第十七条规定委托作品著作权属于受托人的情形，委</w:t>
      </w:r>
      <w:r>
        <w:rPr>
          <w:rFonts w:ascii="宋体" w:eastAsia="宋体" w:hAnsi="宋体" w:cs="宋体" w:hint="eastAsia"/>
          <w:sz w:val="24"/>
        </w:rPr>
        <w:lastRenderedPageBreak/>
        <w:t>托人在约定的使用范围内享有使用作品的权利；双方没有约定使用作品范围的，委托人可以在委托创作的特定目的范围内免费使用该作品。</w:t>
      </w:r>
    </w:p>
    <w:p w14:paraId="17DFA1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除著作权法第十一条第三款规定的情形外，由他人执笔，本人审阅定稿并以本人名义发表的报告、讲话等作品，著作权归报告人或者讲话人享有。著作权人可以支付执笔人适当的报酬。</w:t>
      </w:r>
    </w:p>
    <w:p w14:paraId="79541D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当事人</w:t>
      </w:r>
      <w:proofErr w:type="gramStart"/>
      <w:r>
        <w:rPr>
          <w:rFonts w:ascii="宋体" w:eastAsia="宋体" w:hAnsi="宋体" w:cs="宋体" w:hint="eastAsia"/>
          <w:sz w:val="24"/>
        </w:rPr>
        <w:t>合意以</w:t>
      </w:r>
      <w:proofErr w:type="gramEnd"/>
      <w:r>
        <w:rPr>
          <w:rFonts w:ascii="宋体" w:eastAsia="宋体" w:hAnsi="宋体" w:cs="宋体" w:hint="eastAsia"/>
          <w:sz w:val="24"/>
        </w:rPr>
        <w:t>特定人物经历为题材完成的自传体作品，当事人对著作权权属有约定的，依其约定；没有约定的，著作权归该特定人物享有，执笔人或整理人对作品完成付出劳动的，著作权人可以向其支付适当的报酬。</w:t>
      </w:r>
    </w:p>
    <w:p w14:paraId="2B0427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由不同作者就同一题材创作的作品，作品的表达系独立完成并且有创作性的，应当认定作者各自享有独立著作权。</w:t>
      </w:r>
    </w:p>
    <w:p w14:paraId="59712F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通过大众传播媒介传播的单纯事实消息属于著作权法第五条第（二）项规定的时事新闻。传播报道他人采编的时事新闻，应当注明出处。</w:t>
      </w:r>
    </w:p>
    <w:p w14:paraId="664A06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著作权法第三十三条第二款规定的转载，是指报纸、期刊登载其他报刊已发表作品的行为。转载未注明被转载作品的作者和最初登载的报刊出处的，应当承担消除影响、赔礼道歉等民事责任。</w:t>
      </w:r>
    </w:p>
    <w:p w14:paraId="40F49C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著作权法第二十二条第（十）项规定的室外公共场所的艺术作品，是指设置或者陈列在室外社会公众活动处所的雕塑、绘画、书法等艺术作品。</w:t>
      </w:r>
    </w:p>
    <w:p w14:paraId="031D13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对前款规定艺术作品的临摹、绘画、摄影、录像人，可以对其成果以合理的方式和范围再行使用，不构成侵权。</w:t>
      </w:r>
    </w:p>
    <w:p w14:paraId="0D700A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出版者、制作者应当对其出版、制作有合法授权承担举证责任，发行者、出租者应当对其发行或者出租的复制品有合法来源承担举证责任。举证不能的，依据著作权法第四十七条 、第四十八条的相应规定承担法律责任。</w:t>
      </w:r>
    </w:p>
    <w:p w14:paraId="1E5650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出版物侵害他人著作权的，出版者应当根据其过错、侵权程度及损害后果等承担赔偿损失的责任。</w:t>
      </w:r>
    </w:p>
    <w:p w14:paraId="705A9A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出版者对其出版行为的授权、稿件来源和署名、所编辑出版物的内容等未尽到合理注意义务的，依据著作权法第四十九条的规定，承担赔偿损失的责任。</w:t>
      </w:r>
    </w:p>
    <w:p w14:paraId="5EE18C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出版者应对其已尽合理注意义务承担举证责任。</w:t>
      </w:r>
    </w:p>
    <w:p w14:paraId="0DDE92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计算机软件用户未经许可或者超过许可范围商业使用计算机软件的，依据著作权法第四十八条第（一）项、《计算机软件保护条例》第二十四条第（一）项的规定承担民事责任。</w:t>
      </w:r>
    </w:p>
    <w:p w14:paraId="2E95E8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著作权转让合同未采取书面形式的，人民法院依据民法典第四百九十条的规定审查合同是否成立。</w:t>
      </w:r>
    </w:p>
    <w:p w14:paraId="47FE65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出版者将著作权人交付出版的作品丢失、毁损致使出版合同不能履行的，著作权人有权依据民法典第一百八十六条、第二百三十八条、第一千一百八十四条等规定要求出版者承担相应的民事责任。</w:t>
      </w:r>
    </w:p>
    <w:p w14:paraId="05825C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权利人的实际损失，可以根据权利人因侵权所造成复制品发行减少量或者侵权复制品销售量与权利人发行该复制品单位利润乘积计算。发行减少量难以确定的，按照侵权复制品市场销售量确定。</w:t>
      </w:r>
    </w:p>
    <w:p w14:paraId="75112C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权利人的实际损失或者侵权人的违法所得无法确定的，人民法院根据当事人的请求或者依职权适用著作权法第四十九条第二款的规定确定赔偿数额。</w:t>
      </w:r>
    </w:p>
    <w:p w14:paraId="2EE3CC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人民法院在确定赔偿数额时，应当考虑作品类型、合理使用费、侵权行为性质、后果等情节综合确定。</w:t>
      </w:r>
    </w:p>
    <w:p w14:paraId="743149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当事人按照本条第一款的规定就赔偿数额达成协议的，应当准许。</w:t>
      </w:r>
    </w:p>
    <w:p w14:paraId="21CFE0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著作权法第四十九条第一款规定的制止侵权行为所支付的合理开支，包括权利人或者委托代理人对侵权行为进行调查、取证的合理费用。</w:t>
      </w:r>
    </w:p>
    <w:p w14:paraId="3EF44E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人民法院根据当事人的诉讼请求和具体案情，可以将符合国家有关部门规定的律师费用计算在赔偿范围内。</w:t>
      </w:r>
    </w:p>
    <w:p w14:paraId="3D66B2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侵害著作权的诉讼时效为三年，自著作权人知道或者应当知道权利受到损害以及义务人之日起计算。权利人超过三年起诉的，如果侵权行为在起诉时仍在持续，在该著作权保护期内，人民法院应当判决被告停止侵权行为；侵权损害赔偿数额应当自权利人向人民法院起诉之日起向前推算三年计算。</w:t>
      </w:r>
    </w:p>
    <w:p w14:paraId="27E6B9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第二十八条 人民法院采取保全措施的，依据民事诉讼法及《最高人民法院关于审查知识产权纠纷行为保全案件适用法律若干问题的规定》的有关规定办理。</w:t>
      </w:r>
    </w:p>
    <w:p w14:paraId="596502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除本解释另行规定外，人民法院受理的著作权民事纠纷案件，涉及著作权法修改前发生的民事行为的，适用修改前著作权法的规定；涉及著作权法修改以后发生的民事行为的，适用修改后著作权法的规定；涉及著作权法修改前发生，持续到著作权法修改后的民事行为的，适用修改后著作权法的规定。</w:t>
      </w:r>
    </w:p>
    <w:p w14:paraId="1327BD19"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第三十条 以前的有关规定与本解释不一致的，以本解释为准。</w:t>
      </w:r>
    </w:p>
    <w:p w14:paraId="768E1BC8"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22.《最高人民法院关于审理证券市场虚假陈述侵权民事赔偿案件的若干规定》</w:t>
      </w:r>
    </w:p>
    <w:p w14:paraId="44CCAE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w:t>
      </w:r>
      <w:r>
        <w:rPr>
          <w:rFonts w:ascii="宋体" w:eastAsia="宋体" w:hAnsi="宋体" w:cs="宋体" w:hint="eastAsia"/>
          <w:sz w:val="24"/>
        </w:rPr>
        <w:tab/>
        <w:t xml:space="preserve">     文号：法释〔2022〕2号</w:t>
      </w:r>
      <w:r>
        <w:rPr>
          <w:rFonts w:ascii="宋体" w:eastAsia="宋体" w:hAnsi="宋体" w:cs="宋体" w:hint="eastAsia"/>
          <w:sz w:val="24"/>
        </w:rPr>
        <w:tab/>
      </w:r>
    </w:p>
    <w:p w14:paraId="7B4500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正确审理证券市场虚假陈述侵权民事赔偿案件，规范证券发行和交易行为，保护投资者合法权益，维护公开、公平、公正的证券市场秩序，根据《中华人民共和国民法典》《中华人民共和国证券法》《中华人民共和国公司法》《中华人民共和国民事诉讼法》等法律规定，结合审判实践，制定本规定。</w:t>
      </w:r>
    </w:p>
    <w:p w14:paraId="21404D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一、一般规定</w:t>
      </w:r>
    </w:p>
    <w:p w14:paraId="3AF847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信息披露义务人在证券交易场所发行、交易证券过程中实施虚假陈述引发的侵权民事赔偿案件，适用本规定。</w:t>
      </w:r>
    </w:p>
    <w:p w14:paraId="61D995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按照国务院规定设立的区域性股权市场中发生的虚假陈述侵权民事赔偿案件，可以参照适用本规定。</w:t>
      </w:r>
    </w:p>
    <w:p w14:paraId="734201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原告提起证券虚假陈述侵权民事赔偿诉讼，符合民事诉讼法第一百二十二条规定，并提交以下证据或者证明材料的，人民法院应当受理：</w:t>
      </w:r>
    </w:p>
    <w:p w14:paraId="462EDA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（一）证明原告身份的相关文件；</w:t>
      </w:r>
    </w:p>
    <w:p w14:paraId="0E8D32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（二）信息披露义务人实施虚假陈述的相关证据；</w:t>
      </w:r>
    </w:p>
    <w:p w14:paraId="59E6C3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（三）原告因虚假陈述进行交易的凭证及投资损失等相关证据。</w:t>
      </w:r>
    </w:p>
    <w:p w14:paraId="04F446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人民法院不得仅以虚假陈述未经监管部门行政处罚或者人民法院生效刑事判决的认定为由裁定不予受理。</w:t>
      </w:r>
    </w:p>
    <w:p w14:paraId="2A39FC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证券虚假陈述侵权民事赔偿案件，由发行人住所地的省、自治区、直辖市人民政府所在的市、计划单列市和经济特区中级人民法院或者专门人民法院管辖。《最高人民法院关于证券纠纷代表人诉讼若干问题的规定》等对管辖另有规定的，从其规定。</w:t>
      </w:r>
    </w:p>
    <w:p w14:paraId="0D9680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省、自治区、直辖市高级人民法院可以根据本辖区的实际情况，确定管辖第一审证券虚假陈述侵权民事赔偿案件的其他中级人民法院，报最高人民法院备案。</w:t>
      </w:r>
    </w:p>
    <w:p w14:paraId="61D234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二、虚假陈述的认定</w:t>
      </w:r>
    </w:p>
    <w:p w14:paraId="584718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信息披露义务人违反法律、行政法规、监管部门制定的规章和规范性文件关于信息披露的规定，在披露的信息中存在虚假记载、误导性陈述或者重大遗漏的，人民法院应当认定为虚假陈述。</w:t>
      </w:r>
    </w:p>
    <w:p w14:paraId="3A71FA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虚假记载，是指信息披露义务人披露的信息中对相关财务数据进行重大不实记载，或者对其他重要信息</w:t>
      </w:r>
      <w:proofErr w:type="gramStart"/>
      <w:r>
        <w:rPr>
          <w:rFonts w:ascii="宋体" w:eastAsia="宋体" w:hAnsi="宋体" w:cs="宋体" w:hint="eastAsia"/>
          <w:sz w:val="24"/>
        </w:rPr>
        <w:t>作出</w:t>
      </w:r>
      <w:proofErr w:type="gramEnd"/>
      <w:r>
        <w:rPr>
          <w:rFonts w:ascii="宋体" w:eastAsia="宋体" w:hAnsi="宋体" w:cs="宋体" w:hint="eastAsia"/>
          <w:sz w:val="24"/>
        </w:rPr>
        <w:t>与真实情况不符的描述。</w:t>
      </w:r>
    </w:p>
    <w:p w14:paraId="41A2A8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误导性陈述，是指信息披露义务人披露的信息隐瞒了与之相关的部分重要事实，或者未及时披露相关更正、确认信息，致使已经披露的信息因不完整、不准确而具有误导性。</w:t>
      </w:r>
    </w:p>
    <w:p w14:paraId="18209D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重大遗漏，是指信息披露义务人违反关于信息披露的规定，对重大事件或者重要事项等应当披露的信息未予披露。</w:t>
      </w:r>
    </w:p>
    <w:p w14:paraId="3644EC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证券法第八十五条规定的“未按照规定披露信息”，是指信息披露义务人未按照规定的期限、方式等要求及时、公平披露信息。</w:t>
      </w:r>
    </w:p>
    <w:p w14:paraId="0D39FB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信息披露义务人“未按照规定披露信息”构成虚假陈述的，依照本规定承担民事责任；构成内幕交易的，依照证券法第五十三条的规定承担民事责任；构成公司法第一百五十二条规定的损害股东利益行为的，依照该法承担民事责任。</w:t>
      </w:r>
    </w:p>
    <w:p w14:paraId="0466C1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原告以信息披露文件中的盈利预测、发展规划等预测性信息与实际经营情况存在重大差异为由主张发行人实施虚假陈述的，人民法院不予支持，但有下列情形之一的除外：</w:t>
      </w:r>
    </w:p>
    <w:p w14:paraId="75239D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（一）信息披露文件未对影响该预测实现的重要因素进行充分风险提示的；</w:t>
      </w:r>
    </w:p>
    <w:p w14:paraId="726393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（二）预测性信息所依据的基本假设、选用的会计政策等编制基础明显不合理的；</w:t>
      </w:r>
    </w:p>
    <w:p w14:paraId="712F45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（三）预测性信息所依据的前提发生重大变化时，未及时履行更正义务的。</w:t>
      </w:r>
    </w:p>
    <w:p w14:paraId="3D905E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前款所称的重大差异，可以参照监管部门和证券交易场所的有关规定认定。</w:t>
      </w:r>
    </w:p>
    <w:p w14:paraId="668FDD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虚假陈述实施日，是指信息披露义务人</w:t>
      </w:r>
      <w:proofErr w:type="gramStart"/>
      <w:r>
        <w:rPr>
          <w:rFonts w:ascii="宋体" w:eastAsia="宋体" w:hAnsi="宋体" w:cs="宋体" w:hint="eastAsia"/>
          <w:sz w:val="24"/>
        </w:rPr>
        <w:t>作出</w:t>
      </w:r>
      <w:proofErr w:type="gramEnd"/>
      <w:r>
        <w:rPr>
          <w:rFonts w:ascii="宋体" w:eastAsia="宋体" w:hAnsi="宋体" w:cs="宋体" w:hint="eastAsia"/>
          <w:sz w:val="24"/>
        </w:rPr>
        <w:t>虚假陈述或者发生虚假</w:t>
      </w:r>
      <w:r>
        <w:rPr>
          <w:rFonts w:ascii="宋体" w:eastAsia="宋体" w:hAnsi="宋体" w:cs="宋体" w:hint="eastAsia"/>
          <w:sz w:val="24"/>
        </w:rPr>
        <w:lastRenderedPageBreak/>
        <w:t>陈述之日。</w:t>
      </w:r>
    </w:p>
    <w:p w14:paraId="382E1A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信息披露义务人在证券交易场所的网站或者符合监管部门规定条件的媒体上公告发布具有虚假陈述内容的信息披露文件，以披露日为实施日；通过召开业绩说明会、接受新闻媒体采访等方式实施虚假陈述的，以该虚假陈述的内容在具有全国性影响的媒体上首次公布之日为实施日。信息披露文件或者相关报导内容在交易日收市后发布的，以其后的第一个交易日为实施日。</w:t>
      </w:r>
    </w:p>
    <w:p w14:paraId="5BB7B4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因未及时披露相关更正、确认信息构成误导性陈述，或者未及时披露重大事件或者重要事项等构成重大遗漏的，以应当披露相关信息期限届满后的第一个交易日为实施日。</w:t>
      </w:r>
    </w:p>
    <w:p w14:paraId="319AB0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虚假陈述揭露日，是指虚假陈述在具有全国性影响的报刊、电台、电视台或监管部门网站、交易场所网站、主要门户网站、行业知名的自媒体等媒体上，首次被公开揭露并为证券市场知悉之日。</w:t>
      </w:r>
    </w:p>
    <w:p w14:paraId="165FE7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人民法院应当根据公开交易市场对相关信息的反应等证据，判断投资者是否知悉了虚假陈述。</w:t>
      </w:r>
    </w:p>
    <w:p w14:paraId="7839E2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除当事人有相反证据足以反驳外，下列日期应当认定为揭露日：</w:t>
      </w:r>
    </w:p>
    <w:p w14:paraId="5FA1B5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（一）监管部门以涉嫌信息披露违法为由对信息披露义务人立案调查的信息公开之日；</w:t>
      </w:r>
    </w:p>
    <w:p w14:paraId="59ADC9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（二）证券交易场所等自律管理组织因虚假陈述对信息披露义务人等责任主体采取自律管理措施的信息公布之日。</w:t>
      </w:r>
    </w:p>
    <w:p w14:paraId="7B14C3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信息披露义务人实施的虚假陈述呈连续状态的，以首次被公开揭露并为证券市场知悉之日为揭露日。信息披露义务人实施多个相互独立的虚假陈述的，人民法院应当分别认定其揭露日。</w:t>
      </w:r>
    </w:p>
    <w:p w14:paraId="66AEE0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虚假陈述更正日，是指信息披露义务人在证券交易场所网站或者符合监管部门规定条件的媒体上，自行更正虚假陈述之日。</w:t>
      </w:r>
    </w:p>
    <w:p w14:paraId="5DE68B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三、重大性及交易因果关系</w:t>
      </w:r>
    </w:p>
    <w:p w14:paraId="706F61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有下列情形之一的，人民法院应当认定虚假陈述的内容具有重大性：</w:t>
      </w:r>
    </w:p>
    <w:p w14:paraId="7BF4D3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（一）虚假陈述的内容属于证券法第八十条第二款、第八十一条第二款规定的重大事件；</w:t>
      </w:r>
    </w:p>
    <w:p w14:paraId="7A55C6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（二）虚假陈述的内容属于监管部门制定的规章和规范性文件中要求披露的重大事件或者重要事项；</w:t>
      </w:r>
    </w:p>
    <w:p w14:paraId="47A936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（三）虚假陈述的实施、揭露或者更正导致相关证券的交易价格或者交易</w:t>
      </w:r>
      <w:proofErr w:type="gramStart"/>
      <w:r>
        <w:rPr>
          <w:rFonts w:ascii="宋体" w:eastAsia="宋体" w:hAnsi="宋体" w:cs="宋体" w:hint="eastAsia"/>
          <w:sz w:val="24"/>
        </w:rPr>
        <w:t>量产生</w:t>
      </w:r>
      <w:proofErr w:type="gramEnd"/>
      <w:r>
        <w:rPr>
          <w:rFonts w:ascii="宋体" w:eastAsia="宋体" w:hAnsi="宋体" w:cs="宋体" w:hint="eastAsia"/>
          <w:sz w:val="24"/>
        </w:rPr>
        <w:t>明显的变化。</w:t>
      </w:r>
    </w:p>
    <w:p w14:paraId="41A2B1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前款第一项、第二项所列情形，被告提交证据足以证明虚假陈述并未导致相关证券交易价格或者交易量明显变化的，人民法院应当认定虚假陈述的内容不具有重大性。</w:t>
      </w:r>
    </w:p>
    <w:p w14:paraId="198A3A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被告能够证明虚假陈述不具有重大性，并以此抗辩不应当承担民事责任的，人民法院应当予以支持。</w:t>
      </w:r>
    </w:p>
    <w:p w14:paraId="66F0C8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原告能够证明下列情形的，人民法院应当认定原告的投资决定与虚假陈述之间的交易因果关系成立：</w:t>
      </w:r>
    </w:p>
    <w:p w14:paraId="3E3B8E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（一）信息披露义务人实施了虚假陈述；</w:t>
      </w:r>
    </w:p>
    <w:p w14:paraId="0DE355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（二）原告交易的是与虚假陈述直接关联的证券；</w:t>
      </w:r>
    </w:p>
    <w:p w14:paraId="65494F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（三）原告在虚假陈述实施日之后、揭露日或</w:t>
      </w:r>
      <w:proofErr w:type="gramStart"/>
      <w:r>
        <w:rPr>
          <w:rFonts w:ascii="宋体" w:eastAsia="宋体" w:hAnsi="宋体" w:cs="宋体" w:hint="eastAsia"/>
          <w:sz w:val="24"/>
        </w:rPr>
        <w:t>更正日</w:t>
      </w:r>
      <w:proofErr w:type="gramEnd"/>
      <w:r>
        <w:rPr>
          <w:rFonts w:ascii="宋体" w:eastAsia="宋体" w:hAnsi="宋体" w:cs="宋体" w:hint="eastAsia"/>
          <w:sz w:val="24"/>
        </w:rPr>
        <w:t>之前实施了相应的交易行为，即在</w:t>
      </w:r>
      <w:proofErr w:type="gramStart"/>
      <w:r>
        <w:rPr>
          <w:rFonts w:ascii="宋体" w:eastAsia="宋体" w:hAnsi="宋体" w:cs="宋体" w:hint="eastAsia"/>
          <w:sz w:val="24"/>
        </w:rPr>
        <w:t>诱</w:t>
      </w:r>
      <w:proofErr w:type="gramEnd"/>
      <w:r>
        <w:rPr>
          <w:rFonts w:ascii="宋体" w:eastAsia="宋体" w:hAnsi="宋体" w:cs="宋体" w:hint="eastAsia"/>
          <w:sz w:val="24"/>
        </w:rPr>
        <w:t>多型虚假陈述中买入了相关证券，或者在</w:t>
      </w:r>
      <w:proofErr w:type="gramStart"/>
      <w:r>
        <w:rPr>
          <w:rFonts w:ascii="宋体" w:eastAsia="宋体" w:hAnsi="宋体" w:cs="宋体" w:hint="eastAsia"/>
          <w:sz w:val="24"/>
        </w:rPr>
        <w:t>诱</w:t>
      </w:r>
      <w:proofErr w:type="gramEnd"/>
      <w:r>
        <w:rPr>
          <w:rFonts w:ascii="宋体" w:eastAsia="宋体" w:hAnsi="宋体" w:cs="宋体" w:hint="eastAsia"/>
          <w:sz w:val="24"/>
        </w:rPr>
        <w:t>空型虚假陈述中卖出了相关证券。</w:t>
      </w:r>
    </w:p>
    <w:p w14:paraId="48766C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被告能够证明下列情形之一的，人民法院应当认定交易因果关系不成立：</w:t>
      </w:r>
    </w:p>
    <w:p w14:paraId="0230B3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（一）原告的交易行为发生在虚假陈述实施前，或者是在揭露或更正之后；</w:t>
      </w:r>
    </w:p>
    <w:p w14:paraId="216201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（二）原告在交易时知道或者应当知道存在虚假陈述，或者虚假陈述已经被证券市场广泛知悉；</w:t>
      </w:r>
    </w:p>
    <w:p w14:paraId="47EF9F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（三）原告的交易行为是受到虚假陈述实施后发生的上市公司的收购、重大资产重组等其他重大事件的影响；</w:t>
      </w:r>
    </w:p>
    <w:p w14:paraId="4EC07B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（四）原告的交易行为构成内幕交易、操纵证券市场等证券违法行为的；</w:t>
      </w:r>
    </w:p>
    <w:p w14:paraId="49495F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（五）原告的交易行为与虚假陈述不具有交易因果关系的其他情形。</w:t>
      </w:r>
    </w:p>
    <w:p w14:paraId="1EDF8F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四、过错认定</w:t>
      </w:r>
    </w:p>
    <w:p w14:paraId="018767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证券法第八十五条、第一百六十三条所称的过错，包括以下两种情形：</w:t>
      </w:r>
    </w:p>
    <w:p w14:paraId="429052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（一）行为人故意制作、出具存在虚假陈述的信息披露文件，或者明知信息披露文件存在虚假陈述而不予指明、予以发布；</w:t>
      </w:r>
    </w:p>
    <w:p w14:paraId="35BD7D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（二）行为人严重违反注意义务，对信息披露文件中虚假陈述的形成或者发布存在过失。</w:t>
      </w:r>
    </w:p>
    <w:p w14:paraId="417E5C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发行人的董事、监事、高级管理人员和其他直接责任人员主张对虚假陈述没有过错的，人民法院应当根据其工作岗位和职责、在信息披露资料的形成和发布等活动中所起的作用、取得和了解相关信息的渠道、为核验相关信息所采取的措施等实际情况进行审查认定。</w:t>
      </w:r>
    </w:p>
    <w:p w14:paraId="279D68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所列人员不能提供勤勉尽责的相应证据，仅以其不从事日常经营管理、无相关职业背景和专业知识、相信发行人或者管理层提供的资料、相信证券服务机构出具的专业意见等理由主张其没有过错的，人民法院不予支持。</w:t>
      </w:r>
    </w:p>
    <w:p w14:paraId="5CB2C5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发行人的董事、监事、高级管理人员依照证券法第八十二条第四款的规定，以书面方式发表</w:t>
      </w:r>
      <w:proofErr w:type="gramStart"/>
      <w:r>
        <w:rPr>
          <w:rFonts w:ascii="宋体" w:eastAsia="宋体" w:hAnsi="宋体" w:cs="宋体" w:hint="eastAsia"/>
          <w:sz w:val="24"/>
        </w:rPr>
        <w:t>附具体</w:t>
      </w:r>
      <w:proofErr w:type="gramEnd"/>
      <w:r>
        <w:rPr>
          <w:rFonts w:ascii="宋体" w:eastAsia="宋体" w:hAnsi="宋体" w:cs="宋体" w:hint="eastAsia"/>
          <w:sz w:val="24"/>
        </w:rPr>
        <w:t>理由的意见并依法披露的，人民法院可以认定其主观上没有过错，但在审议、审核信息披露文件时投赞成票的除外。</w:t>
      </w:r>
    </w:p>
    <w:p w14:paraId="5154F4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独立董事能够证明下列情形之一的，人民法院应当认定其没有过错：</w:t>
      </w:r>
    </w:p>
    <w:p w14:paraId="432192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（一）在签署相关信息披露文件之前，对不属于自身专业领域的相关具体问题，借助会计、法律等专门职业的帮助仍然未能发现问题的；</w:t>
      </w:r>
    </w:p>
    <w:p w14:paraId="79FECF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（二）在揭露日或</w:t>
      </w:r>
      <w:proofErr w:type="gramStart"/>
      <w:r>
        <w:rPr>
          <w:rFonts w:ascii="宋体" w:eastAsia="宋体" w:hAnsi="宋体" w:cs="宋体" w:hint="eastAsia"/>
          <w:sz w:val="24"/>
        </w:rPr>
        <w:t>更正日</w:t>
      </w:r>
      <w:proofErr w:type="gramEnd"/>
      <w:r>
        <w:rPr>
          <w:rFonts w:ascii="宋体" w:eastAsia="宋体" w:hAnsi="宋体" w:cs="宋体" w:hint="eastAsia"/>
          <w:sz w:val="24"/>
        </w:rPr>
        <w:t>之前，发现虚假陈述后及时向发行人提出异议并监督整改或者向证券交易场所、监管部门书面报告的；</w:t>
      </w:r>
    </w:p>
    <w:p w14:paraId="3F5B3F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（三）在独立意见中对虚假陈述事项发表保留意见、反对意见或者无法表示意见并说明具体理由的，但在审议、审核相关文件时投赞成票的除外；</w:t>
      </w:r>
    </w:p>
    <w:p w14:paraId="2AA020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（四）因发行人拒绝、阻碍其履行职责，导致无法对相关信息披露文件是否存在虚假陈述</w:t>
      </w:r>
      <w:proofErr w:type="gramStart"/>
      <w:r>
        <w:rPr>
          <w:rFonts w:ascii="宋体" w:eastAsia="宋体" w:hAnsi="宋体" w:cs="宋体" w:hint="eastAsia"/>
          <w:sz w:val="24"/>
        </w:rPr>
        <w:t>作出</w:t>
      </w:r>
      <w:proofErr w:type="gramEnd"/>
      <w:r>
        <w:rPr>
          <w:rFonts w:ascii="宋体" w:eastAsia="宋体" w:hAnsi="宋体" w:cs="宋体" w:hint="eastAsia"/>
          <w:sz w:val="24"/>
        </w:rPr>
        <w:t>判断，并及时向证券交易场所、监管部门书面报告的；</w:t>
      </w:r>
    </w:p>
    <w:p w14:paraId="5C189D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（五）能够证明勤勉尽责的其他情形。</w:t>
      </w:r>
    </w:p>
    <w:p w14:paraId="376FE5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独立董事提交证据证明其在履职期间能够按照法律、监管部门制定的规章和规范性文件以及公司章程的要求履行职责的，或者在虚假陈述被揭露后及时督促发行人整改且效果较为明显的，人民法院可以结合案件事实综合判断其过错情况。</w:t>
      </w:r>
    </w:p>
    <w:p w14:paraId="5AB57D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外部监事和职工监事，参照适用前两款规定。</w:t>
      </w:r>
    </w:p>
    <w:p w14:paraId="7F8C1F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保荐机构、承销机构等机构及其直接责任人员提交的尽职调查工作底稿、尽职调查报告、内部审核意见等证据能够证明下列情形的，人民法院应当认定其没有过错：</w:t>
      </w:r>
    </w:p>
    <w:p w14:paraId="3D9553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（一）已经按照法律、行政法规、监管部门制定的规章和规范性文件、相关行业执业规范的要求，对信息披露文件中的相关内容进行了审慎尽职调查；</w:t>
      </w:r>
    </w:p>
    <w:p w14:paraId="24BAA2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（二）对信息披露文件中没有证券服务机构专业意见支持的重要内容，经过审慎尽职调查和独立判断，有合理理由相信该部分内容与真实情况相符；</w:t>
      </w:r>
    </w:p>
    <w:p w14:paraId="26E69F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（三）对信息披露文件</w:t>
      </w:r>
      <w:proofErr w:type="gramStart"/>
      <w:r>
        <w:rPr>
          <w:rFonts w:ascii="宋体" w:eastAsia="宋体" w:hAnsi="宋体" w:cs="宋体" w:hint="eastAsia"/>
          <w:sz w:val="24"/>
        </w:rPr>
        <w:t>中证券</w:t>
      </w:r>
      <w:proofErr w:type="gramEnd"/>
      <w:r>
        <w:rPr>
          <w:rFonts w:ascii="宋体" w:eastAsia="宋体" w:hAnsi="宋体" w:cs="宋体" w:hint="eastAsia"/>
          <w:sz w:val="24"/>
        </w:rPr>
        <w:t>服务机构出具专业意见的重要内容，经过审慎核查和必要的调查、复核，有合理理由排除了职业怀疑并形成合理信赖。</w:t>
      </w:r>
    </w:p>
    <w:p w14:paraId="788719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在全国中小企业股份转让系统从事挂牌和定向发行推荐业务的证券公司，适用前款规定。</w:t>
      </w:r>
    </w:p>
    <w:p w14:paraId="71F531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会计师事务所、律师事务所、资信评级机构、资产评估机构、财务顾问等证券服务机构制作、出具的文件存在虚假陈述的，人民法院应当按照法律、行政法规、监管部门制定的规章和规范性文件，参考行业执业规范规定的工作范围和程序要求等内容，结合其核查、验证工作底稿等相关证据，认定其是否存在过错。</w:t>
      </w:r>
    </w:p>
    <w:p w14:paraId="667CA4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证券服务机构的责任限于其工作范围和专业领域。证券服务机构依赖保荐机</w:t>
      </w:r>
      <w:r>
        <w:rPr>
          <w:rFonts w:ascii="宋体" w:eastAsia="宋体" w:hAnsi="宋体" w:cs="宋体" w:hint="eastAsia"/>
          <w:sz w:val="24"/>
        </w:rPr>
        <w:lastRenderedPageBreak/>
        <w:t>构或者其他证券服务机构的基础工作或者专业意见致使其出具的专业意见存在虚假陈述，能够证明其对所依赖的基础工作或者专业意见经过审慎核查和必要的调查、复核，排除了职业怀疑并形成合理信赖的，人民法院应当认定其没有过错。</w:t>
      </w:r>
    </w:p>
    <w:p w14:paraId="56CF28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会计师事务所能够证明下列情形之一的，人民法院应当认定其没有过错：</w:t>
      </w:r>
    </w:p>
    <w:p w14:paraId="6452B1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（一）按照执业准则、规则确定的工作程序和核查手段并保持必要的职业谨慎，仍未发现被审计的会计资料存在错误的；</w:t>
      </w:r>
    </w:p>
    <w:p w14:paraId="536FD8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（二）审计业务必须依赖的金融机构、发行人的供应商、客户等相关单位提供</w:t>
      </w:r>
      <w:proofErr w:type="gramStart"/>
      <w:r>
        <w:rPr>
          <w:rFonts w:ascii="宋体" w:eastAsia="宋体" w:hAnsi="宋体" w:cs="宋体" w:hint="eastAsia"/>
          <w:sz w:val="24"/>
        </w:rPr>
        <w:t>不</w:t>
      </w:r>
      <w:proofErr w:type="gramEnd"/>
      <w:r>
        <w:rPr>
          <w:rFonts w:ascii="宋体" w:eastAsia="宋体" w:hAnsi="宋体" w:cs="宋体" w:hint="eastAsia"/>
          <w:sz w:val="24"/>
        </w:rPr>
        <w:t>实证明文件，会计师事务所保持了必要的职业谨慎仍未发现的；</w:t>
      </w:r>
    </w:p>
    <w:p w14:paraId="04C654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（三）已对发行人的舞弊迹象提出警告并在审计业务报告中发表了审慎审计意见的；</w:t>
      </w:r>
    </w:p>
    <w:p w14:paraId="479B03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（四）能够证明没有过错的其他情形。</w:t>
      </w:r>
    </w:p>
    <w:p w14:paraId="20ECAB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五、责任主体</w:t>
      </w:r>
    </w:p>
    <w:p w14:paraId="328309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发行人的控股股东、实际控制人组织、指使发行人实施虚假陈述，致使原告在证券交易中遭受损失的，原告起诉请求直接判令该控股股东、实际控制人依照本规定赔偿损失的，人民法院应当予以支持。</w:t>
      </w:r>
    </w:p>
    <w:p w14:paraId="681064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控股股东、实际控制人组织、指使发行人实施虚假陈述，发行人在承担赔偿责任后要求该控股股东、实际控制人赔偿实际支付的赔偿款、合理的律师费、诉讼费用等损失的，人民法院应当予以支持。</w:t>
      </w:r>
    </w:p>
    <w:p w14:paraId="57F78B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公司重大资产重组的交易对方所提供的信息不符合真实、准确、完整的要求，导致公司披露的相关信息存在虚假陈述，原告起诉请求判令该交易对方与发行人等责任主体赔偿由此导致的损失的，人民法院应当予以支持。</w:t>
      </w:r>
    </w:p>
    <w:p w14:paraId="4EBAF8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有证据证明发行人的供应商、客户，以及为发行人提供服务的金融机构等明知发行人实施财务造假活动，仍然为其提供相关交易合同、发票、存款证明等予以配合，或者故意隐瞒重要事实致使发行人的信息披露文件存在虚假陈述，原告起诉请求判令其与发行人等责任主体赔偿由此导致的损失的，人民</w:t>
      </w:r>
      <w:r>
        <w:rPr>
          <w:rFonts w:ascii="宋体" w:eastAsia="宋体" w:hAnsi="宋体" w:cs="宋体" w:hint="eastAsia"/>
          <w:sz w:val="24"/>
        </w:rPr>
        <w:lastRenderedPageBreak/>
        <w:t>法院应当予以支持。</w:t>
      </w:r>
    </w:p>
    <w:p w14:paraId="75EDC5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承担连带责任的当事人之间的责任分担与追偿，按照民法典第一百七十八条的规定处理，但本规定第二十条第二款规定的情形除外。</w:t>
      </w:r>
    </w:p>
    <w:p w14:paraId="3DC8C6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保荐机构、承销机构等责任主体以存在约定为由，请求发行人或者其控股股东、实际控制人补偿其因虚假陈述所承担的赔偿责任的，人民法院不予支持。</w:t>
      </w:r>
    </w:p>
    <w:p w14:paraId="5A6940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六、损失认定</w:t>
      </w:r>
    </w:p>
    <w:p w14:paraId="12D336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发行人在证券发行市场虚假陈述，导致原告损失的，原告有权请求按照本规定第二十五条的规定赔偿损失。</w:t>
      </w:r>
    </w:p>
    <w:p w14:paraId="4BCECB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信息披露义务人在证券交易市场承担民事赔偿责任的范围，以原告因虚假陈述而实际发生的损失为限。原告实际损失包括投资差额损失、投资差额损失部分的佣金和印花税。</w:t>
      </w:r>
    </w:p>
    <w:p w14:paraId="5760C6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投资差额损失计算的基准日，是指在虚假陈述揭露或更正后，为将原告应获赔偿限定在虚假陈述所造成的损失范围内，确定损失计算的合理期间而规定的截止日期。</w:t>
      </w:r>
    </w:p>
    <w:p w14:paraId="36B9C0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在采用集中竞价的交易市场中，自揭露日或</w:t>
      </w:r>
      <w:proofErr w:type="gramStart"/>
      <w:r>
        <w:rPr>
          <w:rFonts w:ascii="宋体" w:eastAsia="宋体" w:hAnsi="宋体" w:cs="宋体" w:hint="eastAsia"/>
          <w:sz w:val="24"/>
        </w:rPr>
        <w:t>更正日</w:t>
      </w:r>
      <w:proofErr w:type="gramEnd"/>
      <w:r>
        <w:rPr>
          <w:rFonts w:ascii="宋体" w:eastAsia="宋体" w:hAnsi="宋体" w:cs="宋体" w:hint="eastAsia"/>
          <w:sz w:val="24"/>
        </w:rPr>
        <w:t>起，被虚假陈述影响的证券集中交易累计成交量达到可流通部分100％之日为基准日。</w:t>
      </w:r>
    </w:p>
    <w:p w14:paraId="0F2C6B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自揭露日或</w:t>
      </w:r>
      <w:proofErr w:type="gramStart"/>
      <w:r>
        <w:rPr>
          <w:rFonts w:ascii="宋体" w:eastAsia="宋体" w:hAnsi="宋体" w:cs="宋体" w:hint="eastAsia"/>
          <w:sz w:val="24"/>
        </w:rPr>
        <w:t>更正日</w:t>
      </w:r>
      <w:proofErr w:type="gramEnd"/>
      <w:r>
        <w:rPr>
          <w:rFonts w:ascii="宋体" w:eastAsia="宋体" w:hAnsi="宋体" w:cs="宋体" w:hint="eastAsia"/>
          <w:sz w:val="24"/>
        </w:rPr>
        <w:t>起，集中交易累计换手率在10个交易日内达到可流通部分100%的，以第10个交易日为基准日；在30个交易日内未达到可流通部分100%的，以第30个交易日为基准日。</w:t>
      </w:r>
    </w:p>
    <w:p w14:paraId="3622B2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虚假陈述揭露日或</w:t>
      </w:r>
      <w:proofErr w:type="gramStart"/>
      <w:r>
        <w:rPr>
          <w:rFonts w:ascii="宋体" w:eastAsia="宋体" w:hAnsi="宋体" w:cs="宋体" w:hint="eastAsia"/>
          <w:sz w:val="24"/>
        </w:rPr>
        <w:t>更正日</w:t>
      </w:r>
      <w:proofErr w:type="gramEnd"/>
      <w:r>
        <w:rPr>
          <w:rFonts w:ascii="宋体" w:eastAsia="宋体" w:hAnsi="宋体" w:cs="宋体" w:hint="eastAsia"/>
          <w:sz w:val="24"/>
        </w:rPr>
        <w:t>起至基准日期间每个交易日收盘价的平均价格，为损失计算的基准价格。</w:t>
      </w:r>
    </w:p>
    <w:p w14:paraId="6C1C55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无法依前款规定确定基准价格的，人民法院可以根据有专门知识的人的专业意见，参考对相关行业进行投资时的通常估值方法，确定基准价格。</w:t>
      </w:r>
    </w:p>
    <w:p w14:paraId="160EC7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在采用集中竞价的交易市场中，原告因虚假陈述买入相关股票所造成的投资差额损失，按照下列方法计算：</w:t>
      </w:r>
    </w:p>
    <w:p w14:paraId="5013DF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（一）原告在实施日之后、揭露日或</w:t>
      </w:r>
      <w:proofErr w:type="gramStart"/>
      <w:r>
        <w:rPr>
          <w:rFonts w:ascii="宋体" w:eastAsia="宋体" w:hAnsi="宋体" w:cs="宋体" w:hint="eastAsia"/>
          <w:sz w:val="24"/>
        </w:rPr>
        <w:t>更正日</w:t>
      </w:r>
      <w:proofErr w:type="gramEnd"/>
      <w:r>
        <w:rPr>
          <w:rFonts w:ascii="宋体" w:eastAsia="宋体" w:hAnsi="宋体" w:cs="宋体" w:hint="eastAsia"/>
          <w:sz w:val="24"/>
        </w:rPr>
        <w:t>之前买入，在揭露日或</w:t>
      </w:r>
      <w:proofErr w:type="gramStart"/>
      <w:r>
        <w:rPr>
          <w:rFonts w:ascii="宋体" w:eastAsia="宋体" w:hAnsi="宋体" w:cs="宋体" w:hint="eastAsia"/>
          <w:sz w:val="24"/>
        </w:rPr>
        <w:t>更正日</w:t>
      </w:r>
      <w:proofErr w:type="gramEnd"/>
      <w:r>
        <w:rPr>
          <w:rFonts w:ascii="宋体" w:eastAsia="宋体" w:hAnsi="宋体" w:cs="宋体" w:hint="eastAsia"/>
          <w:sz w:val="24"/>
        </w:rPr>
        <w:t>之后、基准日之前卖出的股票，按买入股票的平均价格与卖出股票的平均价格之间的差额，乘以已卖出的股票数量；</w:t>
      </w:r>
    </w:p>
    <w:p w14:paraId="256314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（二）原告在实施日之后、揭露日或</w:t>
      </w:r>
      <w:proofErr w:type="gramStart"/>
      <w:r>
        <w:rPr>
          <w:rFonts w:ascii="宋体" w:eastAsia="宋体" w:hAnsi="宋体" w:cs="宋体" w:hint="eastAsia"/>
          <w:sz w:val="24"/>
        </w:rPr>
        <w:t>更正日</w:t>
      </w:r>
      <w:proofErr w:type="gramEnd"/>
      <w:r>
        <w:rPr>
          <w:rFonts w:ascii="宋体" w:eastAsia="宋体" w:hAnsi="宋体" w:cs="宋体" w:hint="eastAsia"/>
          <w:sz w:val="24"/>
        </w:rPr>
        <w:t>之前买入，基准日之前未卖出的股票，按买入股票的平均价格与基准价格之间的差额，乘以未卖出的股票数量。</w:t>
      </w:r>
    </w:p>
    <w:p w14:paraId="651B4E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在采用集中竞价的交易市场中，原告因虚假陈述卖出相关股票所造成的投资差额损失，按照下列方法计算：</w:t>
      </w:r>
    </w:p>
    <w:p w14:paraId="638E93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（一）原告在实施日之后、揭露日或</w:t>
      </w:r>
      <w:proofErr w:type="gramStart"/>
      <w:r>
        <w:rPr>
          <w:rFonts w:ascii="宋体" w:eastAsia="宋体" w:hAnsi="宋体" w:cs="宋体" w:hint="eastAsia"/>
          <w:sz w:val="24"/>
        </w:rPr>
        <w:t>更正日</w:t>
      </w:r>
      <w:proofErr w:type="gramEnd"/>
      <w:r>
        <w:rPr>
          <w:rFonts w:ascii="宋体" w:eastAsia="宋体" w:hAnsi="宋体" w:cs="宋体" w:hint="eastAsia"/>
          <w:sz w:val="24"/>
        </w:rPr>
        <w:t>之前卖出，在揭露日或</w:t>
      </w:r>
      <w:proofErr w:type="gramStart"/>
      <w:r>
        <w:rPr>
          <w:rFonts w:ascii="宋体" w:eastAsia="宋体" w:hAnsi="宋体" w:cs="宋体" w:hint="eastAsia"/>
          <w:sz w:val="24"/>
        </w:rPr>
        <w:t>更正日</w:t>
      </w:r>
      <w:proofErr w:type="gramEnd"/>
      <w:r>
        <w:rPr>
          <w:rFonts w:ascii="宋体" w:eastAsia="宋体" w:hAnsi="宋体" w:cs="宋体" w:hint="eastAsia"/>
          <w:sz w:val="24"/>
        </w:rPr>
        <w:t>之后、基准日之前买回的股票，按买回股票的平均价格与卖出股票的平均价格之间的差额，乘以买回的股票数量；</w:t>
      </w:r>
    </w:p>
    <w:p w14:paraId="6FAB5D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（二）原告在实施日之后、揭露日或</w:t>
      </w:r>
      <w:proofErr w:type="gramStart"/>
      <w:r>
        <w:rPr>
          <w:rFonts w:ascii="宋体" w:eastAsia="宋体" w:hAnsi="宋体" w:cs="宋体" w:hint="eastAsia"/>
          <w:sz w:val="24"/>
        </w:rPr>
        <w:t>更正日</w:t>
      </w:r>
      <w:proofErr w:type="gramEnd"/>
      <w:r>
        <w:rPr>
          <w:rFonts w:ascii="宋体" w:eastAsia="宋体" w:hAnsi="宋体" w:cs="宋体" w:hint="eastAsia"/>
          <w:sz w:val="24"/>
        </w:rPr>
        <w:t>之前卖出，基准日之前未买回的股票，按基准价格与卖出股票的平均价格之间的差额，乘以未买回的股票数量。</w:t>
      </w:r>
    </w:p>
    <w:p w14:paraId="1C3CDD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计算投资差额损失时，已经除权的证券，证券价格和证券数量应当复权计算。</w:t>
      </w:r>
    </w:p>
    <w:p w14:paraId="6616A8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证券公司、基金管理公司、保险公司、信托公司、商业银行等市场参与主体依法设立的证券投资产品，在确定因虚假陈述导致的损失时，每个产品应当单独计算。</w:t>
      </w:r>
    </w:p>
    <w:p w14:paraId="0E5AFA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投资者及依法设立的证券投资产品开立多个证券账户进行投资的，应当将各证券账户合并，所有交易按照成交时间排序，以确定其实际交易及损失情况。</w:t>
      </w:r>
    </w:p>
    <w:p w14:paraId="5356D2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人民法院应当查明虚假陈述与原告损失之间的因果关系，以及导致原告损失的其他原因等案件基本事实，确定赔偿责任范围。</w:t>
      </w:r>
    </w:p>
    <w:p w14:paraId="44DCB0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被告能够举证证明原告的损失部分或者全部是由他人操纵市场、证券市场的风险、证券市场对特定事件的过度反应、上市公司内外部经营环境等其他因素所导致的，对其关于相应减轻或者免除责任的抗辩，人民法院应当予以支持。</w:t>
      </w:r>
    </w:p>
    <w:p w14:paraId="616E07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七、诉讼时效</w:t>
      </w:r>
    </w:p>
    <w:p w14:paraId="5523E5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当事人主张以揭露日或</w:t>
      </w:r>
      <w:proofErr w:type="gramStart"/>
      <w:r>
        <w:rPr>
          <w:rFonts w:ascii="宋体" w:eastAsia="宋体" w:hAnsi="宋体" w:cs="宋体" w:hint="eastAsia"/>
          <w:sz w:val="24"/>
        </w:rPr>
        <w:t>更正日</w:t>
      </w:r>
      <w:proofErr w:type="gramEnd"/>
      <w:r>
        <w:rPr>
          <w:rFonts w:ascii="宋体" w:eastAsia="宋体" w:hAnsi="宋体" w:cs="宋体" w:hint="eastAsia"/>
          <w:sz w:val="24"/>
        </w:rPr>
        <w:t>起算诉讼时效的，人民法院应当</w:t>
      </w:r>
      <w:r>
        <w:rPr>
          <w:rFonts w:ascii="宋体" w:eastAsia="宋体" w:hAnsi="宋体" w:cs="宋体" w:hint="eastAsia"/>
          <w:sz w:val="24"/>
        </w:rPr>
        <w:lastRenderedPageBreak/>
        <w:t>予以支持。揭露日与</w:t>
      </w:r>
      <w:proofErr w:type="gramStart"/>
      <w:r>
        <w:rPr>
          <w:rFonts w:ascii="宋体" w:eastAsia="宋体" w:hAnsi="宋体" w:cs="宋体" w:hint="eastAsia"/>
          <w:sz w:val="24"/>
        </w:rPr>
        <w:t>更正日</w:t>
      </w:r>
      <w:proofErr w:type="gramEnd"/>
      <w:r>
        <w:rPr>
          <w:rFonts w:ascii="宋体" w:eastAsia="宋体" w:hAnsi="宋体" w:cs="宋体" w:hint="eastAsia"/>
          <w:sz w:val="24"/>
        </w:rPr>
        <w:t>不一致的，以在先的为准。</w:t>
      </w:r>
    </w:p>
    <w:p w14:paraId="5D221A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对于虚假陈述责任人中的一人发生诉讼时效中断效力的事由，应当认定对其他连带责任人也发生诉讼时效中断的效力。</w:t>
      </w:r>
    </w:p>
    <w:p w14:paraId="006E5F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在诉讼时效期间内，部分投资者向人民法院提起人数不确定的普通代表人诉讼的，人民法院应当认定该起诉行为对所有具有同类诉讼请求的权利人发生时效中断的效果。</w:t>
      </w:r>
    </w:p>
    <w:p w14:paraId="256456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在普通代表人诉讼中，未向人民法院登记权利的投资者，其诉讼时效自权利登记期间届满后重新开始计算。向人民法院登记权利后申请撤回权利登记的投资者，其诉讼时效自撤回权利登记之次日重新开始计算。</w:t>
      </w:r>
    </w:p>
    <w:p w14:paraId="1569A3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投资者保护机构依照证券法第九十五条第三款的规定作为代表人参加诉讼后，投资者声明退出诉讼的，其诉讼时效自声明退出之次日起重新开始计算。</w:t>
      </w:r>
    </w:p>
    <w:p w14:paraId="10A943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八、附则</w:t>
      </w:r>
    </w:p>
    <w:p w14:paraId="487C50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本规定所称证券交易场所，是指证券交易所、国务院批准的其他全国性证券交易场所。</w:t>
      </w:r>
    </w:p>
    <w:p w14:paraId="642EB2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本规定所称监管部门，是指国务院证券监督管理机构、国务院授权的部门及有关主管部门。</w:t>
      </w:r>
    </w:p>
    <w:p w14:paraId="6E9137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本规定所称发行人，包括证券的发行人、上市公司或者挂牌公司。</w:t>
      </w:r>
    </w:p>
    <w:p w14:paraId="540395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本规定所称实施日之后、揭露日或</w:t>
      </w:r>
      <w:proofErr w:type="gramStart"/>
      <w:r>
        <w:rPr>
          <w:rFonts w:ascii="宋体" w:eastAsia="宋体" w:hAnsi="宋体" w:cs="宋体" w:hint="eastAsia"/>
          <w:sz w:val="24"/>
        </w:rPr>
        <w:t>更正日</w:t>
      </w:r>
      <w:proofErr w:type="gramEnd"/>
      <w:r>
        <w:rPr>
          <w:rFonts w:ascii="宋体" w:eastAsia="宋体" w:hAnsi="宋体" w:cs="宋体" w:hint="eastAsia"/>
          <w:sz w:val="24"/>
        </w:rPr>
        <w:t>之后、基准日之前，包括该日；所称揭露日或</w:t>
      </w:r>
      <w:proofErr w:type="gramStart"/>
      <w:r>
        <w:rPr>
          <w:rFonts w:ascii="宋体" w:eastAsia="宋体" w:hAnsi="宋体" w:cs="宋体" w:hint="eastAsia"/>
          <w:sz w:val="24"/>
        </w:rPr>
        <w:t>更正日</w:t>
      </w:r>
      <w:proofErr w:type="gramEnd"/>
      <w:r>
        <w:rPr>
          <w:rFonts w:ascii="宋体" w:eastAsia="宋体" w:hAnsi="宋体" w:cs="宋体" w:hint="eastAsia"/>
          <w:sz w:val="24"/>
        </w:rPr>
        <w:t>之前，不包括该日。</w:t>
      </w:r>
    </w:p>
    <w:p w14:paraId="289704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本规定自2022年1月22日起施行。《最高人民法院关于受理证券市场因虚假陈述引发的民事侵权纠纷案件有关问题的通知》《最高人民法院关于审理证券市场因虚假陈述引发的民事赔偿案件的若干规定》同时废止。《最高人民法院关于审理涉及会计师事务所在审计业务活动中民事侵权赔偿案件的若干规定》与本规定不一致的，以本规定为准。</w:t>
      </w:r>
    </w:p>
    <w:p w14:paraId="449009CE"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本规定施行后尚未终审的案件，适用本规定。本规定施行前已经终审，当事人申请再审或者按照审判监督程序决定再审的案件，不适用本规定。</w:t>
      </w:r>
    </w:p>
    <w:p w14:paraId="64D4F462"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23.最高人民法院关于适用《中华人民共和国反不正当竞争法》若干问题的解释</w:t>
      </w:r>
    </w:p>
    <w:p w14:paraId="58B037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       文号：法释〔2022〕9号</w:t>
      </w:r>
    </w:p>
    <w:p w14:paraId="7B5028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（2022年1月29日最高人民法院审判委员会第1862次会议通过，自2022年3月20日起施行）</w:t>
      </w:r>
    </w:p>
    <w:p w14:paraId="4D257E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为正确审理因不正当竞争行为引发的民事案件，根据《中华人民共和国民法典》《中华人民共和国反不正当竞争法》《中华人民共和国民事诉讼法》等有关法律规定，结合审判实践，制定本解释。</w:t>
      </w:r>
    </w:p>
    <w:p w14:paraId="327FB2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经营者扰乱市场竞争秩序，损害其他经营者或者消费者合法权益，且属于违反</w:t>
      </w:r>
      <w:proofErr w:type="gramStart"/>
      <w:r>
        <w:rPr>
          <w:rFonts w:ascii="宋体" w:eastAsia="宋体" w:hAnsi="宋体" w:cs="宋体" w:hint="eastAsia"/>
          <w:sz w:val="24"/>
        </w:rPr>
        <w:t>反</w:t>
      </w:r>
      <w:proofErr w:type="gramEnd"/>
      <w:r>
        <w:rPr>
          <w:rFonts w:ascii="宋体" w:eastAsia="宋体" w:hAnsi="宋体" w:cs="宋体" w:hint="eastAsia"/>
          <w:sz w:val="24"/>
        </w:rPr>
        <w:t>不正当竞争法第二章及专利法、商标法、著作权法等规定之外情形的，人民法院可以适用反不正当竞争法第二条予以认定。</w:t>
      </w:r>
    </w:p>
    <w:p w14:paraId="67E371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与经营者在生产经营活动中存在可能的争夺交易机会、损害竞争优势等关系的市场主体，人民法院可以认定为反不正当竞争法第二条规定的“其他经营者”。</w:t>
      </w:r>
    </w:p>
    <w:p w14:paraId="1B904A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特定商业领域普遍遵循和认可的行为规范，人民法院可以认定为反不正当竞争法第二条规定的“商业道德”。</w:t>
      </w:r>
    </w:p>
    <w:p w14:paraId="09999D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人民法院应当结合案件具体情况，综合考虑行业规则或者商业惯例、经营者的主观状态、交易相对人的选择意愿、对消费者权益、市场竞争秩序、社会公共利益的影响等因素，依法判断经营者是否违反商业道德。</w:t>
      </w:r>
    </w:p>
    <w:p w14:paraId="652DF7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人民法院认定经营者是否违反商业道德时，可以参考行业主管部门、行业协会或者自律组织制定的从业规范、技术规范、自律公约等。</w:t>
      </w:r>
    </w:p>
    <w:p w14:paraId="2F74DF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具有一定的市场知名度并具有区别商品来源的显著特征的标识，人民法院可以认定为反不正当竞争法第六条规定的“有一定影响的”标识。</w:t>
      </w:r>
    </w:p>
    <w:p w14:paraId="31A371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认定反不正当竞争法第六条规定的标识是否具有一定的市场知名度，应当综合考虑中国境内相关公众的知悉程度，商品销售的时间、区域、数额和对象，宣传的持续时间、程度和地域范围，标识受保护的情况等因素。</w:t>
      </w:r>
    </w:p>
    <w:p w14:paraId="663421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第五条 反不正当竞争法第六条规定的标识有下列情形之一的，人民法院应当认定其不具有区别商品来源的显著特征:</w:t>
      </w:r>
    </w:p>
    <w:p w14:paraId="78E359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（一）商品的通用名称、图形、型号;</w:t>
      </w:r>
    </w:p>
    <w:p w14:paraId="44EDE6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（二）仅直接表示商品的质量、主要原料、功能、用途、重量、数量及其他特点的标识;</w:t>
      </w:r>
    </w:p>
    <w:p w14:paraId="75A658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（三）仅由商品自身的性质产生的形状，为获得技术效果而需有的商品形状以及使商品具有实质性价值的形状;</w:t>
      </w:r>
    </w:p>
    <w:p w14:paraId="099087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（四）其他缺乏显著特征的标识。</w:t>
      </w:r>
    </w:p>
    <w:p w14:paraId="089E3C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前款第一项、第二项、第四项规定的标识经过使用取得显著特征，并具有一定的市场知名度，当事人请求依据反不正当竞争法第六条规定予以保护的，人民法院应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398AEB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因客观描述、说明商品而正当使用下列标识，当事人主张属于反不正当竞争法第六条规定的情形的，人民法院不予支持：</w:t>
      </w:r>
    </w:p>
    <w:p w14:paraId="216743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（一）含有本商品的通用名称、图形、型号；</w:t>
      </w:r>
    </w:p>
    <w:p w14:paraId="118756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（二）直接表示商品的质量、主要原料、功能、用途、重量、数量以及其他特点；</w:t>
      </w:r>
    </w:p>
    <w:p w14:paraId="1000F8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（三）含有地名。</w:t>
      </w:r>
    </w:p>
    <w:p w14:paraId="103AC0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反不正当竞争法第六条规定的标识或者其显著识别部分属于商标法第十条第一款规定的不得作为商标使用的标志，当事人请求依据反不正当竞争法第六条规定予以保护的，人民法院不予支持。</w:t>
      </w:r>
    </w:p>
    <w:p w14:paraId="38F524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由经营者营业场所的装饰、营业用具的式样、营业人员的服饰等构成的具有独特风格的整体营业形象，人民法院可以认定为反不正当竞争法第六条第一项规定的“装潢”。</w:t>
      </w:r>
    </w:p>
    <w:p w14:paraId="2F8B51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市场主体登记管理部门依法登记的企业名称，以及在中国境内进行商业使用的境外企业名称，人民法院可以认定为反不正当竞争法第六条第二项规</w:t>
      </w:r>
      <w:r>
        <w:rPr>
          <w:rFonts w:ascii="宋体" w:eastAsia="宋体" w:hAnsi="宋体" w:cs="宋体" w:hint="eastAsia"/>
          <w:sz w:val="24"/>
        </w:rPr>
        <w:lastRenderedPageBreak/>
        <w:t>定的“企业名称”。</w:t>
      </w:r>
    </w:p>
    <w:p w14:paraId="0EC3EA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有一定影响的个体工商户、农民专业合作社（联合社）以及法律、行政法规规定的其他市场主体的名称（包括简称、字号等），人民法院可以依照反不正当竞争法第六条第二项予以认定。</w:t>
      </w:r>
    </w:p>
    <w:p w14:paraId="0CFBD8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在中国境内将有一定影响的标识用于商品、商品包装或者容器以及商品交易文书上，或者广告宣传、展览以及其他商业活动中，用于识别商品来源的行为，人民法院可以认定为反不正当竞争法第六条规定的“使用”。</w:t>
      </w:r>
    </w:p>
    <w:p w14:paraId="34B729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经营者擅自使用与他人有一定影响的企业名称（包括简称、字号等）、社会组织名称（包括简称等）、姓名（包括笔名、艺名、译名等）、域名主体部分、网站名称、网页等近似的标识，引人误认为是他人商品或者与他人存在特定联系，当事人主张属于反不正当竞争法第六条第二项、第三项规定的情形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71B16F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人民法院认定与反不正当竞争法第六条规定的“有一定影响的”标识相同或者近似，可以参照商标相同或者近似的判断原则和方法。</w:t>
      </w:r>
    </w:p>
    <w:p w14:paraId="3F0657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反不正当竞争法第六条规定的“引人误认为是他人商品或者与他人存在特定联系”，包括误认为与他人具有商业联合、许可使用、商业冠名、广告代言等特定联系。</w:t>
      </w:r>
    </w:p>
    <w:p w14:paraId="7164F9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在相同商品上使用相同或者视觉上基本无差别的商品名称、包装、装潢等标识，应当视为足以造成与他人有一定影响的标识相混淆。</w:t>
      </w:r>
    </w:p>
    <w:p w14:paraId="49B40E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经营者实施下列混淆行为之一，足以引人误认为是他人商品或者与他人存在</w:t>
      </w:r>
      <w:proofErr w:type="gramStart"/>
      <w:r>
        <w:rPr>
          <w:rFonts w:ascii="宋体" w:eastAsia="宋体" w:hAnsi="宋体" w:cs="宋体" w:hint="eastAsia"/>
          <w:sz w:val="24"/>
        </w:rPr>
        <w:t>特定联系</w:t>
      </w:r>
      <w:proofErr w:type="gramEnd"/>
      <w:r>
        <w:rPr>
          <w:rFonts w:ascii="宋体" w:eastAsia="宋体" w:hAnsi="宋体" w:cs="宋体" w:hint="eastAsia"/>
          <w:sz w:val="24"/>
        </w:rPr>
        <w:t>的，人民法院可以依照反不正当竞争法第六条第四项予以认定：</w:t>
      </w:r>
    </w:p>
    <w:p w14:paraId="1B9141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（一）擅自使用反不正当竞争法第六条第一项、第二项、第三项规定以外“有一定影响的”标识；</w:t>
      </w:r>
    </w:p>
    <w:p w14:paraId="2E9BBA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（二）将他人注册商标、未注册的驰名商标作为企业名称中的字号使用，误导公众。</w:t>
      </w:r>
    </w:p>
    <w:p w14:paraId="273E70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第十四条 经营者销售带有违反</w:t>
      </w:r>
      <w:proofErr w:type="gramStart"/>
      <w:r>
        <w:rPr>
          <w:rFonts w:ascii="宋体" w:eastAsia="宋体" w:hAnsi="宋体" w:cs="宋体" w:hint="eastAsia"/>
          <w:sz w:val="24"/>
        </w:rPr>
        <w:t>反</w:t>
      </w:r>
      <w:proofErr w:type="gramEnd"/>
      <w:r>
        <w:rPr>
          <w:rFonts w:ascii="宋体" w:eastAsia="宋体" w:hAnsi="宋体" w:cs="宋体" w:hint="eastAsia"/>
          <w:sz w:val="24"/>
        </w:rPr>
        <w:t>不正当竞争法第六条规定的标识的商品，引人误认为是他人商品或者与他人存在特定联系，当事人主张构成反不正当竞争法第六条规定的情形的，人民法院应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217FF2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销售不知道是前款规定的侵权商品，能证明该商品是自己合法取得并说明提供者，经营者主张不承担赔偿责任的，人民法院应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4482D7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故意为他人实施混淆行为提供仓储、运输、邮寄、印制、隐匿、经营场所等便利条件，当事人请求依据民法典第一千一百六十九条第一款予以认定的，人民法院应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6A93DA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经营者在商业宣传过程中，提供不真实的商品相关信息，欺骗、误导相关公众的，人民法院应当认定为反不正当竞争法第八条第一款规定的虚假的商业宣传。</w:t>
      </w:r>
    </w:p>
    <w:p w14:paraId="45433B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经营者具有下列行为之一，欺骗、误导相关公众的，人民法院可以认定为反不正当竞争法第八条第一款规定的“引人误解的商业宣传”：</w:t>
      </w:r>
    </w:p>
    <w:p w14:paraId="3F4F53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（一）对商品作片面的宣传或者对比；</w:t>
      </w:r>
    </w:p>
    <w:p w14:paraId="614AF9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（二）将科学上未定论的观点、现象等当作定论的事实用于商品宣传；</w:t>
      </w:r>
    </w:p>
    <w:p w14:paraId="1462FB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（三）使用歧义性语言进行商业宣传；</w:t>
      </w:r>
    </w:p>
    <w:p w14:paraId="345BEC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（四）其他足以引人误解的商业宣传行为。</w:t>
      </w:r>
    </w:p>
    <w:p w14:paraId="4591F5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人民法院应当根据日常生活经验、相关公众一般注意力、发生误解的事实和被宣传对象的实际情况等因素，对引人误解的商业宣传行为进行认定。</w:t>
      </w:r>
    </w:p>
    <w:p w14:paraId="0B94F8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当事人主张经营者违反</w:t>
      </w:r>
      <w:proofErr w:type="gramStart"/>
      <w:r>
        <w:rPr>
          <w:rFonts w:ascii="宋体" w:eastAsia="宋体" w:hAnsi="宋体" w:cs="宋体" w:hint="eastAsia"/>
          <w:sz w:val="24"/>
        </w:rPr>
        <w:t>反</w:t>
      </w:r>
      <w:proofErr w:type="gramEnd"/>
      <w:r>
        <w:rPr>
          <w:rFonts w:ascii="宋体" w:eastAsia="宋体" w:hAnsi="宋体" w:cs="宋体" w:hint="eastAsia"/>
          <w:sz w:val="24"/>
        </w:rPr>
        <w:t>不正当竞争法第八条第一款的规定并请求赔偿损失的，应当举证证明其因虚假或者引人误解的商业宣传行为受到损失。</w:t>
      </w:r>
    </w:p>
    <w:p w14:paraId="6D09E5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当事人主张经营者实施了反不正当竞争法第十一条规定的商业诋毁行为的，应当举证证明其为该商业诋毁行为的特定损害对象。</w:t>
      </w:r>
    </w:p>
    <w:p w14:paraId="2FC967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经营者传播他人编造的虚假信息或者误导性信息，损害竞争对手的商业信誉、商品声誉的，人民法院应当依照反不正当竞争法第十一条予以认定。</w:t>
      </w:r>
    </w:p>
    <w:p w14:paraId="5C9035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第二十一条 未经其他经营者和用户同意而直接发生的目标跳转，人民法院应当认定为反不正当竞争法第十二条第二款第一项规定的“强制进行目标跳转”。</w:t>
      </w:r>
    </w:p>
    <w:p w14:paraId="236634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仅插入链接，目标跳转由用户触发的，人民法院应当综合考虑插入链接的具体方式、是否具有合理理由以及对用户利益和其他经营者利益的影响等因素，认定该行为是否违反</w:t>
      </w:r>
      <w:proofErr w:type="gramStart"/>
      <w:r>
        <w:rPr>
          <w:rFonts w:ascii="宋体" w:eastAsia="宋体" w:hAnsi="宋体" w:cs="宋体" w:hint="eastAsia"/>
          <w:sz w:val="24"/>
        </w:rPr>
        <w:t>反</w:t>
      </w:r>
      <w:proofErr w:type="gramEnd"/>
      <w:r>
        <w:rPr>
          <w:rFonts w:ascii="宋体" w:eastAsia="宋体" w:hAnsi="宋体" w:cs="宋体" w:hint="eastAsia"/>
          <w:sz w:val="24"/>
        </w:rPr>
        <w:t>不正当竞争法第十二条第二款第一项的规定。</w:t>
      </w:r>
    </w:p>
    <w:p w14:paraId="22EDC3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经营者事前未明确提示并经用户同意，以误导、欺骗、强迫用户修改、关闭、卸载等方式，恶意干扰或者破坏其他经营者合法提供的网络产品或者服务，人民法院应当依照反不正当竞争法第十二条第二款第二项予以认定。</w:t>
      </w:r>
    </w:p>
    <w:p w14:paraId="1670DA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对于反不正当竞争法第二条、第八条、第十一条、第十二条规定的不正当竞争行为，权利人因被侵权所受到的实际损失、侵权人因侵权所获得的利益难以确定，当事人主张依据反不正当竞争法第十七条第四款确定赔偿数额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027040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对于同一侵权人针对同一主体在同一时间和地域范围实施的侵权行为，人民法院已经认定侵害著作权、专利权或者注册商标专用权等并判令承担民事责任，当事人又以该行为构成不正当竞争为由请求同一侵权人承担民事责任的，人民法院不予支持。</w:t>
      </w:r>
    </w:p>
    <w:p w14:paraId="27799E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依据反不正当竞争法第六条的规定，当事人主张判令被告停止使用或者变更其企业名称的诉讼请求依法应</w:t>
      </w:r>
      <w:proofErr w:type="gramStart"/>
      <w:r>
        <w:rPr>
          <w:rFonts w:ascii="宋体" w:eastAsia="宋体" w:hAnsi="宋体" w:cs="宋体" w:hint="eastAsia"/>
          <w:sz w:val="24"/>
        </w:rPr>
        <w:t>予支</w:t>
      </w:r>
      <w:proofErr w:type="gramEnd"/>
      <w:r>
        <w:rPr>
          <w:rFonts w:ascii="宋体" w:eastAsia="宋体" w:hAnsi="宋体" w:cs="宋体" w:hint="eastAsia"/>
          <w:sz w:val="24"/>
        </w:rPr>
        <w:t>持的，人民法院应当判令停止使用该企业名称。</w:t>
      </w:r>
    </w:p>
    <w:p w14:paraId="7FB7BD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因不正当竞争行为提起的民事诉讼，由侵权行为地或者被告住所地人民法院管辖。</w:t>
      </w:r>
    </w:p>
    <w:p w14:paraId="46F3DB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w:t>
      </w:r>
      <w:proofErr w:type="gramStart"/>
      <w:r>
        <w:rPr>
          <w:rFonts w:ascii="宋体" w:eastAsia="宋体" w:hAnsi="宋体" w:cs="宋体" w:hint="eastAsia"/>
          <w:sz w:val="24"/>
        </w:rPr>
        <w:t>主张仅</w:t>
      </w:r>
      <w:proofErr w:type="gramEnd"/>
      <w:r>
        <w:rPr>
          <w:rFonts w:ascii="宋体" w:eastAsia="宋体" w:hAnsi="宋体" w:cs="宋体" w:hint="eastAsia"/>
          <w:sz w:val="24"/>
        </w:rPr>
        <w:t>以网络购买者可以任意选择的收货地作为侵权行为地的，人民法院不予支持。</w:t>
      </w:r>
    </w:p>
    <w:p w14:paraId="144343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第二十七条 </w:t>
      </w:r>
      <w:proofErr w:type="gramStart"/>
      <w:r>
        <w:rPr>
          <w:rFonts w:ascii="宋体" w:eastAsia="宋体" w:hAnsi="宋体" w:cs="宋体" w:hint="eastAsia"/>
          <w:sz w:val="24"/>
        </w:rPr>
        <w:t>被诉不正当</w:t>
      </w:r>
      <w:proofErr w:type="gramEnd"/>
      <w:r>
        <w:rPr>
          <w:rFonts w:ascii="宋体" w:eastAsia="宋体" w:hAnsi="宋体" w:cs="宋体" w:hint="eastAsia"/>
          <w:sz w:val="24"/>
        </w:rPr>
        <w:t>竞争行为发生在中华人民共和国领域外，但侵权结果发生在中华人民共和国领域内，当事人主张由该侵权结果发生地人民法院管辖的，人民法院应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739389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第二十八条 反不正当竞争法修改决定施行以后人民法院受理的不正当竞争民事案件，涉及该决定施行前发生的行为的，适用修改前的反不正当竞争法；涉及该决定施行前发生、持续到该决定施行以后的行为的，适用修改后的反不正当竞争法。</w:t>
      </w:r>
    </w:p>
    <w:p w14:paraId="7E18E3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本</w:t>
      </w:r>
      <w:proofErr w:type="gramStart"/>
      <w:r>
        <w:rPr>
          <w:rFonts w:ascii="宋体" w:eastAsia="宋体" w:hAnsi="宋体" w:cs="宋体" w:hint="eastAsia"/>
          <w:sz w:val="24"/>
        </w:rPr>
        <w:t>解释自</w:t>
      </w:r>
      <w:proofErr w:type="gramEnd"/>
      <w:r>
        <w:rPr>
          <w:rFonts w:ascii="宋体" w:eastAsia="宋体" w:hAnsi="宋体" w:cs="宋体" w:hint="eastAsia"/>
          <w:sz w:val="24"/>
        </w:rPr>
        <w:t>2022年3月20日起施行。《最高人民法院关于审理不正当竞争民事案件应用法律若干问题的解释》（法释〔2007〕2号）同时废止。</w:t>
      </w:r>
    </w:p>
    <w:p w14:paraId="1BE2EB45"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本解释施行以后尚未终审的案件，适用本解释；施行以前已经终审的案件，不适用本解释再审。</w:t>
      </w:r>
    </w:p>
    <w:p w14:paraId="6B6868F1"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24.《最高人民法院关于审理人身损害赔偿案件适用法律若干问题的解释（2022修正）》</w:t>
      </w:r>
      <w:r>
        <w:rPr>
          <w:rFonts w:ascii="宋体" w:eastAsia="宋体" w:hAnsi="宋体" w:cs="宋体" w:hint="eastAsia"/>
          <w:b/>
          <w:bCs/>
          <w:sz w:val="24"/>
        </w:rPr>
        <w:tab/>
      </w:r>
    </w:p>
    <w:p w14:paraId="1F8ECC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w:t>
      </w:r>
      <w:r>
        <w:rPr>
          <w:rFonts w:ascii="宋体" w:eastAsia="宋体" w:hAnsi="宋体" w:cs="宋体" w:hint="eastAsia"/>
          <w:sz w:val="24"/>
        </w:rPr>
        <w:tab/>
        <w:t xml:space="preserve">     文号：法释〔2022〕14号</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443CBB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（2003年12月4日最高人民法院审判委员会第1299次会议通过；根据2020年12月23日最高人民法院审判委员会第1823次会议通过的</w:t>
      </w:r>
      <w:proofErr w:type="gramStart"/>
      <w:r>
        <w:rPr>
          <w:rFonts w:ascii="宋体" w:eastAsia="宋体" w:hAnsi="宋体" w:cs="宋体" w:hint="eastAsia"/>
          <w:sz w:val="24"/>
        </w:rPr>
        <w:t>《</w:t>
      </w:r>
      <w:proofErr w:type="gramEnd"/>
      <w:r>
        <w:rPr>
          <w:rFonts w:ascii="宋体" w:eastAsia="宋体" w:hAnsi="宋体" w:cs="宋体" w:hint="eastAsia"/>
          <w:sz w:val="24"/>
        </w:rPr>
        <w:t>最高人民法院关于修改〈最高人民法院关于在民事审判工作中适用《中华人民共和国工会法》若干问题的解释〉等二十七件民事类司法解释的决定</w:t>
      </w:r>
      <w:proofErr w:type="gramStart"/>
      <w:r>
        <w:rPr>
          <w:rFonts w:ascii="宋体" w:eastAsia="宋体" w:hAnsi="宋体" w:cs="宋体" w:hint="eastAsia"/>
          <w:sz w:val="24"/>
        </w:rPr>
        <w:t>》</w:t>
      </w:r>
      <w:proofErr w:type="gramEnd"/>
      <w:r>
        <w:rPr>
          <w:rFonts w:ascii="宋体" w:eastAsia="宋体" w:hAnsi="宋体" w:cs="宋体" w:hint="eastAsia"/>
          <w:sz w:val="24"/>
        </w:rPr>
        <w:t>修正；根据2022年2月15日最高人民法院审判委员会第1864次会议通过的《最高人民法院关于修改〈最高人民法院关于审理人身损害赔偿案件适用法律若干问题的解释〉的决定》修正，该</w:t>
      </w:r>
      <w:proofErr w:type="gramStart"/>
      <w:r>
        <w:rPr>
          <w:rFonts w:ascii="宋体" w:eastAsia="宋体" w:hAnsi="宋体" w:cs="宋体" w:hint="eastAsia"/>
          <w:sz w:val="24"/>
        </w:rPr>
        <w:t>修正自</w:t>
      </w:r>
      <w:proofErr w:type="gramEnd"/>
      <w:r>
        <w:rPr>
          <w:rFonts w:ascii="宋体" w:eastAsia="宋体" w:hAnsi="宋体" w:cs="宋体" w:hint="eastAsia"/>
          <w:sz w:val="24"/>
        </w:rPr>
        <w:t>2022年5月1日起施行）</w:t>
      </w:r>
    </w:p>
    <w:p w14:paraId="68E021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为正确审理人身损害赔偿案件，依法保护当事人的合法权益，根据《中华人民共和国民法典》《中华人民共和国民事诉讼法》等有关法律规定，结合审判实践，制定本解释。</w:t>
      </w:r>
    </w:p>
    <w:p w14:paraId="796F7F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因生命、身体、健康遭受侵害，赔偿权利人起诉请求赔偿义务人赔偿物质损害和精神损害的，人民法院应予受理。</w:t>
      </w:r>
    </w:p>
    <w:p w14:paraId="456847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本条所称“赔偿权利人”，是指因侵权行为或者其他致害原因直接遭受人身损害的受害人以及死亡受害人的近亲属。</w:t>
      </w:r>
    </w:p>
    <w:p w14:paraId="4C98F4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本条所称“赔偿义务人”，是指因自己或者他人的侵权行为以及其他致害原因依法应当承担民事责任的自然人、法人或者非法人组织。</w:t>
      </w:r>
    </w:p>
    <w:p w14:paraId="22E1D9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赔偿权利人起诉部分共同侵权人的，人民法院应当追加其他共同侵权人作为共同被告。赔偿权利人在诉讼中放弃对部分共同侵权人的诉讼请求的，其他共同侵权人对被放弃诉讼请求的被告应当承担的赔偿份额不承担连带责任。责任范围难以确定的，推定各共同侵权人承担同等责任。</w:t>
      </w:r>
    </w:p>
    <w:p w14:paraId="4D57BE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人民法院应当将放弃诉讼请求的法律后果告知赔偿权利人，并将放弃诉讼请求的情况在法律文书中叙明。</w:t>
      </w:r>
    </w:p>
    <w:p w14:paraId="3A3E5B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依法应当参加工伤保险统筹的用人单位的劳动者，因工伤事故遭受</w:t>
      </w:r>
      <w:r>
        <w:rPr>
          <w:rFonts w:ascii="宋体" w:eastAsia="宋体" w:hAnsi="宋体" w:cs="宋体" w:hint="eastAsia"/>
          <w:sz w:val="24"/>
        </w:rPr>
        <w:lastRenderedPageBreak/>
        <w:t>人身损害，劳动者或者其近亲属向人民法院起诉请求用人单位承担民事赔偿责任的，告知其按《工伤保险条例》的规定处理。</w:t>
      </w:r>
    </w:p>
    <w:p w14:paraId="054C89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因用人单位以外的第三人侵权造成劳动者人身损害，赔偿权利人请求第三人承担民事赔偿责任的，人民法院应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643FC3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无偿提供劳务的帮工人，在从事帮工活动中致人损害的，被帮工人应当承担赔偿责任。被帮工人承担赔偿责任后向有故意或者重大过失的帮工人追偿的，人民法院应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持。被帮工人明确拒绝帮工的，不承担赔偿责任。</w:t>
      </w:r>
    </w:p>
    <w:p w14:paraId="7D496C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无偿提供劳务的帮工人因帮工活动遭受人身损害的，根据帮工人和被帮工人各自的过错承担相应的责任；被帮工人明确拒绝帮工的，被帮工人不承担赔偿责任，但可以在受益范围内予以适当补偿。</w:t>
      </w:r>
    </w:p>
    <w:p w14:paraId="04C3BB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帮工人在帮工活动中因第三人的行为遭受人身损害的，有权请求第三人承担赔偿责任，也有权请求被帮工人予以适当补偿。被帮工人补偿后，可以向第三人追偿。</w:t>
      </w:r>
    </w:p>
    <w:p w14:paraId="63F3F9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医疗费根据医疗机构出具的医药费、住院费等收款凭证，结合病历和诊断证明等相关证据确定。赔偿义务人对治疗的必要性和合理性有异议的，应当承担相应的举证责任。</w:t>
      </w:r>
    </w:p>
    <w:p w14:paraId="21B91B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医疗费的赔偿数额，按照一审法庭辩论终结</w:t>
      </w:r>
      <w:proofErr w:type="gramStart"/>
      <w:r>
        <w:rPr>
          <w:rFonts w:ascii="宋体" w:eastAsia="宋体" w:hAnsi="宋体" w:cs="宋体" w:hint="eastAsia"/>
          <w:sz w:val="24"/>
        </w:rPr>
        <w:t>前实际</w:t>
      </w:r>
      <w:proofErr w:type="gramEnd"/>
      <w:r>
        <w:rPr>
          <w:rFonts w:ascii="宋体" w:eastAsia="宋体" w:hAnsi="宋体" w:cs="宋体" w:hint="eastAsia"/>
          <w:sz w:val="24"/>
        </w:rPr>
        <w:t>发生的数额确定。器官功能恢复训练所必要的康复费、适当的整容费以及其他后续治疗费，赔偿权利人可以</w:t>
      </w:r>
      <w:proofErr w:type="gramStart"/>
      <w:r>
        <w:rPr>
          <w:rFonts w:ascii="宋体" w:eastAsia="宋体" w:hAnsi="宋体" w:cs="宋体" w:hint="eastAsia"/>
          <w:sz w:val="24"/>
        </w:rPr>
        <w:t>待实际</w:t>
      </w:r>
      <w:proofErr w:type="gramEnd"/>
      <w:r>
        <w:rPr>
          <w:rFonts w:ascii="宋体" w:eastAsia="宋体" w:hAnsi="宋体" w:cs="宋体" w:hint="eastAsia"/>
          <w:sz w:val="24"/>
        </w:rPr>
        <w:t>发生后另行起诉。但根据医疗证明或者鉴定结论确定必然发生的费用，可以与已经发生的医疗费一并予以赔偿。</w:t>
      </w:r>
    </w:p>
    <w:p w14:paraId="55541A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误工费根据受害人的误工时间和收入状况确定。</w:t>
      </w:r>
    </w:p>
    <w:p w14:paraId="1676B3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误工时间根据受害人接受治疗的医疗机构出具的证明确定。受害人因伤致残持续误工的，误工时间可以计算</w:t>
      </w:r>
      <w:proofErr w:type="gramStart"/>
      <w:r>
        <w:rPr>
          <w:rFonts w:ascii="宋体" w:eastAsia="宋体" w:hAnsi="宋体" w:cs="宋体" w:hint="eastAsia"/>
          <w:sz w:val="24"/>
        </w:rPr>
        <w:t>至定残日前</w:t>
      </w:r>
      <w:proofErr w:type="gramEnd"/>
      <w:r>
        <w:rPr>
          <w:rFonts w:ascii="宋体" w:eastAsia="宋体" w:hAnsi="宋体" w:cs="宋体" w:hint="eastAsia"/>
          <w:sz w:val="24"/>
        </w:rPr>
        <w:t>一天。</w:t>
      </w:r>
    </w:p>
    <w:p w14:paraId="62C9F6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受害人有固定收入的，误工</w:t>
      </w:r>
      <w:proofErr w:type="gramStart"/>
      <w:r>
        <w:rPr>
          <w:rFonts w:ascii="宋体" w:eastAsia="宋体" w:hAnsi="宋体" w:cs="宋体" w:hint="eastAsia"/>
          <w:sz w:val="24"/>
        </w:rPr>
        <w:t>费按照</w:t>
      </w:r>
      <w:proofErr w:type="gramEnd"/>
      <w:r>
        <w:rPr>
          <w:rFonts w:ascii="宋体" w:eastAsia="宋体" w:hAnsi="宋体" w:cs="宋体" w:hint="eastAsia"/>
          <w:sz w:val="24"/>
        </w:rPr>
        <w:t>实际减少的收入计算。受害人无固定收入的，按照其最近三年的平均收入计算；受害人不能举证证明其最近三年的平均收入状况的，可以参照受诉法院所在地相同或者相近行业上一年度职工的平均工资</w:t>
      </w:r>
      <w:r>
        <w:rPr>
          <w:rFonts w:ascii="宋体" w:eastAsia="宋体" w:hAnsi="宋体" w:cs="宋体" w:hint="eastAsia"/>
          <w:sz w:val="24"/>
        </w:rPr>
        <w:lastRenderedPageBreak/>
        <w:t>计算。</w:t>
      </w:r>
    </w:p>
    <w:p w14:paraId="78F60E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护理费根据护理人员的收入状况和护理人数、护理期限确定。</w:t>
      </w:r>
    </w:p>
    <w:p w14:paraId="129E56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护理人员有收入的，参照误工费的规定计算；护理人员没有收入或者雇佣护工的，参照当地护工从事同等级别护理的劳务报酬标准计算。护理人员原则上为一人，但医疗机构或者鉴定机构有明确意见的，可以参照确定护理人员人数。</w:t>
      </w:r>
    </w:p>
    <w:p w14:paraId="5F758A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护理期限应计算至受害人恢复生活自理能力时止。受害人因残疾不能恢复生活自理能力的，可以根据其年龄、健康状况等因素确定合理的护理期限，但最长不超过二十年。</w:t>
      </w:r>
    </w:p>
    <w:p w14:paraId="3B5DDC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受害人定残后的护理，应当根据其护理依赖程度并结合配制残疾辅助器具的情况确定护理级别。</w:t>
      </w:r>
    </w:p>
    <w:p w14:paraId="1AE91F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交通费根据受害人及其必要的陪护人员因就医或者转院治疗实际发生的费用计算。交通费应当以正式票据为凭；有关凭据应当与就医地点、时间、人数、次数相符合。</w:t>
      </w:r>
    </w:p>
    <w:p w14:paraId="7C67E6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住院伙食补助费可以参照当地国家机关一般工作人员的出差伙食补助标准予以确定。</w:t>
      </w:r>
    </w:p>
    <w:p w14:paraId="38F15C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受害人确有必要到外地治疗，因客观原因不能住院，受害人本人及其陪护人员实际发生的住宿费和伙食费，其合理部分应予赔偿。</w:t>
      </w:r>
    </w:p>
    <w:p w14:paraId="1E8254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营养费根据受害人伤残情况参照医疗机构的意见确定。</w:t>
      </w:r>
    </w:p>
    <w:p w14:paraId="08E440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残疾赔偿金根据受害人丧失劳动能力程度或者伤残等级，按照受诉法院所在地上一年度城镇居民人均可支配收入标准，自定残之日起按二十年计算。但六十周岁以上的，年龄每增加一岁减少一年；七十五周岁以上的，按五年计算。</w:t>
      </w:r>
    </w:p>
    <w:p w14:paraId="378C50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受害人因伤</w:t>
      </w:r>
      <w:proofErr w:type="gramStart"/>
      <w:r>
        <w:rPr>
          <w:rFonts w:ascii="宋体" w:eastAsia="宋体" w:hAnsi="宋体" w:cs="宋体" w:hint="eastAsia"/>
          <w:sz w:val="24"/>
        </w:rPr>
        <w:t>致残但</w:t>
      </w:r>
      <w:proofErr w:type="gramEnd"/>
      <w:r>
        <w:rPr>
          <w:rFonts w:ascii="宋体" w:eastAsia="宋体" w:hAnsi="宋体" w:cs="宋体" w:hint="eastAsia"/>
          <w:sz w:val="24"/>
        </w:rPr>
        <w:t>实际收入没有减少，或者伤残等级较轻但造成职业妨害严重影响其劳动就业的，可以对残疾赔偿金作相应调整。</w:t>
      </w:r>
    </w:p>
    <w:p w14:paraId="1CF4BB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残疾辅助器具</w:t>
      </w:r>
      <w:proofErr w:type="gramStart"/>
      <w:r>
        <w:rPr>
          <w:rFonts w:ascii="宋体" w:eastAsia="宋体" w:hAnsi="宋体" w:cs="宋体" w:hint="eastAsia"/>
          <w:sz w:val="24"/>
        </w:rPr>
        <w:t>费按照</w:t>
      </w:r>
      <w:proofErr w:type="gramEnd"/>
      <w:r>
        <w:rPr>
          <w:rFonts w:ascii="宋体" w:eastAsia="宋体" w:hAnsi="宋体" w:cs="宋体" w:hint="eastAsia"/>
          <w:sz w:val="24"/>
        </w:rPr>
        <w:t>普通适用器具的合理费用标准计算。伤情有特殊需要的，可以参照辅助器具配制机构的意见确定相应的合理费用标准。</w:t>
      </w:r>
    </w:p>
    <w:p w14:paraId="73CB3A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辅助器具的更换周期和赔偿期限参照配制机构的意见确定。</w:t>
      </w:r>
    </w:p>
    <w:p w14:paraId="569EA7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丧葬费按照受诉法院所在地上一年度职工月平均工资标准，以六个月总额计算。</w:t>
      </w:r>
    </w:p>
    <w:p w14:paraId="1F9A0F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死亡赔偿金按照受诉法院所在地上一年度城镇居民人均可支配收入标准，按二十年计算。但六十周岁以上的，年龄每增加一岁减少一年；七十五周岁以上的，按五年计算。</w:t>
      </w:r>
    </w:p>
    <w:p w14:paraId="7440D3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被扶养人生活费计入残疾赔偿金或者死亡赔偿金。</w:t>
      </w:r>
    </w:p>
    <w:p w14:paraId="760BE9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被扶养人生活费根据扶养人丧失劳动能力程度，按照受诉法院所在地上一年度城镇居民人均消费支出标准计算。被扶养人为未成年人的，计算至十八周岁；被扶养人无劳动能力又无其他生活来源的，计算二十年。但六十周岁以上的，年龄每增加一岁减少一年；七十五周岁以上的，按五年计算。</w:t>
      </w:r>
    </w:p>
    <w:p w14:paraId="41F85A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被扶养人是指受害人依法应当承担扶养义务的未成年人或者丧失劳动能力又无其他生活来源的成年近亲属。被扶养人还有其他扶养人的，赔偿义务人只赔偿受害人依法应当负担的部分。被扶养人有数人的，</w:t>
      </w:r>
      <w:proofErr w:type="gramStart"/>
      <w:r>
        <w:rPr>
          <w:rFonts w:ascii="宋体" w:eastAsia="宋体" w:hAnsi="宋体" w:cs="宋体" w:hint="eastAsia"/>
          <w:sz w:val="24"/>
        </w:rPr>
        <w:t>年赔偿</w:t>
      </w:r>
      <w:proofErr w:type="gramEnd"/>
      <w:r>
        <w:rPr>
          <w:rFonts w:ascii="宋体" w:eastAsia="宋体" w:hAnsi="宋体" w:cs="宋体" w:hint="eastAsia"/>
          <w:sz w:val="24"/>
        </w:rPr>
        <w:t>总额累计不超过上一年度城镇居民人均消费支出额。</w:t>
      </w:r>
    </w:p>
    <w:p w14:paraId="6FB9DA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赔偿权利人举证证明其住所地或者经常居住地城镇居民人均可支配收入高于受诉法院所在地标准的，残疾赔偿金或者死亡赔偿金可以按照其住所地或者经常居住地的相关标准计算。</w:t>
      </w:r>
    </w:p>
    <w:p w14:paraId="480554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被扶养人生活费的相关计算标准，依照前款原则确定。</w:t>
      </w:r>
    </w:p>
    <w:p w14:paraId="0F7E7F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超过确定的护理期限、辅助器具费给付年限或者残疾赔偿金给付年限，赔偿权利人向人民法院起诉请求继续给付护理费、辅助器具费或者残疾赔偿金的，人民法院应予受理。赔偿权利人确需继续护理、配制辅助器具，或者没有劳动能力和生活来源的，人民法院应当判令赔偿义务人继续给付相关费用五至十年。</w:t>
      </w:r>
    </w:p>
    <w:p w14:paraId="02E4D6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赔偿义务人请求以定期金方式给付残疾赔偿金、辅助器具费的，应当提供相应的担保。人民法院可以根据赔偿义务人的给付能力和提供担保的情</w:t>
      </w:r>
      <w:r>
        <w:rPr>
          <w:rFonts w:ascii="宋体" w:eastAsia="宋体" w:hAnsi="宋体" w:cs="宋体" w:hint="eastAsia"/>
          <w:sz w:val="24"/>
        </w:rPr>
        <w:lastRenderedPageBreak/>
        <w:t>况，确定以定期金方式给付相关费用。但是，一审法庭辩论终结前已经发生的费用、死亡赔偿金以及精神损害抚慰金，应当一次性给付。</w:t>
      </w:r>
    </w:p>
    <w:p w14:paraId="2007B5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人民法院应当在法律文书中明确定期金的给付时间、方式以及每期给付标准。执行期间有关统计数据发生变化的，给付金额应当适时进行相应调整。</w:t>
      </w:r>
    </w:p>
    <w:p w14:paraId="62C3B2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定期</w:t>
      </w:r>
      <w:proofErr w:type="gramStart"/>
      <w:r>
        <w:rPr>
          <w:rFonts w:ascii="宋体" w:eastAsia="宋体" w:hAnsi="宋体" w:cs="宋体" w:hint="eastAsia"/>
          <w:sz w:val="24"/>
        </w:rPr>
        <w:t>金按照</w:t>
      </w:r>
      <w:proofErr w:type="gramEnd"/>
      <w:r>
        <w:rPr>
          <w:rFonts w:ascii="宋体" w:eastAsia="宋体" w:hAnsi="宋体" w:cs="宋体" w:hint="eastAsia"/>
          <w:sz w:val="24"/>
        </w:rPr>
        <w:t>赔偿权利人的实际生存年限给付，不受本解释有关赔偿期限的限制。</w:t>
      </w:r>
    </w:p>
    <w:p w14:paraId="08B512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本解释所称“城镇居民人均可支配收入”“城镇居民人均消费支出”“职工平均工资”，按照政府统计部门公布的各省、自治区、直辖市以及经济特区和计划单列市上一年度相关统计数据确定。</w:t>
      </w:r>
    </w:p>
    <w:p w14:paraId="25A327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“上一年度”，是指一审法庭辩论终结时的上</w:t>
      </w:r>
      <w:proofErr w:type="gramStart"/>
      <w:r>
        <w:rPr>
          <w:rFonts w:ascii="宋体" w:eastAsia="宋体" w:hAnsi="宋体" w:cs="宋体" w:hint="eastAsia"/>
          <w:sz w:val="24"/>
        </w:rPr>
        <w:t>一统计</w:t>
      </w:r>
      <w:proofErr w:type="gramEnd"/>
      <w:r>
        <w:rPr>
          <w:rFonts w:ascii="宋体" w:eastAsia="宋体" w:hAnsi="宋体" w:cs="宋体" w:hint="eastAsia"/>
          <w:sz w:val="24"/>
        </w:rPr>
        <w:t>年度。</w:t>
      </w:r>
    </w:p>
    <w:p w14:paraId="7F1EC0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精神损害抚慰金适用《最高人民法院关于确定民事侵权精神损害赔偿责任若干问题的解释》予以确定。</w:t>
      </w:r>
    </w:p>
    <w:p w14:paraId="59D525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本</w:t>
      </w:r>
      <w:proofErr w:type="gramStart"/>
      <w:r>
        <w:rPr>
          <w:rFonts w:ascii="宋体" w:eastAsia="宋体" w:hAnsi="宋体" w:cs="宋体" w:hint="eastAsia"/>
          <w:sz w:val="24"/>
        </w:rPr>
        <w:t>解释自</w:t>
      </w:r>
      <w:proofErr w:type="gramEnd"/>
      <w:r>
        <w:rPr>
          <w:rFonts w:ascii="宋体" w:eastAsia="宋体" w:hAnsi="宋体" w:cs="宋体" w:hint="eastAsia"/>
          <w:sz w:val="24"/>
        </w:rPr>
        <w:t>2022年5月1日起施行。施行后发生的侵权行为引起的人身损害赔偿案件适用本解释。</w:t>
      </w:r>
    </w:p>
    <w:p w14:paraId="6115D971"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本院以前发布的司法解释与本解释不一致的，以本解释为准。</w:t>
      </w:r>
      <w:r>
        <w:rPr>
          <w:rFonts w:ascii="宋体" w:eastAsia="宋体" w:hAnsi="宋体" w:cs="宋体" w:hint="eastAsia"/>
          <w:sz w:val="24"/>
        </w:rPr>
        <w:tab/>
      </w:r>
    </w:p>
    <w:p w14:paraId="1E43A1B7"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25.《生产安全事故报告和调查处理条例》</w:t>
      </w:r>
    </w:p>
    <w:p w14:paraId="239F9E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发文机构：国务院</w:t>
      </w:r>
      <w:r>
        <w:rPr>
          <w:rFonts w:ascii="宋体" w:eastAsia="宋体" w:hAnsi="宋体" w:cs="宋体" w:hint="eastAsia"/>
          <w:sz w:val="24"/>
        </w:rPr>
        <w:tab/>
        <w:t xml:space="preserve">    文号：中华人民共和国国务院令第493号</w:t>
      </w:r>
      <w:r>
        <w:rPr>
          <w:rFonts w:ascii="宋体" w:eastAsia="宋体" w:hAnsi="宋体" w:cs="宋体" w:hint="eastAsia"/>
          <w:sz w:val="24"/>
        </w:rPr>
        <w:tab/>
      </w:r>
      <w:r>
        <w:rPr>
          <w:rFonts w:ascii="宋体" w:eastAsia="宋体" w:hAnsi="宋体" w:cs="宋体" w:hint="eastAsia"/>
          <w:sz w:val="24"/>
        </w:rPr>
        <w:tab/>
      </w:r>
    </w:p>
    <w:p w14:paraId="3D9FF1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（2007年3月28日国务院第172次常务会议通过，2007年4月9日公布，自2007年6月1日起施行。）</w:t>
      </w:r>
    </w:p>
    <w:p w14:paraId="3BF96B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6A99D9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为了规范生产安全事故的报告和调查处理，落实生产安全事故责任追究制度，防止和减少生产安全事故，根据《中华人民共和国安全生产法》和有关法律，制定本条例。</w:t>
      </w:r>
    </w:p>
    <w:p w14:paraId="2B3FE5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生产经营活动中发生的造成人身伤亡或者直接经济损失的生产安全事故的报告和调查处理，适用本条例；环境污染事故、核设施事故、国防科研生产事故的报告和调查处理不适用本条例。</w:t>
      </w:r>
    </w:p>
    <w:p w14:paraId="4D4CFB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根据生产安全事故（以下简称事故）造成的人员伤亡或者直接经济损失，事故一般分为以下等级：</w:t>
      </w:r>
    </w:p>
    <w:p w14:paraId="1D54F0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（一）特别重大事故，是</w:t>
      </w:r>
      <w:proofErr w:type="gramStart"/>
      <w:r>
        <w:rPr>
          <w:rFonts w:ascii="宋体" w:eastAsia="宋体" w:hAnsi="宋体" w:cs="宋体" w:hint="eastAsia"/>
          <w:sz w:val="24"/>
        </w:rPr>
        <w:t>指造成</w:t>
      </w:r>
      <w:proofErr w:type="gramEnd"/>
      <w:r>
        <w:rPr>
          <w:rFonts w:ascii="宋体" w:eastAsia="宋体" w:hAnsi="宋体" w:cs="宋体" w:hint="eastAsia"/>
          <w:sz w:val="24"/>
        </w:rPr>
        <w:t>30人以上死亡，或者100人以上重伤（包括急性工业中毒，下同），或者1亿元以上直接经济损失的事故；</w:t>
      </w:r>
    </w:p>
    <w:p w14:paraId="5E8F38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（二）重大事故，是</w:t>
      </w:r>
      <w:proofErr w:type="gramStart"/>
      <w:r>
        <w:rPr>
          <w:rFonts w:ascii="宋体" w:eastAsia="宋体" w:hAnsi="宋体" w:cs="宋体" w:hint="eastAsia"/>
          <w:sz w:val="24"/>
        </w:rPr>
        <w:t>指造成</w:t>
      </w:r>
      <w:proofErr w:type="gramEnd"/>
      <w:r>
        <w:rPr>
          <w:rFonts w:ascii="宋体" w:eastAsia="宋体" w:hAnsi="宋体" w:cs="宋体" w:hint="eastAsia"/>
          <w:sz w:val="24"/>
        </w:rPr>
        <w:t>10人以上30人以下死亡，或者50人以上100人以下重伤，或者5000万元以上1亿元以下直接经济损失的事故；</w:t>
      </w:r>
    </w:p>
    <w:p w14:paraId="377789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（三）较大事故，是</w:t>
      </w:r>
      <w:proofErr w:type="gramStart"/>
      <w:r>
        <w:rPr>
          <w:rFonts w:ascii="宋体" w:eastAsia="宋体" w:hAnsi="宋体" w:cs="宋体" w:hint="eastAsia"/>
          <w:sz w:val="24"/>
        </w:rPr>
        <w:t>指造成</w:t>
      </w:r>
      <w:proofErr w:type="gramEnd"/>
      <w:r>
        <w:rPr>
          <w:rFonts w:ascii="宋体" w:eastAsia="宋体" w:hAnsi="宋体" w:cs="宋体" w:hint="eastAsia"/>
          <w:sz w:val="24"/>
        </w:rPr>
        <w:t>3人以上10人以下死亡，或者10人以上50人以下重伤，或者1000万元以上5000万元以下直接经济损失的事故；</w:t>
      </w:r>
    </w:p>
    <w:p w14:paraId="7FD934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（四）一般事故，是</w:t>
      </w:r>
      <w:proofErr w:type="gramStart"/>
      <w:r>
        <w:rPr>
          <w:rFonts w:ascii="宋体" w:eastAsia="宋体" w:hAnsi="宋体" w:cs="宋体" w:hint="eastAsia"/>
          <w:sz w:val="24"/>
        </w:rPr>
        <w:t>指造成</w:t>
      </w:r>
      <w:proofErr w:type="gramEnd"/>
      <w:r>
        <w:rPr>
          <w:rFonts w:ascii="宋体" w:eastAsia="宋体" w:hAnsi="宋体" w:cs="宋体" w:hint="eastAsia"/>
          <w:sz w:val="24"/>
        </w:rPr>
        <w:t>3人以下死亡，或者10人以下重伤，或者1000万元以下直接经济损失的事故。</w:t>
      </w:r>
    </w:p>
    <w:p w14:paraId="4AC644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国务院安全生产监督管理部门可以会同国务院有关部门，制定事故等级划分的补充性规定。</w:t>
      </w:r>
    </w:p>
    <w:p w14:paraId="333E24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本条第一款所称的“以上”包括本数，所称的“以下”不包括本数。</w:t>
      </w:r>
    </w:p>
    <w:p w14:paraId="71FB2E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事故报告应当及时、准确、完整，任何单位和个人对事故不得迟报、</w:t>
      </w:r>
      <w:r>
        <w:rPr>
          <w:rFonts w:ascii="宋体" w:eastAsia="宋体" w:hAnsi="宋体" w:cs="宋体" w:hint="eastAsia"/>
          <w:sz w:val="24"/>
        </w:rPr>
        <w:lastRenderedPageBreak/>
        <w:t>漏报、谎报或者瞒报。</w:t>
      </w:r>
    </w:p>
    <w:p w14:paraId="4C2326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事故调查处理应当坚持实事求是、尊重科学的原则，及时、准确地查清事故经过、事故原因和事故损失，查明事故性质，认定事故责任，总结事故教训，提出整改措施，并对事故责任者依法追究责任。</w:t>
      </w:r>
    </w:p>
    <w:p w14:paraId="7B8345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县级以上人民政府应当依照本条例的规定，严格履行职责，及时、准确地完成事故调查处理工作。</w:t>
      </w:r>
    </w:p>
    <w:p w14:paraId="760874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事故发生地有关地方人民政府应当支持、配合上级人民政府或者有关部门的事故调查处理工作，并提供必要的便利条件。</w:t>
      </w:r>
    </w:p>
    <w:p w14:paraId="3D758D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参加事故调查处理的部门和单位应当互相配合，提高事故调查处理工作的效率。</w:t>
      </w:r>
    </w:p>
    <w:p w14:paraId="61C433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工会依法参加事故调查处理，有权向有关部门提出处理意见。</w:t>
      </w:r>
    </w:p>
    <w:p w14:paraId="3EEB9D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任何单位和个人不得阻挠和干涉对事故的报告和依法调查处理。</w:t>
      </w:r>
    </w:p>
    <w:p w14:paraId="6FF446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对事故报告和调查处理中的违法行为，任何单位和个人有权向安全生产监督管理部门、监察机关或者其他有关部门举报，接到举报的部门应当依法及时处理。</w:t>
      </w:r>
    </w:p>
    <w:p w14:paraId="094AFD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事故报告</w:t>
      </w:r>
    </w:p>
    <w:p w14:paraId="1CEB27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事故发生后，事故现场有关人员应当立即向本单位负责人报告；单位负责人接到报告后，应当于1小时内向事故发生地县级以上人民政府安全生产监督管理部门和负有安全生产监督管理职责的有关部门报告。</w:t>
      </w:r>
    </w:p>
    <w:p w14:paraId="0450C4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情况紧急时，事故现场有关人员可以直接向事故发生地县级以上人民政府安全生产监督管理部门和负有安全生产监督管理职责的有关部门报告。</w:t>
      </w:r>
    </w:p>
    <w:p w14:paraId="29A01B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安全生产监督管理部门和负有安全生产监督管理职责的有关部门接到事故报告后，应当依照下列规定上报事故情况，并通知公安机关、劳动保障行政部门、工会和人民检察院：</w:t>
      </w:r>
    </w:p>
    <w:p w14:paraId="7E5D47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（一）特别重大事故、重大事故逐级上报至国务院安全生产监督管理部门和</w:t>
      </w:r>
      <w:r>
        <w:rPr>
          <w:rFonts w:ascii="宋体" w:eastAsia="宋体" w:hAnsi="宋体" w:cs="宋体" w:hint="eastAsia"/>
          <w:sz w:val="24"/>
        </w:rPr>
        <w:lastRenderedPageBreak/>
        <w:t>负有安全生产监督管理职责的有关部门；</w:t>
      </w:r>
    </w:p>
    <w:p w14:paraId="5B923C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（二）较大事故逐级上报至省、自治区、直辖市人民政府安全生产监督管理部门和负有安全生产监督管理职责的有关部门；</w:t>
      </w:r>
    </w:p>
    <w:p w14:paraId="1437AA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（三）一般事故上报至设区的市级人民政府安全生产监督管理部门和负有安全生产监督管理职责的有关部门。</w:t>
      </w:r>
    </w:p>
    <w:p w14:paraId="36A289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安全生产监督管理部门和负有安全生产监督管理职责的有关部门依照前款规定上报事故情况，应当同时报告本级人民政府。国务院安全生产监督管理部门和负有安全生产监督管理职责的有关部门以及省级人民政府接到发生特别重大事故、重大事故的报告后，应当立即报告国务院。</w:t>
      </w:r>
    </w:p>
    <w:p w14:paraId="147623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必要时，安全生产监督管理部门和负有安全生产监督管理职责的有关部门可以越级上报事故情况。</w:t>
      </w:r>
    </w:p>
    <w:p w14:paraId="134635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安全生产监督管理部门和负有安全生产监督管理职责的有关部门逐级上报事故情况，每级上报的时间不得超过2小时。</w:t>
      </w:r>
    </w:p>
    <w:p w14:paraId="077B49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报告事故应当包括下列内容：</w:t>
      </w:r>
    </w:p>
    <w:p w14:paraId="1FCBC6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（一）事故发生单位概况；</w:t>
      </w:r>
    </w:p>
    <w:p w14:paraId="67991A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（二）事故发生的时间、地点以及事故现场情况；</w:t>
      </w:r>
    </w:p>
    <w:p w14:paraId="77A310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（三）事故的简要经过；</w:t>
      </w:r>
    </w:p>
    <w:p w14:paraId="45BD3B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（四）事故已经造成或者可能造成的伤亡人数（包括下落不明的人数）和初步估计的直接经济损失；</w:t>
      </w:r>
    </w:p>
    <w:p w14:paraId="0796A8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（五）已经采取的措施；</w:t>
      </w:r>
    </w:p>
    <w:p w14:paraId="39D083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（六）其他应当报告的情况。</w:t>
      </w:r>
    </w:p>
    <w:p w14:paraId="0F5A62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事故报告后出现新情况的，应当及时补报。</w:t>
      </w:r>
    </w:p>
    <w:p w14:paraId="198EBE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自事故发生之日起30日内，事故造成的伤亡人数发生变化的，应当及时补报。道路交通事故、火灾事故自发生之日起7日内，事故造成的伤亡人数发生变化的，应当及时补报。</w:t>
      </w:r>
    </w:p>
    <w:p w14:paraId="141BF5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第十四条 事故发生单位负责人接到事故报告后，应当立即启动事故相应应急预案，或者采取有效措施，组织抢救，防止事故扩大，减少人员伤亡和财产损失。</w:t>
      </w:r>
    </w:p>
    <w:p w14:paraId="0FA2E7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事故发生地有关地方人民政府、安全生产监督管理部门和负有安全生产监督管理职责的有关部门接到事故报告后，其负责人应当立即赶赴事故现场，组织事故救援。</w:t>
      </w:r>
    </w:p>
    <w:p w14:paraId="779928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事故发生后，有关单位和人员应当妥善保护事故现场以及相关证据，任何单位和个人不得破坏事故现场、毁灭相关证据。</w:t>
      </w:r>
    </w:p>
    <w:p w14:paraId="49A7CD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因抢救人员、防止事故扩大以及疏通交通等原因，需要移动事故现场物件的，应当做出标志，绘制现场简图并做出书面记录，妥善保存现场重要痕迹、物证。</w:t>
      </w:r>
    </w:p>
    <w:p w14:paraId="4577D8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事故发生地公安机关根据事故的情况，对涉嫌犯罪的，应当依法立案侦查，采取强制措施和侦查措施。犯罪嫌疑人逃匿的，公安机关应当迅速追捕归案。</w:t>
      </w:r>
    </w:p>
    <w:p w14:paraId="21B958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安全生产监督管理部门和负有安全生产监督管理职责的有关部门应当建立值班制度，并向社会公布值班电话，受理事故报告和举报。</w:t>
      </w:r>
    </w:p>
    <w:p w14:paraId="5E75C0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事故调查</w:t>
      </w:r>
    </w:p>
    <w:p w14:paraId="666F6C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第十九条特别重大事故由国务院或者国务院授权有关部门组织事故调查组进行调查。</w:t>
      </w:r>
    </w:p>
    <w:p w14:paraId="5BB178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大事故、较大事故、一般事故分别由事故发生地省级人民政府、设区的市级人民政府、县级人民政府负责调查。省级人民政府、设区的市级人民政府、县级人民政府可以直接组织事故调查组进行调查，也可以授权或者委托有关部门组织事故调查组进行调查。</w:t>
      </w:r>
    </w:p>
    <w:p w14:paraId="426551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未造成人员伤亡的一般事故，县级人民政府也可以委托事故发生单位组织事故调查组进行调查。</w:t>
      </w:r>
    </w:p>
    <w:p w14:paraId="43F750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上级人民政府认为必要时，可以调查由下级人民政府负责调查的事故。</w:t>
      </w:r>
    </w:p>
    <w:p w14:paraId="01E32D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自事故发生之日起30日内（道路交通事故、火灾事故自发生之日起7日内），因事故伤亡人数变化导致事故等级发生变化，依照本条例规定应当由上级人民政府负责调查的，上级人民政府可以另行组织事故调查组进行调查。</w:t>
      </w:r>
    </w:p>
    <w:p w14:paraId="0360D1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特别重大事故以下等级事故，事故发生地与事故发生单位不在同一个县级以上行政区域的，由事故发生地人民政府负责调查，事故发生单位所在地人民政府应当派人参加。</w:t>
      </w:r>
    </w:p>
    <w:p w14:paraId="345ED9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事故调查组的组成应当遵循精简、效能的原则。</w:t>
      </w:r>
    </w:p>
    <w:p w14:paraId="35D2D2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根据事故的具体情况，事故调查组由有关人民政府、安全生产监督管理部门、负有安全生产监督管理职责的有关部门、监察机关、公安机关以及工会派人组成，并应当邀请人民检察院派人参加。</w:t>
      </w:r>
    </w:p>
    <w:p w14:paraId="73EFEB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事故调查组可以聘请有关专家参与调查。</w:t>
      </w:r>
    </w:p>
    <w:p w14:paraId="562C1C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事故调查组成员应当具有事故调查所需要的知识和专长，并与所调查的事故没有直接利害关系。</w:t>
      </w:r>
    </w:p>
    <w:p w14:paraId="7555B3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事故调查组组长由负责事故调查的人民政府指定。事故调查组组长主持事故调查组的工作。</w:t>
      </w:r>
    </w:p>
    <w:p w14:paraId="73D04E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事故调查</w:t>
      </w:r>
      <w:proofErr w:type="gramStart"/>
      <w:r>
        <w:rPr>
          <w:rFonts w:ascii="宋体" w:eastAsia="宋体" w:hAnsi="宋体" w:cs="宋体" w:hint="eastAsia"/>
          <w:sz w:val="24"/>
        </w:rPr>
        <w:t>组履行</w:t>
      </w:r>
      <w:proofErr w:type="gramEnd"/>
      <w:r>
        <w:rPr>
          <w:rFonts w:ascii="宋体" w:eastAsia="宋体" w:hAnsi="宋体" w:cs="宋体" w:hint="eastAsia"/>
          <w:sz w:val="24"/>
        </w:rPr>
        <w:t>下列职责：</w:t>
      </w:r>
    </w:p>
    <w:p w14:paraId="1972E8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（一）查明事故发生的经过、原因、人员伤亡情况及直接经济损失；</w:t>
      </w:r>
    </w:p>
    <w:p w14:paraId="683B02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（二）认定事故的性质和事故责任；</w:t>
      </w:r>
    </w:p>
    <w:p w14:paraId="3AD6BD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（三）提出对事故责任者的处理建议；</w:t>
      </w:r>
    </w:p>
    <w:p w14:paraId="5B211F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（四）总结事故教训，提出防范和整改措施；</w:t>
      </w:r>
    </w:p>
    <w:p w14:paraId="20C647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（五）提交事故调查报告。</w:t>
      </w:r>
    </w:p>
    <w:p w14:paraId="71B719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事故调查组有权向有关单位和个人了解与事故有关的情况，并要求其提供相关文件、资料，有关单位和个人不得拒绝。</w:t>
      </w:r>
    </w:p>
    <w:p w14:paraId="185068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事故发生单位的负责人和有关人员在事故调查期间不得擅离职守，并应当随时接受事故调查组的询问，如实提供有关情况。</w:t>
      </w:r>
    </w:p>
    <w:p w14:paraId="5FBFC5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事故调查中发现涉嫌犯罪的，事故调查组应当及时将有关材料或者其复印件移交司法机关处理。</w:t>
      </w:r>
    </w:p>
    <w:p w14:paraId="5B0959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事故调查中需要进行技术鉴定的，事故调查组应当委托具有国家规定资质的单位进行技术鉴定。必要时，事故调查组可以直接组织专家进行技术鉴定。技术鉴定所需时间不计入事故调查期限。</w:t>
      </w:r>
    </w:p>
    <w:p w14:paraId="10AB45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事故调查组成员在事故调查工作中应当诚信公正、恪尽职守，遵守事故调查组的纪律，保守事故调查的秘密。</w:t>
      </w:r>
    </w:p>
    <w:p w14:paraId="158FAB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未经事故调查组组长允许，事故调查组成员不得擅自发布有关事故的信息。</w:t>
      </w:r>
    </w:p>
    <w:p w14:paraId="43AEE9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事故调查组应当自事故发生之日起60日内提交事故调查报告；特殊情况下，</w:t>
      </w:r>
      <w:proofErr w:type="gramStart"/>
      <w:r>
        <w:rPr>
          <w:rFonts w:ascii="宋体" w:eastAsia="宋体" w:hAnsi="宋体" w:cs="宋体" w:hint="eastAsia"/>
          <w:sz w:val="24"/>
        </w:rPr>
        <w:t>经负责</w:t>
      </w:r>
      <w:proofErr w:type="gramEnd"/>
      <w:r>
        <w:rPr>
          <w:rFonts w:ascii="宋体" w:eastAsia="宋体" w:hAnsi="宋体" w:cs="宋体" w:hint="eastAsia"/>
          <w:sz w:val="24"/>
        </w:rPr>
        <w:t>事故调查的人民政府批准，提交事故调查报告的期限可以适当延长，但延长的期限最长不超过60日。</w:t>
      </w:r>
    </w:p>
    <w:p w14:paraId="283458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事故调查报告应当包括下列内容：</w:t>
      </w:r>
    </w:p>
    <w:p w14:paraId="7B469C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（一）事故发生单位概况；</w:t>
      </w:r>
    </w:p>
    <w:p w14:paraId="5EE07C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（二）事故发生经过和事故救援情况；</w:t>
      </w:r>
    </w:p>
    <w:p w14:paraId="652828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（三）事故造成的人员伤亡和直接经济损失；</w:t>
      </w:r>
    </w:p>
    <w:p w14:paraId="50B0B0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（四）事故发生的原因和事故性质；</w:t>
      </w:r>
    </w:p>
    <w:p w14:paraId="257AD0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（五）事故责任的认定以及对事故责任者的处理建议；</w:t>
      </w:r>
    </w:p>
    <w:p w14:paraId="73A67B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（六）事故防范和整改措施。</w:t>
      </w:r>
    </w:p>
    <w:p w14:paraId="54D29C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事故调查报告应当附具有关证据材料。事故调查组成员应当在事故调查报告上签名。</w:t>
      </w:r>
    </w:p>
    <w:p w14:paraId="2ED6C6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事故调查报告报送负责事故调查的人民政府后，事故调查工作即告结束。事故调查的有关资料应当归档保存。</w:t>
      </w:r>
    </w:p>
    <w:p w14:paraId="0090E9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事故处理</w:t>
      </w:r>
    </w:p>
    <w:p w14:paraId="52555A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重大事故、较大事故、一般事故，负责事故调查的人民政府应</w:t>
      </w:r>
      <w:r>
        <w:rPr>
          <w:rFonts w:ascii="宋体" w:eastAsia="宋体" w:hAnsi="宋体" w:cs="宋体" w:hint="eastAsia"/>
          <w:sz w:val="24"/>
        </w:rPr>
        <w:lastRenderedPageBreak/>
        <w:t>当自收到事故调查报告之日起15日内做出批复；特别重大事故，30日内做出批复，特殊情况下，批复时间可以适当延长，但延长的时间最长不超过30日。</w:t>
      </w:r>
    </w:p>
    <w:p w14:paraId="2F8524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有关机关应当按照人民政府的批复，依照法律、行政法规规定的权限和程序，对事故发生单位和有关人员进行行政处罚，对负有事故责任的国家工作人员进行处分。</w:t>
      </w:r>
    </w:p>
    <w:p w14:paraId="21CA8D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事故发生单位应当按照负责事故调查的人民政府的批复，对本单位负有事故责任的人员进行处理。</w:t>
      </w:r>
    </w:p>
    <w:p w14:paraId="7291DB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负有事故责任的人员涉嫌犯罪的，依法追究刑事责任。</w:t>
      </w:r>
    </w:p>
    <w:p w14:paraId="608B80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事故发生单位应当认真吸取事故教训，落实防范和整改措施，防止事故再次发生。防范和整改措施的落实情况应当接受工会和职工的监督。</w:t>
      </w:r>
    </w:p>
    <w:p w14:paraId="62CB49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安全生产监督管理部门和负有安全生产监督管理职责的有关部门应当对事故发生单位落实防范和整改措施的情况进行监督检查。</w:t>
      </w:r>
    </w:p>
    <w:p w14:paraId="2BC3A3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事故处理的情况由负责事故调查的人民政府或者其授权的有关部门、机构向社会公布，依法应当保密的除外。</w:t>
      </w:r>
    </w:p>
    <w:p w14:paraId="0B76C3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法律责任</w:t>
      </w:r>
    </w:p>
    <w:p w14:paraId="663508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事故发生单位主要负责人有下列行为之一的，处上一年年收入40%至80%的罚款；属于国家工作人员的，并依法给予处分；构成犯罪的，依法追究刑事责任：</w:t>
      </w:r>
    </w:p>
    <w:p w14:paraId="1BA1EA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w:t>
      </w:r>
      <w:proofErr w:type="gramStart"/>
      <w:r>
        <w:rPr>
          <w:rFonts w:ascii="宋体" w:eastAsia="宋体" w:hAnsi="宋体" w:cs="宋体" w:hint="eastAsia"/>
          <w:sz w:val="24"/>
        </w:rPr>
        <w:t>不</w:t>
      </w:r>
      <w:proofErr w:type="gramEnd"/>
      <w:r>
        <w:rPr>
          <w:rFonts w:ascii="宋体" w:eastAsia="宋体" w:hAnsi="宋体" w:cs="宋体" w:hint="eastAsia"/>
          <w:sz w:val="24"/>
        </w:rPr>
        <w:t>立即组织事故抢救的；</w:t>
      </w:r>
    </w:p>
    <w:p w14:paraId="2DA6EB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（二）迟报或者漏报事故的；</w:t>
      </w:r>
    </w:p>
    <w:p w14:paraId="77AD67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（三）在事故调查处理期间擅离职守的。</w:t>
      </w:r>
    </w:p>
    <w:p w14:paraId="525A37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w:t>
      </w:r>
      <w:r>
        <w:rPr>
          <w:rFonts w:ascii="宋体" w:eastAsia="宋体" w:hAnsi="宋体" w:cs="宋体" w:hint="eastAsia"/>
          <w:sz w:val="24"/>
        </w:rPr>
        <w:lastRenderedPageBreak/>
        <w:t>构成犯罪的，依法追究刑事责任：</w:t>
      </w:r>
    </w:p>
    <w:p w14:paraId="6A1B93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（一）谎报或者瞒报事故的；</w:t>
      </w:r>
    </w:p>
    <w:p w14:paraId="3EE37D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（二）伪造或者故意破坏事故现场的；</w:t>
      </w:r>
    </w:p>
    <w:p w14:paraId="386200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（三）转移、隐匿资金、财产，或者销毁有关证据、资料的；</w:t>
      </w:r>
    </w:p>
    <w:p w14:paraId="22B54D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（四）拒绝接受调查或者拒绝提供有关情况和资料的；</w:t>
      </w:r>
    </w:p>
    <w:p w14:paraId="206DCD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（五）在事故调查中作伪证或者指使他人作伪证的；</w:t>
      </w:r>
    </w:p>
    <w:p w14:paraId="2F6064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（六）事故发生后逃匿的。</w:t>
      </w:r>
    </w:p>
    <w:p w14:paraId="200DE0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事故发生单位对事故发生负有责任的，依照下列规定处以罚款：</w:t>
      </w:r>
    </w:p>
    <w:p w14:paraId="4F75CB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（一）发生一般事故的，处10万元以上20万元以下的罚款；</w:t>
      </w:r>
    </w:p>
    <w:p w14:paraId="74FE5C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（二）发生较大事故的，处20万元以上50万元以下的罚款；</w:t>
      </w:r>
    </w:p>
    <w:p w14:paraId="5D2A88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（三）发生重大事故的，处50万元以上200万元以下的罚款；</w:t>
      </w:r>
    </w:p>
    <w:p w14:paraId="43D19D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（四）发生特别重大事故的，处200万元以上500万元以下的罚款。</w:t>
      </w:r>
    </w:p>
    <w:p w14:paraId="5B8B13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事故发生单位主要负责人未依法履行安全生产管理职责，导致事故发生的，依照下列规定处以罚款；属于国家工作人员的，并依法给予处分；构成犯罪的，依法追究刑事责任：</w:t>
      </w:r>
    </w:p>
    <w:p w14:paraId="01822C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（一）发生一般事故的，处上一年年收入30%的罚款；</w:t>
      </w:r>
    </w:p>
    <w:p w14:paraId="79FCC1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（二）发生较大事故的，处上一年年收入40%的罚款；</w:t>
      </w:r>
    </w:p>
    <w:p w14:paraId="709F25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（三）发生重大事故的，处上一年年收入60%的罚款；</w:t>
      </w:r>
    </w:p>
    <w:p w14:paraId="247EC1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（四）发生特别重大事故的，处上一年年收入80%的罚款。</w:t>
      </w:r>
    </w:p>
    <w:p w14:paraId="2DE175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有关地方人民政府、安全生产监督管理部门和负有安全生产监督管理职责的有关部门有下列行为之一的，对直接负责的主管人员和其他直接责任人员依法给予处分；构成犯罪的，依法追究刑事责任：</w:t>
      </w:r>
    </w:p>
    <w:p w14:paraId="3D631E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w:t>
      </w:r>
      <w:proofErr w:type="gramStart"/>
      <w:r>
        <w:rPr>
          <w:rFonts w:ascii="宋体" w:eastAsia="宋体" w:hAnsi="宋体" w:cs="宋体" w:hint="eastAsia"/>
          <w:sz w:val="24"/>
        </w:rPr>
        <w:t>不</w:t>
      </w:r>
      <w:proofErr w:type="gramEnd"/>
      <w:r>
        <w:rPr>
          <w:rFonts w:ascii="宋体" w:eastAsia="宋体" w:hAnsi="宋体" w:cs="宋体" w:hint="eastAsia"/>
          <w:sz w:val="24"/>
        </w:rPr>
        <w:t>立即组织事故抢救的；</w:t>
      </w:r>
    </w:p>
    <w:p w14:paraId="1E8AAC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（二）迟报、漏报、谎报或者瞒报事故的；</w:t>
      </w:r>
    </w:p>
    <w:p w14:paraId="4917BE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（三）阻碍、干涉事故调查工作的；</w:t>
      </w:r>
    </w:p>
    <w:p w14:paraId="2EF926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（四）在事故调查中作伪证或者指使他人作伪证的。</w:t>
      </w:r>
    </w:p>
    <w:p w14:paraId="2753E5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5年内不得担任任何生产经营单位的主要负责人。</w:t>
      </w:r>
    </w:p>
    <w:p w14:paraId="58A06E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为发生事故的单位提供虚假证明的中介机构，由有关部门依法暂扣或者吊销其有关证照及其相关人员的执业资格；构成犯罪的，依法追究刑事责任。</w:t>
      </w:r>
    </w:p>
    <w:p w14:paraId="1DC0E5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参与事故调查的人员在事故调查中有下列行为之一的，依法给予处分；构成犯罪的，依法追究刑事责任：</w:t>
      </w:r>
    </w:p>
    <w:p w14:paraId="0C2FCA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（一）对事故调查工作不负责任，致使事故调查工作有重大疏漏的；</w:t>
      </w:r>
    </w:p>
    <w:p w14:paraId="208948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（二）包庇、袒护负有事故责任的人员或者借机打击报复的。</w:t>
      </w:r>
    </w:p>
    <w:p w14:paraId="4DB61F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违反本条例规定，有关地方人民政府或者有关部门故意拖延或者拒绝落实经批复的对事故责任人的处理意见的，由监察机关对有关责任人员依法给予处分。</w:t>
      </w:r>
    </w:p>
    <w:p w14:paraId="5EF052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本条例规定的罚款的行政处罚，由安全生产监督管理部门决定。</w:t>
      </w:r>
    </w:p>
    <w:p w14:paraId="44A43D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法律、行政法规对行政处罚的种类、幅度和决定机关另有规定的，依照其规定。</w:t>
      </w:r>
    </w:p>
    <w:p w14:paraId="6BD1EA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附 则</w:t>
      </w:r>
    </w:p>
    <w:p w14:paraId="6F0CDE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没有造成人员伤亡，但是社会影响恶劣的事故，国务院或者有关地方人民政府认为需要调查处理的，依照本条例的有关规定执行。</w:t>
      </w:r>
    </w:p>
    <w:p w14:paraId="5BBEA0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国家机关、事业单位、人民团体发生的事故的报告和调查处理，参照本条例的规定执行。</w:t>
      </w:r>
    </w:p>
    <w:p w14:paraId="3B259C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第四十五条 特别重大事故以下等级事故的报告和调查处理，有关法律、行政法规或者国务院另有规定的，依照其规定。</w:t>
      </w:r>
    </w:p>
    <w:p w14:paraId="2CF97929"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第四十六条 本条例自2007年6月1日起施行。国务院1989年3月29日公布的《特别重大事故调查程序暂行规定》和1991年2月22日公布的《企业职工伤亡事故报告和处理规定》同时废止。</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79A9F694"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26.《国务院关于经营者集中申报标准的规定(2018修正)》</w:t>
      </w:r>
    </w:p>
    <w:p w14:paraId="086580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发文机构：国务院         文号：中华人民共和国国务院令第703号</w:t>
      </w:r>
    </w:p>
    <w:p w14:paraId="38EE6F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（2008年8月3日国务院令第529号公布　根据2018年9月18日《国务院关于修改部分行政法规的决定》修订）</w:t>
      </w:r>
    </w:p>
    <w:p w14:paraId="2E31C5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为了明确经营者集中的申报标准，根据《中华人民共和国反垄断法》，制定本规定。</w:t>
      </w:r>
    </w:p>
    <w:p w14:paraId="4684E7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经营者集中是指下列情形：</w:t>
      </w:r>
    </w:p>
    <w:p w14:paraId="73A698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（一）经营者合并；</w:t>
      </w:r>
    </w:p>
    <w:p w14:paraId="59351B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（二）经营者通过取得股权或者资产的方式取得对其他经营者的控制权；</w:t>
      </w:r>
    </w:p>
    <w:p w14:paraId="656BDA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（三）经营者通过合同等方式取得对其他经营者的控制权或者能够对其他经营者施加决定性影响。</w:t>
      </w:r>
    </w:p>
    <w:p w14:paraId="75BCA9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经营者集中达到下列标准之一的，经营者应当事先向国务院反垄断执法机构申报，未申报的不得实施集中：</w:t>
      </w:r>
    </w:p>
    <w:p w14:paraId="61CCBB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（一）参与集中的所有经营者上一会计年度在全球范围内的营业额合计超过100亿元人民币，并且其中至少两个经营者上一会计年度在中国境内的营业额均超过4亿元人民币；</w:t>
      </w:r>
    </w:p>
    <w:p w14:paraId="063F3D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（二）参与集中的所有经营者上一会计年度在中国境内的营业额合计超过20亿元人民币，并且其中至少两个经营者上一会计年度在中国境内的营业额均超过4亿元人民币。</w:t>
      </w:r>
    </w:p>
    <w:p w14:paraId="43258A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营业额的计算，应当考虑银行、保险、证券、期货等特殊行业、领域的实际情况，具体办法由国务院反垄断执法机构会同国务院有关部门制定。</w:t>
      </w:r>
    </w:p>
    <w:p w14:paraId="124B61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经营者集中未达到本规定第三条规定的申报标准，但按照规定程序收集的事实和证据表明该经营者集中具有或者可能具有排除、限制竞争效果的，国务院反垄断执法机构应当依法进行调查。</w:t>
      </w:r>
    </w:p>
    <w:p w14:paraId="70EA07BB"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第五条 本规定自公布之日起施行。</w:t>
      </w:r>
    </w:p>
    <w:p w14:paraId="5D3782E6"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27.《国有企业法律顾问管理办法》</w:t>
      </w:r>
    </w:p>
    <w:p w14:paraId="35A596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发文机构：国务院国有资产监督管理委员会</w:t>
      </w:r>
      <w:r>
        <w:rPr>
          <w:rFonts w:ascii="宋体" w:eastAsia="宋体" w:hAnsi="宋体" w:cs="宋体" w:hint="eastAsia"/>
          <w:sz w:val="24"/>
        </w:rPr>
        <w:tab/>
        <w:t xml:space="preserve">   文号：国务院国有资产监督管理委员会令第6号</w:t>
      </w:r>
    </w:p>
    <w:p w14:paraId="2C79A1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51224C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进一步建立健全国有企业法律风险防范机制，规范企业法律顾问工作，保障企业法律顾问依法执业，促进企业依法经营，进一步加强企业国有资产的监督管理，依法维护企业国有资产所有者和企业的合法权益，根据《企业国有资产监督管理暂行条例》和国家有关规定，制定本办法。</w:t>
      </w:r>
    </w:p>
    <w:p w14:paraId="2BE359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国有及国有控股企业(以下简称企业)法律顾问管理工作适用本办法。</w:t>
      </w:r>
    </w:p>
    <w:p w14:paraId="4BE835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本办法所称所出资企业，是指国务院，省、自治区、直辖市人民政府，设区的市、自治州人民政府授权国有资产监督管理机构依法履行出资人职责的企业。</w:t>
      </w:r>
    </w:p>
    <w:p w14:paraId="265B4A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国有资产监督管理机构负责指导企业法律顾问管理工作。</w:t>
      </w:r>
    </w:p>
    <w:p w14:paraId="173B4B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上级政府国有资产监督管理机构依照本办法对下级政府国有资产监督管理机构负责的企业法律顾问管理工作进行指导和监督。</w:t>
      </w:r>
    </w:p>
    <w:p w14:paraId="58BAB2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国有资产监督管理机构和企业应当建立防范风险的法律机制，建立健全企业法律顾问制度。</w:t>
      </w:r>
    </w:p>
    <w:p w14:paraId="0D691E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国有资产监督管理机构和企业应当建立健全企业法律顾问工作激励、约束机制。</w:t>
      </w:r>
    </w:p>
    <w:p w14:paraId="14B9C8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企业法律顾问</w:t>
      </w:r>
    </w:p>
    <w:p w14:paraId="364DB5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本办法所称企业法律顾问，是指取得企业法律顾问执业资格，由企业聘任，专门从事企业法律事务工作的企业内部专业人员。</w:t>
      </w:r>
    </w:p>
    <w:p w14:paraId="5E2AC3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企业法律顾问执业，应当遵守国家有关规定，取得企业法律顾问执业资格证书。</w:t>
      </w:r>
    </w:p>
    <w:p w14:paraId="2987B5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企业法律顾问执业资格证书须通过全国企业法律顾问执业资格统一考试，成</w:t>
      </w:r>
      <w:r>
        <w:rPr>
          <w:rFonts w:ascii="宋体" w:eastAsia="宋体" w:hAnsi="宋体" w:cs="宋体" w:hint="eastAsia"/>
          <w:sz w:val="24"/>
        </w:rPr>
        <w:lastRenderedPageBreak/>
        <w:t>绩合格后取得。</w:t>
      </w:r>
    </w:p>
    <w:p w14:paraId="563EB2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企业法律顾问执业资格管理由国务院国有资产监督管理机构和省级国有资产监督管理机构按照国家有关规定统一负责。条件成熟的，应当委托企业法律顾问的协会组织具体办理。</w:t>
      </w:r>
    </w:p>
    <w:p w14:paraId="3E4A1E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企业应当支持职工学习和掌握与本职工作有关的法律知识，鼓励具备条件的人员参加全国企业法律顾问执业资格考试。</w:t>
      </w:r>
    </w:p>
    <w:p w14:paraId="3C7AD3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企业应当建立企业法律顾问业务培训制度，提高企业法律顾问的业务素质和执业水平。</w:t>
      </w:r>
    </w:p>
    <w:p w14:paraId="4F12FA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企业法律顾问应当遵循以下工作原则：</w:t>
      </w:r>
    </w:p>
    <w:p w14:paraId="2625B8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)依据国家法律法规和有关规定执业；</w:t>
      </w:r>
    </w:p>
    <w:p w14:paraId="102886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(二)依法维护企业的合法权益；</w:t>
      </w:r>
    </w:p>
    <w:p w14:paraId="7DB135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(三)依法维护企业国有资产所有者和其他出资人的合法权益；</w:t>
      </w:r>
    </w:p>
    <w:p w14:paraId="126173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(四)以事前防范法律风险和事中法律控制为主、事后法律补救为辅。</w:t>
      </w:r>
    </w:p>
    <w:p w14:paraId="3FA8A9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企业法律顾问享有下列权利：</w:t>
      </w:r>
    </w:p>
    <w:p w14:paraId="4473F2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)负责处理企业经营、管理和决策中的法律事务；</w:t>
      </w:r>
    </w:p>
    <w:p w14:paraId="2F213D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(二)对损害企业合法权益、损害出资人合法权益和违反法律法规的行为，提出意见和建议；</w:t>
      </w:r>
    </w:p>
    <w:p w14:paraId="294985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(三)根据工作需要查阅企业有关文件、资料，询问企业有关人员；</w:t>
      </w:r>
    </w:p>
    <w:p w14:paraId="049BE7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(四)法律、法规、规章和企业授予的其他权利。</w:t>
      </w:r>
    </w:p>
    <w:p w14:paraId="6C182B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企业对企业法律顾问就前款第(二)</w:t>
      </w:r>
      <w:proofErr w:type="gramStart"/>
      <w:r>
        <w:rPr>
          <w:rFonts w:ascii="宋体" w:eastAsia="宋体" w:hAnsi="宋体" w:cs="宋体" w:hint="eastAsia"/>
          <w:sz w:val="24"/>
        </w:rPr>
        <w:t>项提出</w:t>
      </w:r>
      <w:proofErr w:type="gramEnd"/>
      <w:r>
        <w:rPr>
          <w:rFonts w:ascii="宋体" w:eastAsia="宋体" w:hAnsi="宋体" w:cs="宋体" w:hint="eastAsia"/>
          <w:sz w:val="24"/>
        </w:rPr>
        <w:t>的意见和建议不予采纳，造成重大经济损失，严重损害出资人合法权益的，所出资企业的子企业的法律顾问可以向所出资企业反映，所出资企业的法律顾问可以向国有资产监督管理机构反映。</w:t>
      </w:r>
    </w:p>
    <w:p w14:paraId="764C24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企业法律顾问应当履行下列义务：</w:t>
      </w:r>
    </w:p>
    <w:p w14:paraId="622DBA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)遵守国家法律法规和有关规定以及企业规章制度，恪守职业道德和执业</w:t>
      </w:r>
      <w:r>
        <w:rPr>
          <w:rFonts w:ascii="宋体" w:eastAsia="宋体" w:hAnsi="宋体" w:cs="宋体" w:hint="eastAsia"/>
          <w:sz w:val="24"/>
        </w:rPr>
        <w:lastRenderedPageBreak/>
        <w:t>纪律；</w:t>
      </w:r>
    </w:p>
    <w:p w14:paraId="0F4740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(二)依法履行企业法律顾问职责；</w:t>
      </w:r>
    </w:p>
    <w:p w14:paraId="3B913F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(三)对所提出的法律意见、起草的法律文书以及办理的其他法律事务的合法性负责；</w:t>
      </w:r>
    </w:p>
    <w:p w14:paraId="4E324F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(四)保守国家秘密和企业商业秘密；</w:t>
      </w:r>
    </w:p>
    <w:p w14:paraId="7B1684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(五)法律、法规、规章和企业规定的应当履行的其他义务。</w:t>
      </w:r>
    </w:p>
    <w:p w14:paraId="29D74C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企业应当建立科学、规范的企业法律顾问工作制度和工作流程，规定企业法律顾问处</w:t>
      </w:r>
      <w:proofErr w:type="gramStart"/>
      <w:r>
        <w:rPr>
          <w:rFonts w:ascii="宋体" w:eastAsia="宋体" w:hAnsi="宋体" w:cs="宋体" w:hint="eastAsia"/>
          <w:sz w:val="24"/>
        </w:rPr>
        <w:t>理企业</w:t>
      </w:r>
      <w:proofErr w:type="gramEnd"/>
      <w:r>
        <w:rPr>
          <w:rFonts w:ascii="宋体" w:eastAsia="宋体" w:hAnsi="宋体" w:cs="宋体" w:hint="eastAsia"/>
          <w:sz w:val="24"/>
        </w:rPr>
        <w:t>法律事务的权限、程序和工作时限等内容，确保企业法律顾问顺利开展工作。</w:t>
      </w:r>
    </w:p>
    <w:p w14:paraId="4390C1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企业应当建立企业法律顾问专业技术等级制度。</w:t>
      </w:r>
    </w:p>
    <w:p w14:paraId="2359E7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企业法律顾问分为企业一级法律顾问、企业二级法律顾问和企业三级法律顾问。评定办法另行制定。</w:t>
      </w:r>
    </w:p>
    <w:p w14:paraId="4B004B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企业法律事务机构可以配备企业法律顾问助理，协助企业法律顾问开展工作。</w:t>
      </w:r>
    </w:p>
    <w:p w14:paraId="655F95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企业总法律顾问</w:t>
      </w:r>
    </w:p>
    <w:p w14:paraId="1EED8C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本办法所称企业总法律顾问，是指具有企业法律顾问执业资格，由企业聘任，全面负责企业法律事务工作的高级管理人员。企业总法律顾问对企业法定代表人或者总经理负责。</w:t>
      </w:r>
    </w:p>
    <w:p w14:paraId="1A2458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大型企业设置企业总法律顾问。</w:t>
      </w:r>
    </w:p>
    <w:p w14:paraId="7F5F24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企业总法律顾问应当同时具备下列条件：</w:t>
      </w:r>
    </w:p>
    <w:p w14:paraId="000EFD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)拥护、执行党和国家的基本路线、方针和政策，秉公尽责，严守法纪；</w:t>
      </w:r>
    </w:p>
    <w:p w14:paraId="5A2C86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(二)熟悉企业经营管理，具有较高的政策水平和较强的组织协调能力；</w:t>
      </w:r>
    </w:p>
    <w:p w14:paraId="79422F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(三)精通法律业务，具有处理复杂或者疑难法律事务的工作经验和能力；</w:t>
      </w:r>
    </w:p>
    <w:p w14:paraId="7B2FFD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(四)具有企业法律顾问执业资格，在企业中层以上管理部门担任主要负责人</w:t>
      </w:r>
      <w:r>
        <w:rPr>
          <w:rFonts w:ascii="宋体" w:eastAsia="宋体" w:hAnsi="宋体" w:cs="宋体" w:hint="eastAsia"/>
          <w:sz w:val="24"/>
        </w:rPr>
        <w:lastRenderedPageBreak/>
        <w:t>满3年的；或者被聘任为企业一级法律顾问，并担任过企业法律事务机构负责人的。</w:t>
      </w:r>
    </w:p>
    <w:p w14:paraId="7B2760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企业总法律顾问可以从社会上招聘产生。招聘办法另行制定。</w:t>
      </w:r>
    </w:p>
    <w:p w14:paraId="30C065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企业总法律顾问的任职实行备案制度。所出资企业按照企业负责人任免程序将所选聘的企业总法律顾问报送国有资产监督管理机构备案；所出资企业的子企业将所选聘的企业总法律顾问报送所出资企业备案。</w:t>
      </w:r>
    </w:p>
    <w:p w14:paraId="5FF3BA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企业总法律顾问履行下列职责：</w:t>
      </w:r>
    </w:p>
    <w:p w14:paraId="244AF1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)全面负责企业法律事务工作，统一协调处理企业决策、经营和管理中的法律事务；</w:t>
      </w:r>
    </w:p>
    <w:p w14:paraId="6A2EEE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(二)参与企业重大经营决策，保证决策的合法性，并对相关法律风险提出防范意见；</w:t>
      </w:r>
    </w:p>
    <w:p w14:paraId="25893E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(三)参与企业重要规章制度的制定和实施，建立健全企业法律事务机构；</w:t>
      </w:r>
    </w:p>
    <w:p w14:paraId="1D22E7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(四)负责企业的法制宣传教育和培训工作，组织建立企业法律顾问业务培训制度；</w:t>
      </w:r>
    </w:p>
    <w:p w14:paraId="5F11C7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(五)对企业及下属单位违反法律、法规的行为提出纠正意见，监督或者协助有关部门予以整改；</w:t>
      </w:r>
    </w:p>
    <w:p w14:paraId="4829E8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(六)指导下属单位法律事务工作，对下属单位法律事务负责人的任免提出建议；</w:t>
      </w:r>
    </w:p>
    <w:p w14:paraId="0ACCFE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(七)其他应当由企业总法律顾问履行的职责。</w:t>
      </w:r>
    </w:p>
    <w:p w14:paraId="753D71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企业法律事务机构</w:t>
      </w:r>
    </w:p>
    <w:p w14:paraId="5142D7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本办法所称的企业法律事务机构，是指企业设置的专门承担企业法律事务工作的职能部门，是企业法律顾问的执业机构。</w:t>
      </w:r>
    </w:p>
    <w:p w14:paraId="0C628A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大型企业设置专门的法律事务机构，其他企业可以根据需要设置法律事务机构。</w:t>
      </w:r>
    </w:p>
    <w:p w14:paraId="3B55C3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企业应当根据工作需要为法律事务机构配备企业法律顾问。</w:t>
      </w:r>
    </w:p>
    <w:p w14:paraId="643500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第二十四条企业法律事务机构履行下列职责：</w:t>
      </w:r>
    </w:p>
    <w:p w14:paraId="605C86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)正确执行国家法律、法规，对企业重大经营决策提出法律意见；</w:t>
      </w:r>
    </w:p>
    <w:p w14:paraId="58A16A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(二)起草或者参与起草、审核企业重要规章制度；</w:t>
      </w:r>
    </w:p>
    <w:p w14:paraId="4389C1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(三)管理、审核企业合同，参加重大合同的谈判和起草工作；</w:t>
      </w:r>
    </w:p>
    <w:p w14:paraId="16DEFA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(四)参与企业的分立、合并、破产、解散、投融资、担保、租赁、产权转让、招投标及改制、重组、公司上市等重大经济活动，处理有关法律事务；</w:t>
      </w:r>
    </w:p>
    <w:p w14:paraId="034C2B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(五)办理企业工商登记以及商标、专利、商业秘密保护、公证、</w:t>
      </w:r>
      <w:proofErr w:type="gramStart"/>
      <w:r>
        <w:rPr>
          <w:rFonts w:ascii="宋体" w:eastAsia="宋体" w:hAnsi="宋体" w:cs="宋体" w:hint="eastAsia"/>
          <w:sz w:val="24"/>
        </w:rPr>
        <w:t>鉴证</w:t>
      </w:r>
      <w:proofErr w:type="gramEnd"/>
      <w:r>
        <w:rPr>
          <w:rFonts w:ascii="宋体" w:eastAsia="宋体" w:hAnsi="宋体" w:cs="宋体" w:hint="eastAsia"/>
          <w:sz w:val="24"/>
        </w:rPr>
        <w:t>等有关法律事务，做好企业商标、专利、商业秘密等知识产权保护工作；</w:t>
      </w:r>
    </w:p>
    <w:p w14:paraId="1C2FFD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(六)负责或者配合企业有关部门对职工进行法制宣传教育；</w:t>
      </w:r>
    </w:p>
    <w:p w14:paraId="7813FE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(七)提供与企业生产经营有关的法律咨询；</w:t>
      </w:r>
    </w:p>
    <w:p w14:paraId="320E11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(八)受企业法定代表人的委托，参加企业的诉讼、仲裁、行政复议和听证等活动；</w:t>
      </w:r>
    </w:p>
    <w:p w14:paraId="60C902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(九)负责选聘律师，并对其工作进行监督和评价；</w:t>
      </w:r>
    </w:p>
    <w:p w14:paraId="1A785E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(十)办理企业负责人交办的其他法律事务。</w:t>
      </w:r>
    </w:p>
    <w:p w14:paraId="16D78C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法律事务机构应当加强与企业财务、审计和监察等部门的协调和配合，建立健全企业内部各项监督机制。</w:t>
      </w:r>
    </w:p>
    <w:p w14:paraId="662A26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企业应当支持企业法律事务机构及企业法律顾问依法履行职责，为开展法律事务工作提供必要的组织、制度和物质等保障。</w:t>
      </w:r>
    </w:p>
    <w:p w14:paraId="7A1753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监督检查</w:t>
      </w:r>
    </w:p>
    <w:p w14:paraId="6BDF14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国有资产监督管理机构应当加强对所出资企业法制建设情况的监督和检查。</w:t>
      </w:r>
    </w:p>
    <w:p w14:paraId="6817F3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国有资产监督管理机构应当督促所出资企业依法决策、依法经营管理、依法维护自身合法权益。</w:t>
      </w:r>
    </w:p>
    <w:p w14:paraId="79E453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所出资企业依据有关规定报送国有资产监督管理机构批准的分</w:t>
      </w:r>
      <w:r>
        <w:rPr>
          <w:rFonts w:ascii="宋体" w:eastAsia="宋体" w:hAnsi="宋体" w:cs="宋体" w:hint="eastAsia"/>
          <w:sz w:val="24"/>
        </w:rPr>
        <w:lastRenderedPageBreak/>
        <w:t>立、合并、破产、解散、增减资本、重大投融资等重大事项，应当由企业法律顾问出具法律意见书，分析相关的法律风险，明确法律责任。</w:t>
      </w:r>
    </w:p>
    <w:p w14:paraId="475BC1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所出资企业发生涉及出资人重大权益的法律纠纷，应当在法律纠纷发生之日起一个月内向国有资产监督管理机构备案，并接受有关法律指导和监督。</w:t>
      </w:r>
    </w:p>
    <w:p w14:paraId="26149B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所出资企业对其子企业法制建设情况的监督和检查参照本章规定执行。</w:t>
      </w:r>
    </w:p>
    <w:p w14:paraId="7F9095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奖励和处罚</w:t>
      </w:r>
    </w:p>
    <w:p w14:paraId="68D4D4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国有资产监督管理机构和企业应当对在促进企业依法经营，避免或者挽回企业重大经济损失，实现国有资产保值增值等方面</w:t>
      </w:r>
      <w:proofErr w:type="gramStart"/>
      <w:r>
        <w:rPr>
          <w:rFonts w:ascii="宋体" w:eastAsia="宋体" w:hAnsi="宋体" w:cs="宋体" w:hint="eastAsia"/>
          <w:sz w:val="24"/>
        </w:rPr>
        <w:t>作出</w:t>
      </w:r>
      <w:proofErr w:type="gramEnd"/>
      <w:r>
        <w:rPr>
          <w:rFonts w:ascii="宋体" w:eastAsia="宋体" w:hAnsi="宋体" w:cs="宋体" w:hint="eastAsia"/>
          <w:sz w:val="24"/>
        </w:rPr>
        <w:t>重大贡献的企业法律事务机构和企业法律顾问给予表彰和奖励。</w:t>
      </w:r>
    </w:p>
    <w:p w14:paraId="47DDBB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企业法律顾问和总法律顾问玩忽职守、滥用职权、谋取私利，给企业造成较大损失的，应当依法追究其法律责任，并可同时依照有关规定，由其所在企业报请管理机关暂停执业或者吊销其企业法律顾问执业资格证书；有犯罪嫌疑的，依法移送司法机关处理。</w:t>
      </w:r>
    </w:p>
    <w:p w14:paraId="2078FE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企业未按照国家有关规定建立健全法律监督机制，发生重大经营决策失误的，由国有资产监督管理机构或者所出资企业予以通报批评或者警告；情节严重或者造成企业国有资产重大损失的，对直接负责的主管人员和其他直接责任人员依法给予纪律处分；有犯罪嫌疑的，依法移送司法机关处理。</w:t>
      </w:r>
    </w:p>
    <w:p w14:paraId="5CD226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企业有关负责人对企业法律顾问依法履行职责打击报复的，由国有资产监督管理机构或者所出资企业予以通报批评或者警告；情节严重的，依法给予纪律处分；有犯罪嫌疑的，依法移送司法机关处理。</w:t>
      </w:r>
    </w:p>
    <w:p w14:paraId="052C32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国有资产监督管理机构的工作人员违法干预企业法律顾问工作，侵犯所出资企业和企业法律顾问合法权益的，对直接负责的主管人员和其他直接责任人员依法给予行政处分；有犯罪嫌疑的，依法移送司法机关处理。</w:t>
      </w:r>
    </w:p>
    <w:p w14:paraId="0BA3FC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附 则</w:t>
      </w:r>
    </w:p>
    <w:p w14:paraId="2D0AE0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第三十七条 企业和企业法律顾问可以依法加入企业法律顾问的协会组织，参加协会组织活动 。</w:t>
      </w:r>
    </w:p>
    <w:p w14:paraId="154E19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地方国有资产监督管理机构可以依据本办法制定实施细则。</w:t>
      </w:r>
    </w:p>
    <w:p w14:paraId="703E4C36"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第三十九条 本办法自2004年6月1日起施行。</w:t>
      </w:r>
    </w:p>
    <w:p w14:paraId="20FEAAAE"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28.《商业银行流动性风险管理办法》</w:t>
      </w:r>
    </w:p>
    <w:p w14:paraId="64E6A0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发文机构：中国银行保险监督管理委员会（已撤销） </w:t>
      </w:r>
    </w:p>
    <w:p w14:paraId="7EB42F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文号：中国银行保险监督管理委员会令2018年第3号</w:t>
      </w:r>
    </w:p>
    <w:p w14:paraId="61A0FF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788448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为加强商业银行流动性风险管理，维护银行体系安全稳健运行，根据《中华人民共和国银行业监督管理法》《中华人民共和国商业银行法》《中华人民共和国外资银行管理条例》等法律法规，制定本办法。</w:t>
      </w:r>
    </w:p>
    <w:p w14:paraId="05DA7B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本办法适用于在中华人民共和国境内依法设立的商业银行。</w:t>
      </w:r>
    </w:p>
    <w:p w14:paraId="29B051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本办法所称流动性风险，是指商业银行无法以合理成本及时获得充足资金，用于偿付到期债务、履行其他支付义务和满足正常业务开展的其他资金需求的风险。</w:t>
      </w:r>
    </w:p>
    <w:p w14:paraId="6C4123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商业银行应当按照本办法建立健全流动性风险管理体系，对法人和集团层面、各附属机构、各分支机构、各业务条线的流动性风险进行有效识别、计量、监测和控制，确保其流动性需求能够及时以合理成本得到满足。</w:t>
      </w:r>
    </w:p>
    <w:p w14:paraId="19ECE0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银行业监督管理机构依法对商业银行的流动性风险及其管理体系实施监督管理。</w:t>
      </w:r>
    </w:p>
    <w:p w14:paraId="2F6329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流动性风险管理</w:t>
      </w:r>
    </w:p>
    <w:p w14:paraId="0A3812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商业银行应当在法人和集团层面建立与其业务规模、性质和复杂程度相适应的流动性风险管理体系。</w:t>
      </w:r>
    </w:p>
    <w:p w14:paraId="2428FB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流动性风险管理体系应当包括以下基本要素：</w:t>
      </w:r>
    </w:p>
    <w:p w14:paraId="534A23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（一）有效的流动性风险管理治理结构；</w:t>
      </w:r>
    </w:p>
    <w:p w14:paraId="5E3777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（二）完善的流动性风险管理策略、政策和程序；</w:t>
      </w:r>
    </w:p>
    <w:p w14:paraId="10F682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（三）有效的流动性风险识别、计量、监测和控制；</w:t>
      </w:r>
    </w:p>
    <w:p w14:paraId="5C0049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（四）完备的管理信息系统。</w:t>
      </w:r>
    </w:p>
    <w:p w14:paraId="121CB3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第一节 流动性风险管理治理结构</w:t>
      </w:r>
    </w:p>
    <w:p w14:paraId="721ABC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商业银行应当建立有效的流动性风险管理治理结构，明确董事会及其专门委员会、监事会（监事）、高级管理层以及相关部门在流动性风险管理中的职责和报告路线，建立适当的考核和问责机制。</w:t>
      </w:r>
    </w:p>
    <w:p w14:paraId="06B884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商业银行董事会应当承担流动性风险管理的最终责任，履行以下职责：</w:t>
      </w:r>
    </w:p>
    <w:p w14:paraId="6FD0C6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（一）审核批准流动性风险偏好、流动性风险管理策略、重要的政策和程序，流动性风险偏好应当至少每年审议一次；</w:t>
      </w:r>
    </w:p>
    <w:p w14:paraId="375CEC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（二）监督高级管理层对流动性风险实施有效管理和控制；</w:t>
      </w:r>
    </w:p>
    <w:p w14:paraId="02EEB0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（三）持续关注流动性风险状况，定期获得流动性风险报告，及时了解流动性风险水平、管理状况及其重大变化；</w:t>
      </w:r>
    </w:p>
    <w:p w14:paraId="19EF90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（四）审批流动性风险信息披露内容，确保披露信息的真实性和准确性；</w:t>
      </w:r>
    </w:p>
    <w:p w14:paraId="1688A1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（五）其他有关职责。</w:t>
      </w:r>
    </w:p>
    <w:p w14:paraId="12AB72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董事会可以授权其下设的专门委员会履行部分职责。</w:t>
      </w:r>
    </w:p>
    <w:p w14:paraId="564220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商业银行高级管理层应当履行以下职责：</w:t>
      </w:r>
    </w:p>
    <w:p w14:paraId="41D484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（一）制定、定期评估并监督执行流动性风险偏好、流动性风险管理策略、政策和程序；</w:t>
      </w:r>
    </w:p>
    <w:p w14:paraId="10F338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（二）确定流动性风险管理组织架构，明确各部门职责分工，确保商业银行具有足够的资源，独立、有效地开展流动性风险管理工作；</w:t>
      </w:r>
    </w:p>
    <w:p w14:paraId="5DC54A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（三）确保流动性风险偏好、流动性风险管理策略、政策和程序在商业银行内部得到有效沟通和传达；</w:t>
      </w:r>
    </w:p>
    <w:p w14:paraId="74D0BB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（四）建立完备的管理信息系统，支持流动性风险的识别、计量、监测和控制；</w:t>
      </w:r>
    </w:p>
    <w:p w14:paraId="06BDC5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（五）充分了解并定期评估流动性风险水平及管理状况，及时了解流动性风险的重大变化，并向董事会定期报告；</w:t>
      </w:r>
    </w:p>
    <w:p w14:paraId="393E5E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（六）其他有关职责。</w:t>
      </w:r>
    </w:p>
    <w:p w14:paraId="28B333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商业银行应当指定专门部门负责流动性风险管理，其流动性风险管理职能应当与业务经营职能保持相对独立，并且具备履行流动性风险管理职能所需要的人力、物力资源。</w:t>
      </w:r>
    </w:p>
    <w:p w14:paraId="7DDB70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商业银行负责流动性风险管理的部门应当具备以下职能：</w:t>
      </w:r>
    </w:p>
    <w:p w14:paraId="6671E6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（一）拟定流动性风险管理策略、政策和程序，提交高级管理层和董事会审核批准；</w:t>
      </w:r>
    </w:p>
    <w:p w14:paraId="3A94DF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（二）识别、计量和监测流动性风险，包括持续监控优质流动性资产状况，监测流动性风险限额遵守情况并及时报告超限额情况，组织开展流动性风险压力测试，组织流动性风险应急计划的测试和评估；</w:t>
      </w:r>
    </w:p>
    <w:p w14:paraId="7C5278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（三）识别、评估新产品、新业务和新机构中所包含的流动性风险，审核相关操作和风险管理程序；</w:t>
      </w:r>
    </w:p>
    <w:p w14:paraId="02E690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（四）定期提交独立的流动性风险报告，及时向高级管理层和董事会报告流动性风险水平、管理状况及其重大变化；</w:t>
      </w:r>
    </w:p>
    <w:p w14:paraId="62391D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（五）拟定流动性风险信息披露内容，提交高级管理层和董事会审批；</w:t>
      </w:r>
    </w:p>
    <w:p w14:paraId="442401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（六）其他有关职责。</w:t>
      </w:r>
    </w:p>
    <w:p w14:paraId="346BFF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商业银行应当在内部定价以及考核激励等相关制度中充分考虑流动性风险因素，在考核分支机构或主要业务条线经风险调整的收益时应当考虑流动性风险成本，防止因过度追求业务扩张和短期利润而放松流动性风险管理。</w:t>
      </w:r>
    </w:p>
    <w:p w14:paraId="2E33CA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商业银行监事会（监事）应当对董事会和高级管理层在流动性风险管理中的履职情况进行监督评价，至少每年向股东大会（股东）报告一次。</w:t>
      </w:r>
    </w:p>
    <w:p w14:paraId="13F5F7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商业银行应当按照银行业监督管理机构关于内部控制有关要求，建立完善的流动性风险管理内部控制体系，作为银行整体内部控制体系的有机组成部分。</w:t>
      </w:r>
    </w:p>
    <w:p w14:paraId="5E2F40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商业银行应当将流动性风险管理纳入内部审计范畴，定期审查和</w:t>
      </w:r>
      <w:r>
        <w:rPr>
          <w:rFonts w:ascii="宋体" w:eastAsia="宋体" w:hAnsi="宋体" w:cs="宋体" w:hint="eastAsia"/>
          <w:sz w:val="24"/>
        </w:rPr>
        <w:lastRenderedPageBreak/>
        <w:t>评价流动性风险管理的充分性和有效性。</w:t>
      </w:r>
    </w:p>
    <w:p w14:paraId="55C917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内部审计应当涵盖流动性风险管理的所有环节，包括但不限于：</w:t>
      </w:r>
    </w:p>
    <w:p w14:paraId="1EA130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（一）流动性风险管理治理结构、策略、政策和程序能否确保有效识别、计量、监测和控制流动性风险；</w:t>
      </w:r>
    </w:p>
    <w:p w14:paraId="28E126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（二）流动性风险管理政策和程序是否得到有效执行；</w:t>
      </w:r>
    </w:p>
    <w:p w14:paraId="609415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（三）现金流分析和压力测试的各项假设条件是否合理；</w:t>
      </w:r>
    </w:p>
    <w:p w14:paraId="2BF88B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（四）流动性风险限额管理是否有效；</w:t>
      </w:r>
    </w:p>
    <w:p w14:paraId="79166A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（五）流动性风险管理信息系统是否完备；</w:t>
      </w:r>
    </w:p>
    <w:p w14:paraId="6C0E94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（六）流动性风险报告是否准确、及时、全面。</w:t>
      </w:r>
    </w:p>
    <w:p w14:paraId="067221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流动性风险管理的内部审计报告应当提交董事会和监事会。董事会应当针对内部审计发现的问题，督促高级管理层及时采取整改措施。内部审计部门应当跟踪检查整改措施的实施情况，并及时向董事会提交有关报告。</w:t>
      </w:r>
    </w:p>
    <w:p w14:paraId="636DBB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商业银行境外分支机构或附属机构采用相对独立的本地流动性风险管理模式的，应当对其流动性风险管理单独进行审计。</w:t>
      </w:r>
    </w:p>
    <w:p w14:paraId="03AD56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流动性风险管理策略、政策和程序</w:t>
      </w:r>
    </w:p>
    <w:p w14:paraId="2BDBA3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商业银行应当根据经营战略、业务特点、财务实力、融资能力、总体风险偏好及市场影响力等因素确定流动性风险偏好。</w:t>
      </w:r>
    </w:p>
    <w:p w14:paraId="241A22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商业银行的流动性风险偏好应当明确其在正常和压力情景下愿意并能够承受的流动性风险水平。</w:t>
      </w:r>
    </w:p>
    <w:p w14:paraId="19A7C3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商业银行应当根据流动性风险偏好制定书面的流动性风险管理策略、政策和程序。流动性风险管理策略、政策和程序应当涵盖表内外各项业务以及境内外所有可能对流动性风险产生重大影响的业务部门、分支机构和附属机构，并包括正常和压力情景下的流动性风险管理。</w:t>
      </w:r>
    </w:p>
    <w:p w14:paraId="54127A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商业银行的流动性风险管理策略应当明确流动性风险管理的总体目标、管理模式以及主要政策和程序。</w:t>
      </w:r>
    </w:p>
    <w:p w14:paraId="63F1C8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流动性风险管理政策和程序包括但不限于：</w:t>
      </w:r>
    </w:p>
    <w:p w14:paraId="4DA6C8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（一）流动性风险识别、计量和监测，包括现金流测算和分析；</w:t>
      </w:r>
    </w:p>
    <w:p w14:paraId="1277C6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（二）流动性风险限额管理；</w:t>
      </w:r>
    </w:p>
    <w:p w14:paraId="18184C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（三）融资管理；</w:t>
      </w:r>
    </w:p>
    <w:p w14:paraId="7743EC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（四）日间流动性风险管理；</w:t>
      </w:r>
    </w:p>
    <w:p w14:paraId="03DAE3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（五）压力测试；</w:t>
      </w:r>
    </w:p>
    <w:p w14:paraId="7F5ADE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（六）应急计划；</w:t>
      </w:r>
    </w:p>
    <w:p w14:paraId="5C09F3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（七）优质流动性资产管理；</w:t>
      </w:r>
    </w:p>
    <w:p w14:paraId="04C32A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（八）跨机构、跨境以及重要币种的流动性风险管理；</w:t>
      </w:r>
    </w:p>
    <w:p w14:paraId="4E4A83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（九）对影响流动性风险的潜在因素以及其他类别风险对流动性风险的影响进行持续监测和分析。</w:t>
      </w:r>
    </w:p>
    <w:p w14:paraId="1BAD2B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商业银行在开办新产品、新业务和设立新机构之前，应当在可行性研究中充分评估可能对流动性风险产生的影响，完善相应的风险管理政策和程序，并</w:t>
      </w:r>
      <w:proofErr w:type="gramStart"/>
      <w:r>
        <w:rPr>
          <w:rFonts w:ascii="宋体" w:eastAsia="宋体" w:hAnsi="宋体" w:cs="宋体" w:hint="eastAsia"/>
          <w:sz w:val="24"/>
        </w:rPr>
        <w:t>经负责</w:t>
      </w:r>
      <w:proofErr w:type="gramEnd"/>
      <w:r>
        <w:rPr>
          <w:rFonts w:ascii="宋体" w:eastAsia="宋体" w:hAnsi="宋体" w:cs="宋体" w:hint="eastAsia"/>
          <w:sz w:val="24"/>
        </w:rPr>
        <w:t>流动性风险管理的部门审核同意。</w:t>
      </w:r>
    </w:p>
    <w:p w14:paraId="5D64E3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商业银行应当综合考虑业务发展、技术更新及市场变化等因素，至少每年对流动性风险偏好、流动性风险管理策略、政策和程序进行一次评估，必要时进行修订。</w:t>
      </w:r>
    </w:p>
    <w:p w14:paraId="0288D8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第三节 流动性风险识别、计量、监测和控制</w:t>
      </w:r>
    </w:p>
    <w:p w14:paraId="56F346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商业银行应当根据业务规模、性质、复杂程度及风险状况，运用适当方法和模型，对在正常和压力情景下未来不同时间段的资产负债期限错配、融资来源多元化和稳定程度、优质流动性资产、重要币种流动性风险及市场流动性等进行分析和监测。</w:t>
      </w:r>
    </w:p>
    <w:p w14:paraId="4DD66F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商业银行在运用上述方法和模型时应当使用合理的假设条件，定期对各项假设条件进行评估，必要时进行修正，并保留书面记录。</w:t>
      </w:r>
    </w:p>
    <w:p w14:paraId="368545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第二十二条 商业银行应当建立现金流测算和分析框架，有效计量、监测和控制正常和压力情景下未来不同时间段的现金流缺口。</w:t>
      </w:r>
    </w:p>
    <w:p w14:paraId="31D4EE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现金流测算和分析应当涵盖资产和负债的未来现金流以及或有资产和</w:t>
      </w:r>
      <w:proofErr w:type="gramStart"/>
      <w:r>
        <w:rPr>
          <w:rFonts w:ascii="宋体" w:eastAsia="宋体" w:hAnsi="宋体" w:cs="宋体" w:hint="eastAsia"/>
          <w:sz w:val="24"/>
        </w:rPr>
        <w:t>或</w:t>
      </w:r>
      <w:proofErr w:type="gramEnd"/>
      <w:r>
        <w:rPr>
          <w:rFonts w:ascii="宋体" w:eastAsia="宋体" w:hAnsi="宋体" w:cs="宋体" w:hint="eastAsia"/>
          <w:sz w:val="24"/>
        </w:rPr>
        <w:t>有负债的潜在现金流，并充分考虑支付结算、代理和托管等业务对现金流的影响。</w:t>
      </w:r>
    </w:p>
    <w:p w14:paraId="50BFEA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商业银行应当对重要币种的现金流单独进行测算和分析。</w:t>
      </w:r>
    </w:p>
    <w:p w14:paraId="6D9E09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商业银行应当根据业务规模、性质、复杂程度及风险状况，监测可能引发流动性风险的特定情景或事件，采用适当的预警指标，前瞻性地分析其对流动性风险的影响。可参考的情景或事件包括但不限于：</w:t>
      </w:r>
    </w:p>
    <w:p w14:paraId="62F11B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（一）资产快速增长，负债波动性显著上升；</w:t>
      </w:r>
    </w:p>
    <w:p w14:paraId="56B419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（二）资产或负债集中度上升；</w:t>
      </w:r>
    </w:p>
    <w:p w14:paraId="5637A5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（三）负债平均期限下降；</w:t>
      </w:r>
    </w:p>
    <w:p w14:paraId="2FE34E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（四）批发或零售存款大量流失；</w:t>
      </w:r>
    </w:p>
    <w:p w14:paraId="3E55D2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（五）批发或零售融资成本上升；</w:t>
      </w:r>
    </w:p>
    <w:p w14:paraId="7D7FEE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（六）难以继续获得长期或短期融资；</w:t>
      </w:r>
    </w:p>
    <w:p w14:paraId="2FEE3C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（七）期限或货币错配程度加剧；</w:t>
      </w:r>
    </w:p>
    <w:p w14:paraId="6196F9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（八）多次接近内部限额或监管标准；</w:t>
      </w:r>
    </w:p>
    <w:p w14:paraId="77DDF2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（九）表外业务、复杂产品和交易对流动性的需求增加；</w:t>
      </w:r>
    </w:p>
    <w:p w14:paraId="18A5F1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（十）银行资产质量、盈利水平和总体财务状况恶化；       </w:t>
      </w:r>
    </w:p>
    <w:p w14:paraId="313E1B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（十一）交易对手要求追加额外抵（质）押品或拒绝进行新交易；</w:t>
      </w:r>
    </w:p>
    <w:p w14:paraId="36A1F1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（十二）代理行降低或取消授信额度；</w:t>
      </w:r>
    </w:p>
    <w:p w14:paraId="7DBEC6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（十三）信用评级下调；</w:t>
      </w:r>
    </w:p>
    <w:p w14:paraId="1AD63F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（十四）股票价格下跌；</w:t>
      </w:r>
    </w:p>
    <w:p w14:paraId="285AF3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（十五）出现重大声誉风险事件。</w:t>
      </w:r>
    </w:p>
    <w:p w14:paraId="443076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第二十四条 商业银行应当对流动性风险实施限额管理，根据自身业务规模、性质、复杂程度、流动性风险偏好和外部市场发展变化情况，设定流动性风险限额。流动性风险限额包括但不限于现金流缺口限额、负债集中度限额、集团内部交易和融资限额。</w:t>
      </w:r>
    </w:p>
    <w:p w14:paraId="123DA1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商业银行应当制定流动性风险限额管理的政策和程序，建立流动性风险限额设定、调整的授权制度、审批流程和超限额审批程序，至少每年对流动性风险限额进行一次评估，必要时进行调整。</w:t>
      </w:r>
    </w:p>
    <w:p w14:paraId="61565A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商业银行应当对流动性风险限额遵守情况进行监控，超限额情况应当及时报告。对未经批准的超限额情况应当按照限额管理的政策和程序进行处理。对超限额情况的处理应当保留书面记录。</w:t>
      </w:r>
    </w:p>
    <w:p w14:paraId="48E6A0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商业银行应当建立并完善融资策略，提高融资来源的多元化和稳定程度。</w:t>
      </w:r>
    </w:p>
    <w:p w14:paraId="52B862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商业银行的融资管理应当符合以下要求：</w:t>
      </w:r>
    </w:p>
    <w:p w14:paraId="06B680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（一）分析正常和压力情景下未来不同时间段的融资需求和来源；</w:t>
      </w:r>
    </w:p>
    <w:p w14:paraId="226E4B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（二）加强负债品种、期限、交易对手、币种、融资抵（质）押品和融资市场等的集中度管理，适当设置集中度限额，对于同业批发融资，应按总量和主要期限分别设定限额；</w:t>
      </w:r>
    </w:p>
    <w:p w14:paraId="7C5E18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（三）加强融资渠道管理，积极维护与主要融资交易对手的关系，保持在市场上的适当活跃程度，并定期评估市场融资和资产变现能力；</w:t>
      </w:r>
    </w:p>
    <w:p w14:paraId="40CEFB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（四）密切监测主要金融市场的交易量和价格等变动情况，评估市场流动性对商业银行融资能力的影响。</w:t>
      </w:r>
    </w:p>
    <w:p w14:paraId="5F9073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商业银行应当加强融资抵（质）押品管理，确保其能够满足正常和压力情景下日间和不同期限融资交易的抵（质）押品需求，并且能够及时履行向相关交易对手返售抵（质）押品的义务。</w:t>
      </w:r>
    </w:p>
    <w:p w14:paraId="439D1C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商业银行应当区分有变现障碍资产和无变现障碍资产。对可以用作抵（质）押品的无变现障碍资产的种类、数量、币种、所处地域和机构、托管账户，以及</w:t>
      </w:r>
      <w:r>
        <w:rPr>
          <w:rFonts w:ascii="宋体" w:eastAsia="宋体" w:hAnsi="宋体" w:cs="宋体" w:hint="eastAsia"/>
          <w:sz w:val="24"/>
        </w:rPr>
        <w:lastRenderedPageBreak/>
        <w:t>中央银行或金融市场对其接受程度进行监测分析，定期评估其资产价值及融资能力，并充分考虑其在融资中的操作性要求和时间要求。</w:t>
      </w:r>
    </w:p>
    <w:p w14:paraId="7D618C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商业银行应当在考虑抵（质）押品的融资能力、价格敏感度、压力情景下的折扣率等因素的基础上提高抵（质）押品的多元化程度。</w:t>
      </w:r>
    </w:p>
    <w:p w14:paraId="225D0B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商业银行应当加强日间流动性风险管理，确保具有充足的日间流动性头寸和相关融资安排，及时满足正常和压力情景下的日间支付需求。</w:t>
      </w:r>
    </w:p>
    <w:p w14:paraId="6698A9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商业银行的日间流动性风险管理应该符合以下要求：</w:t>
      </w:r>
    </w:p>
    <w:p w14:paraId="09BDC4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（一）有效计量每日的预期现金流入总量和流出总量，日间各个时点现金流入和流出的规模、缺口等；</w:t>
      </w:r>
    </w:p>
    <w:p w14:paraId="50366B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（二）及时监测业务行为变化，以及账面资金、日间信用额度、可用押品等可用资金变化等对日间流动性头寸的影响；</w:t>
      </w:r>
    </w:p>
    <w:p w14:paraId="52D2EB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（三）具有充足的日间融资安排来满足日间支付需求，必要时可通过管理和使用押品来获取日间流动性；</w:t>
      </w:r>
    </w:p>
    <w:p w14:paraId="009C69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（四）具有根据日间情况合理管</w:t>
      </w:r>
      <w:proofErr w:type="gramStart"/>
      <w:r>
        <w:rPr>
          <w:rFonts w:ascii="宋体" w:eastAsia="宋体" w:hAnsi="宋体" w:cs="宋体" w:hint="eastAsia"/>
          <w:sz w:val="24"/>
        </w:rPr>
        <w:t>控资金</w:t>
      </w:r>
      <w:proofErr w:type="gramEnd"/>
      <w:r>
        <w:rPr>
          <w:rFonts w:ascii="宋体" w:eastAsia="宋体" w:hAnsi="宋体" w:cs="宋体" w:hint="eastAsia"/>
          <w:sz w:val="24"/>
        </w:rPr>
        <w:t>流出时点的能力；</w:t>
      </w:r>
    </w:p>
    <w:p w14:paraId="0B7764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（五）充分考虑非预期冲击对日间流动性的影响。</w:t>
      </w:r>
    </w:p>
    <w:p w14:paraId="7E5A4C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商业银行应当结合历史数据对日间流动性状况进行回溯分析，并在必要</w:t>
      </w:r>
      <w:proofErr w:type="gramStart"/>
      <w:r>
        <w:rPr>
          <w:rFonts w:ascii="宋体" w:eastAsia="宋体" w:hAnsi="宋体" w:cs="宋体" w:hint="eastAsia"/>
          <w:sz w:val="24"/>
        </w:rPr>
        <w:t>时完善</w:t>
      </w:r>
      <w:proofErr w:type="gramEnd"/>
      <w:r>
        <w:rPr>
          <w:rFonts w:ascii="宋体" w:eastAsia="宋体" w:hAnsi="宋体" w:cs="宋体" w:hint="eastAsia"/>
          <w:sz w:val="24"/>
        </w:rPr>
        <w:t>日间流动性风险管理。</w:t>
      </w:r>
    </w:p>
    <w:p w14:paraId="693480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商业银行应当加强同业业务流动性风险管理，提高同业负债的多元化和稳定程度，并优化同业资产结构和配置。</w:t>
      </w:r>
    </w:p>
    <w:p w14:paraId="1E3696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商业银行应当建立流动性风险压力测试制度，分析承受短期和中长期压力情景的流动性风险控制能力。</w:t>
      </w:r>
    </w:p>
    <w:p w14:paraId="2F45C2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流动性风险压力测试应当符合以下要求：</w:t>
      </w:r>
    </w:p>
    <w:p w14:paraId="224FD0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（一）合理审慎设定并定期审核压力情景，充分考虑影响商业银行自身的特定冲击、影响整个市场的系统性冲击和两者相结合的情景，以及轻度、中度、严重等不同压力程度；</w:t>
      </w:r>
    </w:p>
    <w:p w14:paraId="6B0917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（二）合理审慎设定在压力情景下商业银行满足流动性需求并可持续经营的最短期限，在影响整个市场的系统性冲击情景下该期限应当不少于30天；</w:t>
      </w:r>
    </w:p>
    <w:p w14:paraId="56DCD5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（三）充分考虑各类风险与流动性风险的内在关联性和市场流动性对商业银行流动性风险的影响；</w:t>
      </w:r>
    </w:p>
    <w:p w14:paraId="70E46C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（四）定期在法人和集团层面实施压力测试，当存在流动性转移限制等情况时，应当对有关分支机构或附属机构单独实施压力测试；</w:t>
      </w:r>
    </w:p>
    <w:p w14:paraId="063245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（五）压力测试频率应当与商业银行的规模、风险水平及市场影响力相适应，常规压力测试应当至少每季度进行一次，出现市场剧烈波动等情况时，应当提高压力测试频率；</w:t>
      </w:r>
    </w:p>
    <w:p w14:paraId="519CC9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（六）在可能情况下，应当参考以往出现的影响银行或市场的流动性冲击，对压力测试结果实施事后检验，压力测试结果和事后检验应当有书面记录；</w:t>
      </w:r>
    </w:p>
    <w:p w14:paraId="06F660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（七）在确定流动性风险偏好、流动性风险管理策略、政策和程序，以及制定业务发展和财务计划时，应当充分考虑压力测试结果，必要时应当根据压力测试结果对上述内容进行调整。</w:t>
      </w:r>
    </w:p>
    <w:p w14:paraId="34F3A7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董事会和高级管理层应当对压力测试的情景设定、程序和结果进行审核，不断完善流动性风险压力测试，充分发挥其在流动性风险管理中的作用。</w:t>
      </w:r>
    </w:p>
    <w:p w14:paraId="026D87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商业银行应当根据其业务规模、性质、复杂程度、风险水平、组织架构及市场影响力，充分考虑压力测试结果，制定有效的流动性风险应急计划，确保其可以应对紧急情况下的流动性需求。商业银行应当至少每年对应急计划进行一次测试和评估，必要时进行修订。</w:t>
      </w:r>
    </w:p>
    <w:p w14:paraId="3F058D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流动性风险应急计划应当符合以下要求：</w:t>
      </w:r>
    </w:p>
    <w:p w14:paraId="530518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（一）设定触发应急计划的各种情景；</w:t>
      </w:r>
    </w:p>
    <w:p w14:paraId="058965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（二）列明应急资金来源，合理估计可能的筹资规模和所需时间，充分考虑跨境、跨机构的流动性转移限制，确保应急资金来源的可靠性和充分性；</w:t>
      </w:r>
    </w:p>
    <w:p w14:paraId="031717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（三）规定应急程序和措施，至少包括资产方应急措施、负债方应急措施、加强内外部沟通和其他减少因信息不对称而给商业银行带来不利影响的措施；</w:t>
      </w:r>
    </w:p>
    <w:p w14:paraId="27E88A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（四）明确董事会、高级管理层及各部门实施应急程序和措施的权限与职责；</w:t>
      </w:r>
    </w:p>
    <w:p w14:paraId="1F08D0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（五）区分法人和集团层面应急计划，并视需要针对重要币种和境外主要业务区域制定专门的应急计划，对于存在流动性转移限制的分支机构或附属机构，应当制定专门的应急计划。</w:t>
      </w:r>
    </w:p>
    <w:p w14:paraId="3035FF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商业银行应当持有充足的优质流动性资产，确保其在压力情景下能够及时满足流动性需求。优质流动性资产应当为无变现障碍资产，可以包括在压力情景下能够通过出售或抵（质）</w:t>
      </w:r>
      <w:proofErr w:type="gramStart"/>
      <w:r>
        <w:rPr>
          <w:rFonts w:ascii="宋体" w:eastAsia="宋体" w:hAnsi="宋体" w:cs="宋体" w:hint="eastAsia"/>
          <w:sz w:val="24"/>
        </w:rPr>
        <w:t>押方式</w:t>
      </w:r>
      <w:proofErr w:type="gramEnd"/>
      <w:r>
        <w:rPr>
          <w:rFonts w:ascii="宋体" w:eastAsia="宋体" w:hAnsi="宋体" w:cs="宋体" w:hint="eastAsia"/>
          <w:sz w:val="24"/>
        </w:rPr>
        <w:t>获取资金的流动性资产。</w:t>
      </w:r>
    </w:p>
    <w:p w14:paraId="2291ED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商业银行应当根据其流动性风险偏好，考虑压力情景的严重程度和持续时间、现金流缺口、优质流动性资产变现能力等因素，按照审慎原则确定优质流动性资产的规模和构成。</w:t>
      </w:r>
    </w:p>
    <w:p w14:paraId="535B82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商业银行应当对流动性风险实施并表管理，既要考虑银行集团的整体流动性风险水平，又要考虑附属机构的流动性风险状况及其对银行集团的影响。</w:t>
      </w:r>
    </w:p>
    <w:p w14:paraId="78B3AD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商业银行应当设立集团内部的交易和融资限额，分析银行集团内部负债集中度可能对流动性风险产生的影响，防止分支机构或附属机构过度依赖集团内部融资，减少集团内部的风险传导。</w:t>
      </w:r>
    </w:p>
    <w:p w14:paraId="2017F3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商业银行应当充分了解境外分支机构、附属机构及其业务所在国家或地区与流动性风险管理相关的法律、法规和监管要求，充分考虑流动性转移限制和金融市场发展差异程度等因素对流动性风险并表管理的影响。</w:t>
      </w:r>
    </w:p>
    <w:p w14:paraId="51E311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商业银行应当按照本外币合计和重要币种分别进行流动性风险识别、计量、监测和控制。</w:t>
      </w:r>
    </w:p>
    <w:p w14:paraId="0F2A6C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商业银行应当审慎评估信用风险、市场风险、操作风险和声誉风险等其他类别风险对流动性风险的影响。</w:t>
      </w:r>
    </w:p>
    <w:p w14:paraId="698D48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第四节 管理信息系统</w:t>
      </w:r>
    </w:p>
    <w:p w14:paraId="6C1A2F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商业银行应当建立完备的管理信息系统，准确、及时、全面计量、监测和报告流动性风险状况。</w:t>
      </w:r>
    </w:p>
    <w:p w14:paraId="43AD34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管理信息系统应当至少实现以下功能：</w:t>
      </w:r>
    </w:p>
    <w:p w14:paraId="66CB60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（一）监测日间流动性状况，每日计算各个设定时间段的现金流入、流出及缺口；</w:t>
      </w:r>
    </w:p>
    <w:p w14:paraId="2351B9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（二）计算流动性风险监管和监测指标，并在必要时提高监测频率；</w:t>
      </w:r>
    </w:p>
    <w:p w14:paraId="113677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（三）支持流动性风险限额的监测和控制；</w:t>
      </w:r>
    </w:p>
    <w:p w14:paraId="7185FE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（四）支持对大额资金流动的实时监控；</w:t>
      </w:r>
    </w:p>
    <w:p w14:paraId="3C7479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（五）支持对优质流动性资产及其他无变现障碍资产种类、数量、币种、所处地域和机构、托管账户等信息的监测；</w:t>
      </w:r>
    </w:p>
    <w:p w14:paraId="5B70D6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（六）支持对融资抵（质）</w:t>
      </w:r>
      <w:proofErr w:type="gramStart"/>
      <w:r>
        <w:rPr>
          <w:rFonts w:ascii="宋体" w:eastAsia="宋体" w:hAnsi="宋体" w:cs="宋体" w:hint="eastAsia"/>
          <w:sz w:val="24"/>
        </w:rPr>
        <w:t>押品种</w:t>
      </w:r>
      <w:proofErr w:type="gramEnd"/>
      <w:r>
        <w:rPr>
          <w:rFonts w:ascii="宋体" w:eastAsia="宋体" w:hAnsi="宋体" w:cs="宋体" w:hint="eastAsia"/>
          <w:sz w:val="24"/>
        </w:rPr>
        <w:t>类、数量、币种、所处地域和机构、托管账户等信息的监测；</w:t>
      </w:r>
    </w:p>
    <w:p w14:paraId="12E10A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（七）支持在不同假设情景下实施压力测试。</w:t>
      </w:r>
    </w:p>
    <w:p w14:paraId="5E6DAC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商业银行应当建立规范的流动性风险报告制度，明确各项流动性风险报告的内容、形式、频率和报送范围，确保董事会、高级管理层和其他管理人员及时了解流动性风险水平及其管理状况。</w:t>
      </w:r>
    </w:p>
    <w:p w14:paraId="308801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流动性风险监管</w:t>
      </w:r>
    </w:p>
    <w:p w14:paraId="6CB388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流动性风险监管指标</w:t>
      </w:r>
    </w:p>
    <w:p w14:paraId="3E7C2E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流动性风险监管指标包括流动性覆盖率、</w:t>
      </w:r>
      <w:proofErr w:type="gramStart"/>
      <w:r>
        <w:rPr>
          <w:rFonts w:ascii="宋体" w:eastAsia="宋体" w:hAnsi="宋体" w:cs="宋体" w:hint="eastAsia"/>
          <w:sz w:val="24"/>
        </w:rPr>
        <w:t>净稳定</w:t>
      </w:r>
      <w:proofErr w:type="gramEnd"/>
      <w:r>
        <w:rPr>
          <w:rFonts w:ascii="宋体" w:eastAsia="宋体" w:hAnsi="宋体" w:cs="宋体" w:hint="eastAsia"/>
          <w:sz w:val="24"/>
        </w:rPr>
        <w:t>资金比例、流动性比例、流动性匹配率和优质流动性资产充足率。</w:t>
      </w:r>
    </w:p>
    <w:p w14:paraId="3D1ED2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资产规模不小于2000亿元人民币的商业银行应当持续达到流动性覆盖率、</w:t>
      </w:r>
      <w:proofErr w:type="gramStart"/>
      <w:r>
        <w:rPr>
          <w:rFonts w:ascii="宋体" w:eastAsia="宋体" w:hAnsi="宋体" w:cs="宋体" w:hint="eastAsia"/>
          <w:sz w:val="24"/>
        </w:rPr>
        <w:t>净稳定</w:t>
      </w:r>
      <w:proofErr w:type="gramEnd"/>
      <w:r>
        <w:rPr>
          <w:rFonts w:ascii="宋体" w:eastAsia="宋体" w:hAnsi="宋体" w:cs="宋体" w:hint="eastAsia"/>
          <w:sz w:val="24"/>
        </w:rPr>
        <w:t>资金比例、流动性比例和流动性匹配率的最低监管标准。</w:t>
      </w:r>
    </w:p>
    <w:p w14:paraId="628594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资产规模小于2000亿元人民币的商业银行应当持续达到优质流动性资产充足率、流动性比例和流动性匹配率的最低监管标准。</w:t>
      </w:r>
    </w:p>
    <w:p w14:paraId="3992BE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流动性覆盖率监管指标旨在确保商业银行具有充足的合格优质流动性资产，能够在规定的流动性压力情景下，通过变现这些资产满足未来至少30天的流动性需求。</w:t>
      </w:r>
    </w:p>
    <w:p w14:paraId="4DA885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流动性覆盖率的计算公式为：</w:t>
      </w:r>
    </w:p>
    <w:p w14:paraId="5509E2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流动性覆盖率=合格优质流动性资产÷未来30天现金净流出量</w:t>
      </w:r>
    </w:p>
    <w:p w14:paraId="775232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流动性覆盖率的最低监管标准为不低于100%。除本办法第六十条第二款规定的情形外，流动性覆盖率应当不低于最低监管标准。</w:t>
      </w:r>
    </w:p>
    <w:p w14:paraId="277A54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第三十九条 </w:t>
      </w:r>
      <w:proofErr w:type="gramStart"/>
      <w:r>
        <w:rPr>
          <w:rFonts w:ascii="宋体" w:eastAsia="宋体" w:hAnsi="宋体" w:cs="宋体" w:hint="eastAsia"/>
          <w:sz w:val="24"/>
        </w:rPr>
        <w:t>净稳定</w:t>
      </w:r>
      <w:proofErr w:type="gramEnd"/>
      <w:r>
        <w:rPr>
          <w:rFonts w:ascii="宋体" w:eastAsia="宋体" w:hAnsi="宋体" w:cs="宋体" w:hint="eastAsia"/>
          <w:sz w:val="24"/>
        </w:rPr>
        <w:t>资金比例监管指标旨在确保商业银行具有充足的稳定资金来源，以满足各类资产和表外风险敞口对稳定资金的需求。</w:t>
      </w:r>
    </w:p>
    <w:p w14:paraId="1B11F895"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净稳定</w:t>
      </w:r>
      <w:proofErr w:type="gramEnd"/>
      <w:r>
        <w:rPr>
          <w:rFonts w:ascii="宋体" w:eastAsia="宋体" w:hAnsi="宋体" w:cs="宋体" w:hint="eastAsia"/>
          <w:sz w:val="24"/>
        </w:rPr>
        <w:t>资金比例的计算公式为：</w:t>
      </w:r>
    </w:p>
    <w:p w14:paraId="1B7A33C3"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净稳定</w:t>
      </w:r>
      <w:proofErr w:type="gramEnd"/>
      <w:r>
        <w:rPr>
          <w:rFonts w:ascii="宋体" w:eastAsia="宋体" w:hAnsi="宋体" w:cs="宋体" w:hint="eastAsia"/>
          <w:sz w:val="24"/>
        </w:rPr>
        <w:t>资金比例=可用的稳定资金÷所需的稳定资金</w:t>
      </w:r>
    </w:p>
    <w:p w14:paraId="3A208C31"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净稳定</w:t>
      </w:r>
      <w:proofErr w:type="gramEnd"/>
      <w:r>
        <w:rPr>
          <w:rFonts w:ascii="宋体" w:eastAsia="宋体" w:hAnsi="宋体" w:cs="宋体" w:hint="eastAsia"/>
          <w:sz w:val="24"/>
        </w:rPr>
        <w:t>资金比例的最低监管标准为不低于100%。</w:t>
      </w:r>
    </w:p>
    <w:p w14:paraId="0DAF11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流动性比例的计算公式为：</w:t>
      </w:r>
    </w:p>
    <w:p w14:paraId="103238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流动性比例=流动性资产余额÷流动性负债余额</w:t>
      </w:r>
    </w:p>
    <w:p w14:paraId="71A1C7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流动性比例的最低监管标准为不低于25%。</w:t>
      </w:r>
    </w:p>
    <w:p w14:paraId="666F59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流动性匹配率监管指标衡量商业银行主要资产与负债的期限配置结构，旨在引导商业银行合理配置长期稳定负债、高流动性或短期资产，避免过度依赖短期资金支持长期业务发展，提高流动性风险抵御能力。</w:t>
      </w:r>
    </w:p>
    <w:p w14:paraId="58C2F8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流动性匹配率的计算公式为：</w:t>
      </w:r>
    </w:p>
    <w:p w14:paraId="4AB12E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流动性匹配率=加权资金来源÷加权资金运用</w:t>
      </w:r>
    </w:p>
    <w:p w14:paraId="0A4A4E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流动性匹配率的最低监管标准为不低于100%。</w:t>
      </w:r>
    </w:p>
    <w:p w14:paraId="5FAEF7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优质流动性资产充足率监管指标旨在确保商业银行保持充足的、无变现障碍的优质流动性资产，在压力情况下，银行可通过变现这些资产来满足未来30天内的流动性需求。</w:t>
      </w:r>
    </w:p>
    <w:p w14:paraId="5657C0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优质流动性资产充足率的计算公式为：</w:t>
      </w:r>
    </w:p>
    <w:p w14:paraId="7F7E2B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优质流动性资产充足率=优质流动性资产÷短期现金净流出</w:t>
      </w:r>
    </w:p>
    <w:p w14:paraId="2644A6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优质流动性资产充足率的最低监管标准为不低于100%。除本办法第六十条</w:t>
      </w:r>
      <w:r>
        <w:rPr>
          <w:rFonts w:ascii="宋体" w:eastAsia="宋体" w:hAnsi="宋体" w:cs="宋体" w:hint="eastAsia"/>
          <w:sz w:val="24"/>
        </w:rPr>
        <w:lastRenderedPageBreak/>
        <w:t>第二款规定的情形外，优质流动性资产充足</w:t>
      </w:r>
      <w:proofErr w:type="gramStart"/>
      <w:r>
        <w:rPr>
          <w:rFonts w:ascii="宋体" w:eastAsia="宋体" w:hAnsi="宋体" w:cs="宋体" w:hint="eastAsia"/>
          <w:sz w:val="24"/>
        </w:rPr>
        <w:t>率应当</w:t>
      </w:r>
      <w:proofErr w:type="gramEnd"/>
      <w:r>
        <w:rPr>
          <w:rFonts w:ascii="宋体" w:eastAsia="宋体" w:hAnsi="宋体" w:cs="宋体" w:hint="eastAsia"/>
          <w:sz w:val="24"/>
        </w:rPr>
        <w:t>不低于最低监管标准。</w:t>
      </w:r>
    </w:p>
    <w:p w14:paraId="32B612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商业银行应当在法人和集团层面，分别计算未并表和</w:t>
      </w:r>
      <w:proofErr w:type="gramStart"/>
      <w:r>
        <w:rPr>
          <w:rFonts w:ascii="宋体" w:eastAsia="宋体" w:hAnsi="宋体" w:cs="宋体" w:hint="eastAsia"/>
          <w:sz w:val="24"/>
        </w:rPr>
        <w:t>并</w:t>
      </w:r>
      <w:proofErr w:type="gramEnd"/>
      <w:r>
        <w:rPr>
          <w:rFonts w:ascii="宋体" w:eastAsia="宋体" w:hAnsi="宋体" w:cs="宋体" w:hint="eastAsia"/>
          <w:sz w:val="24"/>
        </w:rPr>
        <w:t>表的流动性风险监管指标，并表范围按照银行业监督管理机构关于商业银行资本监管的相关规定执行。</w:t>
      </w:r>
    </w:p>
    <w:p w14:paraId="0E0259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在计算并表流动性覆盖率时，</w:t>
      </w:r>
      <w:proofErr w:type="gramStart"/>
      <w:r>
        <w:rPr>
          <w:rFonts w:ascii="宋体" w:eastAsia="宋体" w:hAnsi="宋体" w:cs="宋体" w:hint="eastAsia"/>
          <w:sz w:val="24"/>
        </w:rPr>
        <w:t>若集团</w:t>
      </w:r>
      <w:proofErr w:type="gramEnd"/>
      <w:r>
        <w:rPr>
          <w:rFonts w:ascii="宋体" w:eastAsia="宋体" w:hAnsi="宋体" w:cs="宋体" w:hint="eastAsia"/>
          <w:sz w:val="24"/>
        </w:rPr>
        <w:t>内部存在跨境或跨机构的流动性转移限制，相关附属机构满足自身流动性覆盖率最低监管标准之外的合格优质流动性资产，不能计入集团的合格优质流动性资产。</w:t>
      </w:r>
    </w:p>
    <w:p w14:paraId="0B3E15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流动性风险监测工具</w:t>
      </w:r>
    </w:p>
    <w:p w14:paraId="67C6F6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银行业监督管理机构应当从商业银行资产负债期限错配情况、融资来源的多元化和稳定程度、无变现障碍资产、重要币种流动性风险状况以及市场流动性等方面，定期对商业银行和银行体系的流动性风险进行分析和监测。</w:t>
      </w:r>
    </w:p>
    <w:p w14:paraId="56EBFC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银行业监督管理机构应当充分考虑单一的流动性风险监管指标或监测工具在反映商业银行流动性风险方面的局限性，综合运用多种方法和工具对流动性风险进行分析和监测。</w:t>
      </w:r>
    </w:p>
    <w:p w14:paraId="363CA6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银行业监督管理机构可结合商业银行的发展战略、市场定位、经营模式、资产负债结构和风险管理能力，对全部或部分监测工具设置差异化的监测预警值或预警区间，适时进行风险提示或要求银行采取相关措施。</w:t>
      </w:r>
    </w:p>
    <w:p w14:paraId="4FC73B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银行业监督管理机构应当定期监测商业银行的所有表内外项目在不同时间段的合同期限错配情况，并分析其对流动性风险的影响。合同期限错配情况的分析和监测可以涵盖隔夜、7天、14天、1个月、2个月、3个月、6个月、9个月、1年、2年、3年、5年和5年以上等多个时间段。相关参考指标包括但不限于各个时间段的流动性缺口和流动性缺口率。</w:t>
      </w:r>
    </w:p>
    <w:p w14:paraId="293A69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银行业监督管理机构应当定期监测商业银行融资来源的多元化和稳定程度，并分析其对流动性风险的影响。银行业监督管理机构应当按照重要性原则，分析商业银行的表内外负债在融资工具、交易对手和币种等方面的集中度。对负债集中度的分析应当涵盖多个时间段。相关参考指标包括但不限于核心负债比例、同业融入比例、最大十户存款比例和最大十家同业融入比例。</w:t>
      </w:r>
    </w:p>
    <w:p w14:paraId="40E41D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当商业银行出现对短期同业批发融资依赖程度较高、同业批发融资增长较快、发行同业存单增长较快等情况时，或商业银行在上述方面明显高于同质同类银行或全部商业银行平均水平时，银行业监督管理机构应当及时了解原因并分析其反映出的商业银行风险变化，必要时进行风险提示或要求商业银行采取相关措施。</w:t>
      </w:r>
    </w:p>
    <w:p w14:paraId="0A4AD2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银行业监督管理机构应当定期监测商业银行无变现障碍资产的种类、金额和所在地。相关参考指标包括但不限于超额备付金率、本办法第三十一条所规定的优质流动性资产以及向中央银行或市场融资时可以用作抵（质）押品的其他资产。</w:t>
      </w:r>
    </w:p>
    <w:p w14:paraId="73706B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银行业监督管理机构应当根据商业银行的外汇业务规模、货币错配情况和市场影响力等因素决定是否对其重要币种的流动性风险进行单独监测。相关参考指标包括但不限于重要币种的流动性覆盖率。</w:t>
      </w:r>
    </w:p>
    <w:p w14:paraId="3AEABB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第四十九条 银行业监督管理机构应当密切跟踪研究宏观经济形势和金融市场变化对银行体系流动性的影响，分析、监测金融市场的整体流动性状况。发现市场流动性紧张、融资成本提高、优质流动性资产变现能力下降或丧失、流动性转移受限等情况时，应当及时分析其对商业银行融资能力的影响。</w:t>
      </w:r>
    </w:p>
    <w:p w14:paraId="5A2BA0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银行业监督管理机构用于分析、监测市场流动性的相关参考指标包括但不限于银行间市场相关利率及成交量、国库定期存款招标利率、票据转贴现利率及证券市场相关指数。</w:t>
      </w:r>
    </w:p>
    <w:p w14:paraId="56BAC4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第五十条 银行业监督管理机构应当持续监测商业银行存贷比的变动情况，当商业银行出现存贷比指标波动较大、快速或持续单向变化等情况时，或商业银行的存贷比明显高于同质同类银行或全部商业银行平均水平时，应当及时了解原因并分析其反映出的商业银行风险变化，必要时进行风险提示或要求商业银行采取相关措施。</w:t>
      </w:r>
    </w:p>
    <w:p w14:paraId="5617BB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第五十一条 商业银行应当将流动性风险监测指标全部纳入内部流动性风险管理框架，及时监测指标变化并定期向银行业监督管理机构报告。</w:t>
      </w:r>
    </w:p>
    <w:p w14:paraId="6784B0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第五十二条 除本办法列出的流动性风险监管指标和监测参考指标外，银行业监督管理机构还可根据商业银行的业务规模、性质、复杂程度、管理模式和流</w:t>
      </w:r>
      <w:r>
        <w:rPr>
          <w:rFonts w:ascii="宋体" w:eastAsia="宋体" w:hAnsi="宋体" w:cs="宋体" w:hint="eastAsia"/>
          <w:sz w:val="24"/>
        </w:rPr>
        <w:lastRenderedPageBreak/>
        <w:t>动性风险特点，设置其他流动性风险指标工具，实施流动性风险分析和监测。</w:t>
      </w:r>
    </w:p>
    <w:p w14:paraId="687409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第三节 流动性风险监管方法和措施</w:t>
      </w:r>
    </w:p>
    <w:p w14:paraId="468ED6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第五十三条 银行业监督管理机构应当通过非现场监管、现场检查以及与商业银行的董事、高级管理人员进行监督管理谈话等方式，运用流动性风险监管指标和监测工具，在法人和集团层面对商业银行的流动性风险水平及其管理状况实施监督管理，并尽早采取措施应对潜在流动性风险。</w:t>
      </w:r>
    </w:p>
    <w:p w14:paraId="70C06B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第五十四条 商业银行应当按照规定向银行业监督管理机构报送与流动性风险有关的财务会计、统计报表和其他报告。委托社会中介机构对其流动性风险水平及流动性风险管理体系进行审计的，还应当报送相关的外部审计报告。流动性风险监管指标应当按月报送，银行业监督管理机构另行规定的除外。</w:t>
      </w:r>
    </w:p>
    <w:p w14:paraId="20F03A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银行业监督管理机构可以根据商业银行的业务规模、性质、复杂程度、管理模式和流动性风险特点，确定商业银行报送流动性风险报表、报告的内容和频率。</w:t>
      </w:r>
    </w:p>
    <w:p w14:paraId="3B0981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第五十五条 商业银行应当于每年4月底前向银行业监督管理机构报送上一年度的流动性风险管理报告，主要内容包括流动性风险偏好、流动性风险管理策略、主要政策和程序、内部风险管理指标和限额、应急计划及其测试情况等。</w:t>
      </w:r>
    </w:p>
    <w:p w14:paraId="76B54C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商业银行对流动性风险偏好、流动性风险管理策略、政策和程序进行重大调整的，应当在1个月内向银行业监督管理机构书面报告调整情况。</w:t>
      </w:r>
    </w:p>
    <w:p w14:paraId="24481B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第五十六条 商业银行应当按季向银行业监督管理机构报送流动性风险压力测试报告，内容包括压力测试的情景、方法、过程和结果。出现市场剧烈波动等情况时，应当提高压力测试报送频率。商业银行根据压力测试结果对流动性风险偏好、流动性风险管理策略、政策和程序进行重大调整的，应当及时向银行业监督管理机构报告相关情况。</w:t>
      </w:r>
    </w:p>
    <w:p w14:paraId="7D4DB4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第五十七条 商业银行应当及时向银行业监督管理机构报告下列可能对其流动性风险水平或管理状况产生不利影响的重大事项和</w:t>
      </w:r>
      <w:proofErr w:type="gramStart"/>
      <w:r>
        <w:rPr>
          <w:rFonts w:ascii="宋体" w:eastAsia="宋体" w:hAnsi="宋体" w:cs="宋体" w:hint="eastAsia"/>
          <w:sz w:val="24"/>
        </w:rPr>
        <w:t>拟采取</w:t>
      </w:r>
      <w:proofErr w:type="gramEnd"/>
      <w:r>
        <w:rPr>
          <w:rFonts w:ascii="宋体" w:eastAsia="宋体" w:hAnsi="宋体" w:cs="宋体" w:hint="eastAsia"/>
          <w:sz w:val="24"/>
        </w:rPr>
        <w:t>的应对措施：</w:t>
      </w:r>
    </w:p>
    <w:p w14:paraId="290E4D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（一）本机构信用评级大幅下调；</w:t>
      </w:r>
    </w:p>
    <w:p w14:paraId="24C893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（二）本机构大规模出售资产以补充流动性；</w:t>
      </w:r>
    </w:p>
    <w:p w14:paraId="3DD0ED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（三）本机构重要融资渠道即将受限或失效；</w:t>
      </w:r>
    </w:p>
    <w:p w14:paraId="1324BB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（四）本机构发生挤兑事件；</w:t>
      </w:r>
    </w:p>
    <w:p w14:paraId="0334AC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（五）母公司或集团内其他机构的经营状况、流动性状况、信用评级等发生重大不利变化；</w:t>
      </w:r>
    </w:p>
    <w:p w14:paraId="16BB99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（六）市场流动性状况发生重大不利变化；</w:t>
      </w:r>
    </w:p>
    <w:p w14:paraId="35F88E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（七）跨境或跨机构的流动性转移政策出现不利于流动性风险管理的重大调整；</w:t>
      </w:r>
    </w:p>
    <w:p w14:paraId="1B899B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（八）母公司、集团经营活动所在国家或地区的政治、经济状况发生重大不利变化；</w:t>
      </w:r>
    </w:p>
    <w:p w14:paraId="092D63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（九）其他可能对其流动性风险水平或管理状况产生不利影响的重大事件。</w:t>
      </w:r>
    </w:p>
    <w:p w14:paraId="2D3BB8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如果商业银行的监管指标已经或即将降至最低监管标准以下，应当分析原因及其反映出的风险变化情况，并立即向银行业监督管理机构报告。</w:t>
      </w:r>
    </w:p>
    <w:p w14:paraId="6715E4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商业银行出现监测指标波动较大、快速或持续单向变化的，应当分析原因及其反映出的风险变化情况，并及时向银行业监督管理机构报告。</w:t>
      </w:r>
    </w:p>
    <w:p w14:paraId="4DE52A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外商独资银行、中外合资银行境内本外币资产低于境内本外币负债，集团内跨境资金净流出比例超过25%，以及外国银行分行跨境资金净流出比例超过50%的，应当在2个工作日内向银行业监督管理机构报告。</w:t>
      </w:r>
    </w:p>
    <w:p w14:paraId="6BA235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第五十八条 银行业监督管理机构应当根据对商业银行流动性风险水平及其管理状况的评估结果，确定流动性风险现场检查的内容、范围和频率。</w:t>
      </w:r>
    </w:p>
    <w:p w14:paraId="48DB86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第五十九条 商业银行应当按照规定定期披露流动性风险水平及其管理状况的相关信息，包括但不限于：</w:t>
      </w:r>
    </w:p>
    <w:p w14:paraId="28D033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（一）流动性风险管理治理结构，包括但不限于董事会及其专门委员会、高级管理层及相关部门的职责和作用；</w:t>
      </w:r>
    </w:p>
    <w:p w14:paraId="5666EA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（二）流动性风险管理策略和政策；</w:t>
      </w:r>
    </w:p>
    <w:p w14:paraId="453240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（三）识别、计量、监测、控制流动性风险的主要方法；</w:t>
      </w:r>
    </w:p>
    <w:p w14:paraId="33D2D0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（四）主要流动性风险管理指标及简要分析；</w:t>
      </w:r>
    </w:p>
    <w:p w14:paraId="3997DB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（五）影响流动性风险的主要因素；</w:t>
      </w:r>
    </w:p>
    <w:p w14:paraId="11DF2A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（六）压力测试情况。</w:t>
      </w:r>
    </w:p>
    <w:p w14:paraId="397A46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第六十条 对于未遵守流动性风险监管指标最低监管标准的商业银行，银行业监督管理机构应当要求其限期整改，并视情形按照《中华人民共和国银行业监督管理法》第三十七条、第四十六条规定采取监管措施或者实施行政处罚。本条第二款规定的情形除外。</w:t>
      </w:r>
    </w:p>
    <w:p w14:paraId="22E9CD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商业银行在压力状况下流动性覆盖率、优质流动性资产充足率低于最低监管标准时，银行业监督管理机构应当考虑当前和未来国内外经济金融状况，分析影响单家银行和金融市场整体流动性的因素，根据商业银行流动性覆盖率、优质流动性资产充足率降至最低监管标准以下的原因、严重程度、持续时间和频率等采取相应措施。</w:t>
      </w:r>
    </w:p>
    <w:p w14:paraId="7E8CDD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第六十一条 对于流动性风险管理存在缺陷的商业银行，银行业监督管理机构应当要求其限期整改。对于逾期未整改或者流动性风险管理存在严重缺陷的商业银行，银行业监督管理机构有权采取下列措施：</w:t>
      </w:r>
    </w:p>
    <w:p w14:paraId="7D11B5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（一）与商业银行董事会、高级管理层进行监督管理谈话；</w:t>
      </w:r>
    </w:p>
    <w:p w14:paraId="2B7743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（二）要求商业银行进行更严格的压力测试、提交更有效的应急计划；</w:t>
      </w:r>
    </w:p>
    <w:p w14:paraId="196FCA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（三）要求商业银行增加流动性风险管理报告的内容，提高报告频率；</w:t>
      </w:r>
    </w:p>
    <w:p w14:paraId="70B7E2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（四）增加对商业银行流动性风险现场检查的内容，扩大检查范围，并提高检查频率；</w:t>
      </w:r>
    </w:p>
    <w:p w14:paraId="598467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（五）限制商业银行开展收购或其他大规模业务扩张活动；</w:t>
      </w:r>
    </w:p>
    <w:p w14:paraId="477902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（六）要求商业银行降低流动性风险水平；</w:t>
      </w:r>
    </w:p>
    <w:p w14:paraId="085068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（七）提高商业银行流动性风险监管指标的最低监管标准；</w:t>
      </w:r>
    </w:p>
    <w:p w14:paraId="0FC0A8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（八）提高商业银行的资本充足率要求；</w:t>
      </w:r>
    </w:p>
    <w:p w14:paraId="6CFDD1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（九）《中华人民共和国银行业监督管理法》以及其他法律、行政法规和部</w:t>
      </w:r>
      <w:r>
        <w:rPr>
          <w:rFonts w:ascii="宋体" w:eastAsia="宋体" w:hAnsi="宋体" w:cs="宋体" w:hint="eastAsia"/>
          <w:sz w:val="24"/>
        </w:rPr>
        <w:lastRenderedPageBreak/>
        <w:t>门规章规定的有关措施。</w:t>
      </w:r>
    </w:p>
    <w:p w14:paraId="606E1A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对于母公司或集团内其他机构出现流动性困难的商业银行，银行业监督管理机构可以对其与母公司或集团内其他机构之间的资金往来提出限制性要求。</w:t>
      </w:r>
    </w:p>
    <w:p w14:paraId="7B0310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银行业监督管理机构可根据外商独资银行、中外合资银行、外国银行分行的流动性风险状况，对其境内资产负债比例或跨境资金净流出比例提出限制性要求。</w:t>
      </w:r>
    </w:p>
    <w:p w14:paraId="3FA1D4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第六十二条 对于未按照规定提供流动性风险报表或报告、未按照规定进行信息披露或提供虚假报表、报告的商业银行，银行业监督管理机构可以视情形按照《中华人民共和国银行业监督管理法》第四十六条、第四十七条规定实施行政处罚。</w:t>
      </w:r>
    </w:p>
    <w:p w14:paraId="3E7117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第六十三条 银行业监督管理机构应当与境内</w:t>
      </w:r>
      <w:proofErr w:type="gramStart"/>
      <w:r>
        <w:rPr>
          <w:rFonts w:ascii="宋体" w:eastAsia="宋体" w:hAnsi="宋体" w:cs="宋体" w:hint="eastAsia"/>
          <w:sz w:val="24"/>
        </w:rPr>
        <w:t>外相关</w:t>
      </w:r>
      <w:proofErr w:type="gramEnd"/>
      <w:r>
        <w:rPr>
          <w:rFonts w:ascii="宋体" w:eastAsia="宋体" w:hAnsi="宋体" w:cs="宋体" w:hint="eastAsia"/>
          <w:sz w:val="24"/>
        </w:rPr>
        <w:t>部门加强协调合作，共同建立信息沟通机制和流动性风险应急处置联动机制，并制定商业银行流动性风险监管应急预案。</w:t>
      </w:r>
    </w:p>
    <w:p w14:paraId="13B0BF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发生影响单家机构或市场的重大流动性事件时，银行业监督管理机构应当与境内</w:t>
      </w:r>
      <w:proofErr w:type="gramStart"/>
      <w:r>
        <w:rPr>
          <w:rFonts w:ascii="宋体" w:eastAsia="宋体" w:hAnsi="宋体" w:cs="宋体" w:hint="eastAsia"/>
          <w:sz w:val="24"/>
        </w:rPr>
        <w:t>外相关</w:t>
      </w:r>
      <w:proofErr w:type="gramEnd"/>
      <w:r>
        <w:rPr>
          <w:rFonts w:ascii="宋体" w:eastAsia="宋体" w:hAnsi="宋体" w:cs="宋体" w:hint="eastAsia"/>
          <w:sz w:val="24"/>
        </w:rPr>
        <w:t>部门加强协调合作，适时启动流动性风险监管应急预案，降低相关事件对金融体系及宏观经济的负面冲击。</w:t>
      </w:r>
    </w:p>
    <w:p w14:paraId="7EABFB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附则</w:t>
      </w:r>
    </w:p>
    <w:p w14:paraId="26E8E8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第六十四条 国家开发银行及政策性银行、农村合作银行、村镇银行、农村信用社和外国银行分行参照本办法执行。</w:t>
      </w:r>
    </w:p>
    <w:p w14:paraId="5024CE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第六十五条 本办法所称流动性转移限制是指由于法律、监管、税收、外汇管制以及货币不可自由兑换等原因，导致资金或融资抵（质）押品在跨境或跨机构转移时受到限制。</w:t>
      </w:r>
    </w:p>
    <w:p w14:paraId="2F15E0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第六十六条 本办法所称无变现障碍资产是指未在任何交易中用作抵（质）押品、信用增级或者被指定用于支付运营费用，在清算、出售、转移、转让时不存在法律、监管、合同或操作障碍的资产。</w:t>
      </w:r>
    </w:p>
    <w:p w14:paraId="7547F0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第六十七条 本办法所称重要币种是指以该货币计价的负债占商业银行负债总额5%以上的货币。</w:t>
      </w:r>
    </w:p>
    <w:p w14:paraId="63E074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第六十八条 本办法中“以上”包含本数。</w:t>
      </w:r>
    </w:p>
    <w:p w14:paraId="34EB9E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第六十九条 商业银行的流动性覆盖率应当在2018年底前达到100%。在过渡期内，应当不低于90%。鼓励有条件的商业银行提前达标；对于流动性覆盖率已达到100%的银行，鼓励其流动性覆盖率继续保持在100%之上。</w:t>
      </w:r>
    </w:p>
    <w:p w14:paraId="4E3509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第七十条 商业银行应当自2020年1月1日起执行流动性匹配率监管要求。2020年前，流动性匹配率为监测指标。</w:t>
      </w:r>
    </w:p>
    <w:p w14:paraId="63AD17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第七十一条 商业银行的优质流动性资产充足</w:t>
      </w:r>
      <w:proofErr w:type="gramStart"/>
      <w:r>
        <w:rPr>
          <w:rFonts w:ascii="宋体" w:eastAsia="宋体" w:hAnsi="宋体" w:cs="宋体" w:hint="eastAsia"/>
          <w:sz w:val="24"/>
        </w:rPr>
        <w:t>率应当</w:t>
      </w:r>
      <w:proofErr w:type="gramEnd"/>
      <w:r>
        <w:rPr>
          <w:rFonts w:ascii="宋体" w:eastAsia="宋体" w:hAnsi="宋体" w:cs="宋体" w:hint="eastAsia"/>
          <w:sz w:val="24"/>
        </w:rPr>
        <w:t>在2019年6月底前达到100%。在过渡期内，应当在2018年底前达到80%。</w:t>
      </w:r>
    </w:p>
    <w:p w14:paraId="0260E1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第七十二条 对于资产规模首次达到2000亿元人民币的商业银行，在首次达到的当月仍可适用原监管指标；自次月起，无论资产规模是否继续保持在2000亿元人民币以上，均应当适用针对资产规模不小于2000亿元的商业银行的监管指标。</w:t>
      </w:r>
    </w:p>
    <w:p w14:paraId="59C2D4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第七十三条 经银行业监督管理机构批准，资产规模小于2000亿元人民币的商业银行可适用流动性覆盖率和</w:t>
      </w:r>
      <w:proofErr w:type="gramStart"/>
      <w:r>
        <w:rPr>
          <w:rFonts w:ascii="宋体" w:eastAsia="宋体" w:hAnsi="宋体" w:cs="宋体" w:hint="eastAsia"/>
          <w:sz w:val="24"/>
        </w:rPr>
        <w:t>净稳定</w:t>
      </w:r>
      <w:proofErr w:type="gramEnd"/>
      <w:r>
        <w:rPr>
          <w:rFonts w:ascii="宋体" w:eastAsia="宋体" w:hAnsi="宋体" w:cs="宋体" w:hint="eastAsia"/>
          <w:sz w:val="24"/>
        </w:rPr>
        <w:t>资金比例监管要求，不再适用优质流动性资产充足率监管要求。</w:t>
      </w:r>
    </w:p>
    <w:p w14:paraId="225C55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商业银行提交的申请调整适用监管指标的报告中，应当至少包括：管理信息系统对流动性覆盖率、</w:t>
      </w:r>
      <w:proofErr w:type="gramStart"/>
      <w:r>
        <w:rPr>
          <w:rFonts w:ascii="宋体" w:eastAsia="宋体" w:hAnsi="宋体" w:cs="宋体" w:hint="eastAsia"/>
          <w:sz w:val="24"/>
        </w:rPr>
        <w:t>净稳定</w:t>
      </w:r>
      <w:proofErr w:type="gramEnd"/>
      <w:r>
        <w:rPr>
          <w:rFonts w:ascii="宋体" w:eastAsia="宋体" w:hAnsi="宋体" w:cs="宋体" w:hint="eastAsia"/>
          <w:sz w:val="24"/>
        </w:rPr>
        <w:t>资金比例指标计算、监测、分析、报告的支持情况，流动性覆盖率中稳定存款、业务关系存款的识别方法及数据情况，流动性覆盖率与优质流动性资产充足率的指标差异及原因分析，以及优质流动性资产管理情况等。</w:t>
      </w:r>
    </w:p>
    <w:p w14:paraId="4B559D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商业银行调整适用监管指标后，非特殊原因，不得申请恢复原监管指标。</w:t>
      </w:r>
    </w:p>
    <w:p w14:paraId="2E74F3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第七十四条 本办法由国务院银行业监督管理机构负责解释。</w:t>
      </w:r>
    </w:p>
    <w:p w14:paraId="57BE864A"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第七十五条 本办法自2018年7月1日起施行。《商业银行流动性风险管理办法（试行）》（中国银监会令2015年第9号）同时废止。本办法实施前发布的有关规章及规范性文件如与本办法不一致的，按照本办法执行。</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4332B1C1"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29.《中国银保监会现场检查办法（试行）》</w:t>
      </w:r>
      <w:r>
        <w:rPr>
          <w:rFonts w:ascii="宋体" w:eastAsia="宋体" w:hAnsi="宋体" w:cs="宋体" w:hint="eastAsia"/>
          <w:b/>
          <w:bCs/>
          <w:sz w:val="24"/>
        </w:rPr>
        <w:tab/>
      </w:r>
    </w:p>
    <w:p w14:paraId="0ADA10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发文机构：中国银行保险监督管理委员会(已撤销)</w:t>
      </w:r>
      <w:r>
        <w:rPr>
          <w:rFonts w:ascii="宋体" w:eastAsia="宋体" w:hAnsi="宋体" w:cs="宋体" w:hint="eastAsia"/>
          <w:sz w:val="24"/>
        </w:rPr>
        <w:tab/>
      </w:r>
    </w:p>
    <w:p w14:paraId="6AA5D1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文号：中国银行保险监督管理委员会令2019年第7号</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765D70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79BA02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全面贯彻落实党中央、国务院对金融工作的决策部署，加强对银行业和保险业的监督管理，规范现场检查行为，提升现场检查质效，促进行业健康发展，根据《中华人民共和国银行业监督管理法》《中华人民共和国保险法》《中华人民共和国商业银行法》等有关法律法规，制定本办法。</w:t>
      </w:r>
    </w:p>
    <w:p w14:paraId="6FFD24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本办法所称现场检查，是指中国银行保险监督管理委员会（以下简称“银保监会”）及其派出机构依法对银行业和保险业机构经营管理情况进行监督检查的行政执法行为。</w:t>
      </w:r>
    </w:p>
    <w:p w14:paraId="5D715F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现场检查是银保监会及其派出机构监督管理的重要组成部分，通过发挥查错纠弊、校验核实、评价指导、警示威慑等作用，督促银行业和保险业机构贯彻落实国家宏观政策及监管政策，提高经营管理水平、合法稳健经营，落实银行业和保险业机构风险防控的主体责任，维护银行业和保险业安全，更好服务实体经济发展。</w:t>
      </w:r>
    </w:p>
    <w:p w14:paraId="616925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银保监会及其派出机构开展现场检查应当依照法律、行政法规、规章和规范性文件确定的职责、权限和程序进行。</w:t>
      </w:r>
    </w:p>
    <w:p w14:paraId="19DF49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银保监会及其派出机构和实施现场检查的人员（以下简称检查人员）应当依法检查，文明执法，严格落实中央八项规定精神，遵守保密和廉政纪律。银保监会及其派出机构应当加强现场检查纪律和廉政制度建设，加强对检查人员廉洁履职情况的监督。</w:t>
      </w:r>
    </w:p>
    <w:p w14:paraId="260F1F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银保监会及其派出机构依法开展现场检查，被查机构及其工作人员应当配合，保证提供的有关文件资料及相关情况真实、准确、完整、及时。对于被查机构及其工作人员存在不配合检查、</w:t>
      </w:r>
      <w:proofErr w:type="gramStart"/>
      <w:r>
        <w:rPr>
          <w:rFonts w:ascii="宋体" w:eastAsia="宋体" w:hAnsi="宋体" w:cs="宋体" w:hint="eastAsia"/>
          <w:sz w:val="24"/>
        </w:rPr>
        <w:t>不</w:t>
      </w:r>
      <w:proofErr w:type="gramEnd"/>
      <w:r>
        <w:rPr>
          <w:rFonts w:ascii="宋体" w:eastAsia="宋体" w:hAnsi="宋体" w:cs="宋体" w:hint="eastAsia"/>
          <w:sz w:val="24"/>
        </w:rPr>
        <w:t>如实反映情况或拒绝、阻碍检查等行为的，银保监会及其派出机构可以根据情节轻重，对相关机构和个人依法采取监</w:t>
      </w:r>
      <w:r>
        <w:rPr>
          <w:rFonts w:ascii="宋体" w:eastAsia="宋体" w:hAnsi="宋体" w:cs="宋体" w:hint="eastAsia"/>
          <w:sz w:val="24"/>
        </w:rPr>
        <w:lastRenderedPageBreak/>
        <w:t>管措施和行政处罚。</w:t>
      </w:r>
    </w:p>
    <w:p w14:paraId="2D2DB9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检查期间，被查机构应当为现场检查工作提供必要的办公条件和工作保障。</w:t>
      </w:r>
    </w:p>
    <w:p w14:paraId="4E3BF8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被查机构及其工作人员未经银保监会及其派出机构同意，不得将检查情况和相关信息向外透露。</w:t>
      </w:r>
    </w:p>
    <w:p w14:paraId="6DA9F9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本办法所指现场检查包括常规检查、临时检查和稽核调查等。</w:t>
      </w:r>
    </w:p>
    <w:p w14:paraId="2CCB02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常规检查是纳入年度现场检查计划的检查。按检查范围可以分为风险管理及内控有效性等综合性检查，对某些业务领域或区域进行的专项检查，对被查机构以往现场检查中发现的重大问题整改落实情况进行的后续检查。</w:t>
      </w:r>
    </w:p>
    <w:p w14:paraId="032FDA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临时检查是在年度现场检查计划之外，根据重大工作部署或临时工作任务开展的检查。</w:t>
      </w:r>
    </w:p>
    <w:p w14:paraId="5DE743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稽核调查是适用简化现场检查流程对特定事项进行专门调查的活动。</w:t>
      </w:r>
    </w:p>
    <w:p w14:paraId="0C1EF4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银保监会及其派出机构应当建立和完善现场检查管理信息系统，实现检查资源共享，提高现场检查效率。</w:t>
      </w:r>
    </w:p>
    <w:p w14:paraId="1A90AB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银保监会及其派出机构应当严格按照法律法规规定的程序编制现场检查项目经费预算，强化预算管理，合</w:t>
      </w:r>
      <w:proofErr w:type="gramStart"/>
      <w:r>
        <w:rPr>
          <w:rFonts w:ascii="宋体" w:eastAsia="宋体" w:hAnsi="宋体" w:cs="宋体" w:hint="eastAsia"/>
          <w:sz w:val="24"/>
        </w:rPr>
        <w:t>规</w:t>
      </w:r>
      <w:proofErr w:type="gramEnd"/>
      <w:r>
        <w:rPr>
          <w:rFonts w:ascii="宋体" w:eastAsia="宋体" w:hAnsi="宋体" w:cs="宋体" w:hint="eastAsia"/>
          <w:sz w:val="24"/>
        </w:rPr>
        <w:t>使用检查费用。</w:t>
      </w:r>
    </w:p>
    <w:p w14:paraId="3B0CB4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银保监会及其派出机构应当配备与检查任务相适应的检查力量，加强现场检查专业人才培养，建立完善随机检查人员名录库，细化人才的专业领域，提升现场检查水平，将现场检查作为培养银行业和保险业监管队伍和提高监管能力的重要途径。</w:t>
      </w:r>
    </w:p>
    <w:p w14:paraId="71629A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银保监会各部门、各派出机构在现场检查工作中应当加强沟通协调，建立有效的现场检查联动机制。</w:t>
      </w:r>
    </w:p>
    <w:p w14:paraId="6EDD52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职责分工</w:t>
      </w:r>
    </w:p>
    <w:p w14:paraId="3BA591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根据监管职责划分，银保监会及其派出机构现场检查工作实行分级立项、分级实施，按照“谁立项、谁组织、谁负责”的工作机制，开展现场检查。</w:t>
      </w:r>
    </w:p>
    <w:p w14:paraId="59DA84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第十三条 银保监会负责统筹全系统现场检查工作，根据监管职责划分，组织对相关银行业和保险业机构的现场检查，组织全系统重大专项检查、临时检查和稽核调查，对派出机构的现场检查进行统筹指导和考核评价。</w:t>
      </w:r>
    </w:p>
    <w:p w14:paraId="2F220C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各派出机构负责统筹辖内现场检查工作，根据监管职责划分，组织对辖内银行业和保险业机构的现场检查，完成上级部门部署的现场检查任务，对下级部门的现场检查工作进行指导、考核和评价。</w:t>
      </w:r>
    </w:p>
    <w:p w14:paraId="48421C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根据需要，银保监会可以对银保监局监管的机构、银保监局可以对辖内银保</w:t>
      </w:r>
      <w:proofErr w:type="gramStart"/>
      <w:r>
        <w:rPr>
          <w:rFonts w:ascii="宋体" w:eastAsia="宋体" w:hAnsi="宋体" w:cs="宋体" w:hint="eastAsia"/>
          <w:sz w:val="24"/>
        </w:rPr>
        <w:t>监分局</w:t>
      </w:r>
      <w:proofErr w:type="gramEnd"/>
      <w:r>
        <w:rPr>
          <w:rFonts w:ascii="宋体" w:eastAsia="宋体" w:hAnsi="宋体" w:cs="宋体" w:hint="eastAsia"/>
          <w:sz w:val="24"/>
        </w:rPr>
        <w:t>监管的机构直接开展现场检查。</w:t>
      </w:r>
    </w:p>
    <w:p w14:paraId="2B5552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银保监会及其派出机构现场检查部门负责现场检查的归口管理。</w:t>
      </w:r>
    </w:p>
    <w:p w14:paraId="034262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保监会及其派出机构承担现场检查任务的部门负责现场检查的立项和组织实施，提出整改、采取监管措施和行政处罚的建议，通过约谈、后续检查和稽核调查等方式对被查机构整改情况进行评价，并就现场检查情况及时与相关部门进行沟通。</w:t>
      </w:r>
    </w:p>
    <w:p w14:paraId="24D934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银保监会及其派出机构的其他机构监管和功能监管等部门积极配合开展现场检查工作，负责提出现场检查立项建议，加强信息共享，提供现场检查所需的数据、资料和相关信息。</w:t>
      </w:r>
    </w:p>
    <w:p w14:paraId="3BBDF5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银保监会及其派出机构应当加强与政府相关部门的工作联动，沟通检查情况，依法共享检查信息，积极探索利用征信信息、工商登记信息、纳税信息等外部数据辅助现场检查工作。配合建立跨</w:t>
      </w:r>
      <w:proofErr w:type="gramStart"/>
      <w:r>
        <w:rPr>
          <w:rFonts w:ascii="宋体" w:eastAsia="宋体" w:hAnsi="宋体" w:cs="宋体" w:hint="eastAsia"/>
          <w:sz w:val="24"/>
        </w:rPr>
        <w:t>部门双</w:t>
      </w:r>
      <w:proofErr w:type="gramEnd"/>
      <w:r>
        <w:rPr>
          <w:rFonts w:ascii="宋体" w:eastAsia="宋体" w:hAnsi="宋体" w:cs="宋体" w:hint="eastAsia"/>
          <w:sz w:val="24"/>
        </w:rPr>
        <w:t>随机联合抽查工作机制，必要时可以联合其他部门开展对银行业和保险业机构相关业务领域的现场检查。</w:t>
      </w:r>
    </w:p>
    <w:p w14:paraId="017752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银保监会及其派出机构应当根据监管备忘录等合作协议规定和对等原则，开展对中资银行业和保险业机构境外机构及业务的检查，并加强与境外监管机构的沟通协作，配合境外监管机构做好外资银行业和保险业机构境内机构及业务的检查。</w:t>
      </w:r>
    </w:p>
    <w:p w14:paraId="59A7AA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立项管理</w:t>
      </w:r>
    </w:p>
    <w:p w14:paraId="10475C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根据监管职责划分，银保监会及其派出机构实行分级立项。银保</w:t>
      </w:r>
      <w:r>
        <w:rPr>
          <w:rFonts w:ascii="宋体" w:eastAsia="宋体" w:hAnsi="宋体" w:cs="宋体" w:hint="eastAsia"/>
          <w:sz w:val="24"/>
        </w:rPr>
        <w:lastRenderedPageBreak/>
        <w:t>监会及其派出机构应当加强现场检查立项管理，根据银行业和保险业机构的依法合</w:t>
      </w:r>
      <w:proofErr w:type="gramStart"/>
      <w:r>
        <w:rPr>
          <w:rFonts w:ascii="宋体" w:eastAsia="宋体" w:hAnsi="宋体" w:cs="宋体" w:hint="eastAsia"/>
          <w:sz w:val="24"/>
        </w:rPr>
        <w:t>规</w:t>
      </w:r>
      <w:proofErr w:type="gramEnd"/>
      <w:r>
        <w:rPr>
          <w:rFonts w:ascii="宋体" w:eastAsia="宋体" w:hAnsi="宋体" w:cs="宋体" w:hint="eastAsia"/>
          <w:sz w:val="24"/>
        </w:rPr>
        <w:t>情况、评级情况、系统重要性程度、风险状况和以往检查情况等，结合随机检查对象名录库及随机抽查事项清单，确定现场检查的频率、范围，确保检查项目科学、合理、可行。未经立项审批程序，不得开展现场检查。</w:t>
      </w:r>
    </w:p>
    <w:p w14:paraId="1CAF19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银保监会现场检查部门应当在征求机构监管、功能监管等部门</w:t>
      </w:r>
      <w:proofErr w:type="gramStart"/>
      <w:r>
        <w:rPr>
          <w:rFonts w:ascii="宋体" w:eastAsia="宋体" w:hAnsi="宋体" w:cs="宋体" w:hint="eastAsia"/>
          <w:sz w:val="24"/>
        </w:rPr>
        <w:t>以及各银保</w:t>
      </w:r>
      <w:proofErr w:type="gramEnd"/>
      <w:r>
        <w:rPr>
          <w:rFonts w:ascii="宋体" w:eastAsia="宋体" w:hAnsi="宋体" w:cs="宋体" w:hint="eastAsia"/>
          <w:sz w:val="24"/>
        </w:rPr>
        <w:t>监局意见基础上，结合检查资源情况，制定年度现场检查计划，报委</w:t>
      </w:r>
      <w:proofErr w:type="gramStart"/>
      <w:r>
        <w:rPr>
          <w:rFonts w:ascii="宋体" w:eastAsia="宋体" w:hAnsi="宋体" w:cs="宋体" w:hint="eastAsia"/>
          <w:sz w:val="24"/>
        </w:rPr>
        <w:t>务</w:t>
      </w:r>
      <w:proofErr w:type="gramEnd"/>
      <w:r>
        <w:rPr>
          <w:rFonts w:ascii="宋体" w:eastAsia="宋体" w:hAnsi="宋体" w:cs="宋体" w:hint="eastAsia"/>
          <w:sz w:val="24"/>
        </w:rPr>
        <w:t>会议或专题主席会议审议决定，由银保监会主要负责人签发。</w:t>
      </w:r>
      <w:proofErr w:type="gramStart"/>
      <w:r>
        <w:rPr>
          <w:rFonts w:ascii="宋体" w:eastAsia="宋体" w:hAnsi="宋体" w:cs="宋体" w:hint="eastAsia"/>
          <w:sz w:val="24"/>
        </w:rPr>
        <w:t>各银保</w:t>
      </w:r>
      <w:proofErr w:type="gramEnd"/>
      <w:r>
        <w:rPr>
          <w:rFonts w:ascii="宋体" w:eastAsia="宋体" w:hAnsi="宋体" w:cs="宋体" w:hint="eastAsia"/>
          <w:sz w:val="24"/>
        </w:rPr>
        <w:t>监局制定辖内的年度现场检查计划，按相关规定向银保监会报告。</w:t>
      </w:r>
    </w:p>
    <w:p w14:paraId="045EFE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银保监会按年度制定现场检查计划，现场检查计划一经确定原则上不作更改。列入年度计划的个别项目确需调整的，应当说明调整意见及理由，每年中期集中调整一次。调整时，对于银保监会负责的项目，</w:t>
      </w:r>
      <w:proofErr w:type="gramStart"/>
      <w:r>
        <w:rPr>
          <w:rFonts w:ascii="宋体" w:eastAsia="宋体" w:hAnsi="宋体" w:cs="宋体" w:hint="eastAsia"/>
          <w:sz w:val="24"/>
        </w:rPr>
        <w:t>应当经银保</w:t>
      </w:r>
      <w:proofErr w:type="gramEnd"/>
      <w:r>
        <w:rPr>
          <w:rFonts w:ascii="宋体" w:eastAsia="宋体" w:hAnsi="宋体" w:cs="宋体" w:hint="eastAsia"/>
          <w:sz w:val="24"/>
        </w:rPr>
        <w:t>监会负责人审批；对于派出机构负责的项目，</w:t>
      </w:r>
      <w:proofErr w:type="gramStart"/>
      <w:r>
        <w:rPr>
          <w:rFonts w:ascii="宋体" w:eastAsia="宋体" w:hAnsi="宋体" w:cs="宋体" w:hint="eastAsia"/>
          <w:sz w:val="24"/>
        </w:rPr>
        <w:t>应当经银保</w:t>
      </w:r>
      <w:proofErr w:type="gramEnd"/>
      <w:r>
        <w:rPr>
          <w:rFonts w:ascii="宋体" w:eastAsia="宋体" w:hAnsi="宋体" w:cs="宋体" w:hint="eastAsia"/>
          <w:sz w:val="24"/>
        </w:rPr>
        <w:t>监局负责人审批同意后，按要求向银保监会报告。</w:t>
      </w:r>
    </w:p>
    <w:p w14:paraId="4B4AC5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第二十二条 </w:t>
      </w:r>
      <w:proofErr w:type="gramStart"/>
      <w:r>
        <w:rPr>
          <w:rFonts w:ascii="宋体" w:eastAsia="宋体" w:hAnsi="宋体" w:cs="宋体" w:hint="eastAsia"/>
          <w:sz w:val="24"/>
        </w:rPr>
        <w:t>经银保</w:t>
      </w:r>
      <w:proofErr w:type="gramEnd"/>
      <w:r>
        <w:rPr>
          <w:rFonts w:ascii="宋体" w:eastAsia="宋体" w:hAnsi="宋体" w:cs="宋体" w:hint="eastAsia"/>
          <w:sz w:val="24"/>
        </w:rPr>
        <w:t>监会或银保监局主要负责人批准，银保监会或银保监局可以立项开展临时检查。</w:t>
      </w:r>
      <w:proofErr w:type="gramStart"/>
      <w:r>
        <w:rPr>
          <w:rFonts w:ascii="宋体" w:eastAsia="宋体" w:hAnsi="宋体" w:cs="宋体" w:hint="eastAsia"/>
          <w:sz w:val="24"/>
        </w:rPr>
        <w:t>各银保</w:t>
      </w:r>
      <w:proofErr w:type="gramEnd"/>
      <w:r>
        <w:rPr>
          <w:rFonts w:ascii="宋体" w:eastAsia="宋体" w:hAnsi="宋体" w:cs="宋体" w:hint="eastAsia"/>
          <w:sz w:val="24"/>
        </w:rPr>
        <w:t>监局应当在临时立项后10个工作日内，将立项情况向银保监会报告。银保监会相关部门针对重大风险隐患或重大突发事件</w:t>
      </w:r>
      <w:proofErr w:type="gramStart"/>
      <w:r>
        <w:rPr>
          <w:rFonts w:ascii="宋体" w:eastAsia="宋体" w:hAnsi="宋体" w:cs="宋体" w:hint="eastAsia"/>
          <w:sz w:val="24"/>
        </w:rPr>
        <w:t>拟按照</w:t>
      </w:r>
      <w:proofErr w:type="gramEnd"/>
      <w:r>
        <w:rPr>
          <w:rFonts w:ascii="宋体" w:eastAsia="宋体" w:hAnsi="宋体" w:cs="宋体" w:hint="eastAsia"/>
          <w:sz w:val="24"/>
        </w:rPr>
        <w:t>现场检查流程开展的检查，原则上应当按照职责分工和分级立项要求，会签相应的现场检查部门。</w:t>
      </w:r>
    </w:p>
    <w:p w14:paraId="0E7E9A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稽核调查可以纳入年度现场检查计划，也可以适用临时检查立项程序。</w:t>
      </w:r>
    </w:p>
    <w:p w14:paraId="29F117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检查流程</w:t>
      </w:r>
    </w:p>
    <w:p w14:paraId="211A43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现场检查工作分为检查准备、检查实施、检查报告、检查处理和检查档案整理五个阶段。</w:t>
      </w:r>
    </w:p>
    <w:p w14:paraId="07AA89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银保监会及其派出机构组织实施现场检查可以采取以下方式：</w:t>
      </w:r>
    </w:p>
    <w:p w14:paraId="3477EA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（一）由立项单位组织实施；</w:t>
      </w:r>
    </w:p>
    <w:p w14:paraId="777B97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（二）由上级部门部署下级部门实施；</w:t>
      </w:r>
    </w:p>
    <w:p w14:paraId="5B6766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（三）对专业性强的领域，可以要求银行业和保险业机构选聘符合条件的第三方机构进行检查，并将检查结果报告监管部门；</w:t>
      </w:r>
    </w:p>
    <w:p w14:paraId="28C859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（四）必要时可以按照相关程序，聘请资信良好、符合条件的会计师事务所等第三方机构参与检查工作，具体办法由银保监会另行制定；</w:t>
      </w:r>
    </w:p>
    <w:p w14:paraId="290F9C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（五）采用符合法律法规及规章规定的其他方式实施。</w:t>
      </w:r>
    </w:p>
    <w:p w14:paraId="56EB3B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银保监会及其派出机构依法组织实施现场检查时，检查人员不得少于二人，并应当出示执法证或工作证等合法证件和检查通知书。检查人员少于二人或未出示合法证件和检查通知书的，被检查单位和个人有权拒绝检查。</w:t>
      </w:r>
    </w:p>
    <w:p w14:paraId="19551E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存在影响或者可能影响依法公正履行职责情况的，现场检查人员应当按照履职回避的相关规定予以回避，并且不得参加相关事项的讨论、审核和决定，不得以任何方式对相关事项施加影响。被查机构认为检查人员与其存在利害关系的，有权申请检查人员回避。</w:t>
      </w:r>
    </w:p>
    <w:p w14:paraId="718949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银保监会及其派出机构应当在实施现场检查前组成检查组，根据检查任务，结合检查人员业务专长，合理配备检查人员。检查组实行组长负责制。检查组组长在检查组成员中确定主查人，负责现场检查工作的具体组织和实施。</w:t>
      </w:r>
    </w:p>
    <w:p w14:paraId="3AC42C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检查组根据检查项目需要，开展查前调查，收集被查机构检查领域的有关信息，主要包括被查机构内外部审计报告及其对内外部检查和审计的整改和处罚情况，被查机构的业务开展情况、经营管理状况，监管部门掌握的被查机构的情况等，并进行检查分析和模型分析，制定检查方案，做好查前培训。</w:t>
      </w:r>
    </w:p>
    <w:p w14:paraId="12D9B3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检查组应当提前或进场时向被查机构发出书面检查通知，组织召开进点会谈，并向被查机构提出配合检查工作的要求。同时由检查组组长或负责人宣布现场检查工作纪律和有关规定，告知被查机构对检查人员履行监管职责和执行工作纪律、廉政纪律情况进行监督。</w:t>
      </w:r>
    </w:p>
    <w:p w14:paraId="44D86B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检查人员应当按要求做好工作记录、检查取证、事实确认和问题定性。</w:t>
      </w:r>
    </w:p>
    <w:p w14:paraId="3D9F31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第三十二条 检查过程中，应当加强质量控制，做到检查事实清楚、问题定性准确、责任认定明晰、定性依据充分、取证合法合</w:t>
      </w:r>
      <w:proofErr w:type="gramStart"/>
      <w:r>
        <w:rPr>
          <w:rFonts w:ascii="宋体" w:eastAsia="宋体" w:hAnsi="宋体" w:cs="宋体" w:hint="eastAsia"/>
          <w:sz w:val="24"/>
        </w:rPr>
        <w:t>规</w:t>
      </w:r>
      <w:proofErr w:type="gramEnd"/>
      <w:r>
        <w:rPr>
          <w:rFonts w:ascii="宋体" w:eastAsia="宋体" w:hAnsi="宋体" w:cs="宋体" w:hint="eastAsia"/>
          <w:sz w:val="24"/>
        </w:rPr>
        <w:t>。</w:t>
      </w:r>
    </w:p>
    <w:p w14:paraId="1F3EF9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检查组通过事实确认书、检查事实与评价等方式，就检查过程中发现的问题与被查机构充分交换意见，被查机构应当及时认真反馈意见。承担现场检查任务的部门应当与相关部门加强对检查情况的沟通。</w:t>
      </w:r>
    </w:p>
    <w:p w14:paraId="4E01F5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检查结束后，检查组应当制作现场检查工作报告，并向被查机构出具现场检查意见书。必要时，可以将检查意见告知被查机构的上级管理部门或被查机构的董事会、监事会、高级管理层或主要股东等。</w:t>
      </w:r>
    </w:p>
    <w:p w14:paraId="3C4477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检查人员应当按照相关规定认真收集、整理检查资料，将记录检查过程、反映检查结果、证实检查结论的各类文件、数据、资料等纳入检查档案范围。</w:t>
      </w:r>
    </w:p>
    <w:p w14:paraId="29B264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稽核调查参照一般现场检查程序，根据工作要求和实际情况，可以简化流程，可以不与调查对象交换意见，可以</w:t>
      </w:r>
      <w:proofErr w:type="gramStart"/>
      <w:r>
        <w:rPr>
          <w:rFonts w:ascii="宋体" w:eastAsia="宋体" w:hAnsi="宋体" w:cs="宋体" w:hint="eastAsia"/>
          <w:sz w:val="24"/>
        </w:rPr>
        <w:t>不</w:t>
      </w:r>
      <w:proofErr w:type="gramEnd"/>
      <w:r>
        <w:rPr>
          <w:rFonts w:ascii="宋体" w:eastAsia="宋体" w:hAnsi="宋体" w:cs="宋体" w:hint="eastAsia"/>
          <w:sz w:val="24"/>
        </w:rPr>
        <w:t>出具检查意见书，以调查报告作为稽核调查的成果。调查过程中如发现涉及需要采取监管措施或行政处罚的事项，应当按照相关要求收集证据，依程序进行处理。</w:t>
      </w:r>
    </w:p>
    <w:p w14:paraId="3BB531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对于有特殊需要的现场检查项目，经检查组组长确定，可以适当简化检查程序，包括但不限于不进行查前培训、不组织进</w:t>
      </w:r>
      <w:proofErr w:type="gramStart"/>
      <w:r>
        <w:rPr>
          <w:rFonts w:ascii="宋体" w:eastAsia="宋体" w:hAnsi="宋体" w:cs="宋体" w:hint="eastAsia"/>
          <w:sz w:val="24"/>
        </w:rPr>
        <w:t>点会谈</w:t>
      </w:r>
      <w:proofErr w:type="gramEnd"/>
      <w:r>
        <w:rPr>
          <w:rFonts w:ascii="宋体" w:eastAsia="宋体" w:hAnsi="宋体" w:cs="宋体" w:hint="eastAsia"/>
          <w:sz w:val="24"/>
        </w:rPr>
        <w:t>等。</w:t>
      </w:r>
    </w:p>
    <w:p w14:paraId="312A49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检查方式</w:t>
      </w:r>
    </w:p>
    <w:p w14:paraId="3E4ED7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检查过程中，检查人员有权查阅与检查事项有关的文件资料和信息系统、查看经营管理场所、采集数据信息、测试有关系统设备设施、访谈或询问相关人员，并可以根据需要，收集原件、原物，进行复制、记录、录音、录像、照相等。对可能被转移、隐匿或者毁损的文件、资料，可以按照有关法律法规进行封存。</w:t>
      </w:r>
    </w:p>
    <w:p w14:paraId="71B89B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根据工作需要，可以采取线上检查、函询稽核等新型检查方法。线上检查是运用信息技术和网络技术分析筛查疑点业务和机构并实施的穿透式检查。函询稽核是对重大风险或问题通过下发质询函等方式检查核实的活动。</w:t>
      </w:r>
    </w:p>
    <w:p w14:paraId="5227C0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第三十九条 银保监会及其派出机构应当持续完善检查分析系统，充分运用信息技术手段，开展检查分析，实施现场检查，提高现场检查质效。银行业和保险业机构应当按照银保监会及其派出机构要求，加强数据治理，按照监管数据标准要求，完成检查分析系统所需数据整理、报送等工作，保证相关数据的全面、真实、准确、规范和及时。银保监会及其派出机构应当加强对银行业和保险业机构信息科技外包服务等工作的监督检查。</w:t>
      </w:r>
    </w:p>
    <w:p w14:paraId="5A1C9C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检查人员可以就检查事项约谈银行业和保险业机构外聘审计机构人员，了解审计情况。银行业和保险业机构外聘审计机构时，应当在相关合同或协议中明确外聘审计人员有配合银保监会及其派出机构检查的责任。对外聘审计机构审计结果严重失实、存在严重舞弊行为等问题的，银保监会及其派出机构可以要求被查机构立即</w:t>
      </w:r>
      <w:proofErr w:type="gramStart"/>
      <w:r>
        <w:rPr>
          <w:rFonts w:ascii="宋体" w:eastAsia="宋体" w:hAnsi="宋体" w:cs="宋体" w:hint="eastAsia"/>
          <w:sz w:val="24"/>
        </w:rPr>
        <w:t>评估该外审</w:t>
      </w:r>
      <w:proofErr w:type="gramEnd"/>
      <w:r>
        <w:rPr>
          <w:rFonts w:ascii="宋体" w:eastAsia="宋体" w:hAnsi="宋体" w:cs="宋体" w:hint="eastAsia"/>
          <w:sz w:val="24"/>
        </w:rPr>
        <w:t>机构的适当性。</w:t>
      </w:r>
    </w:p>
    <w:p w14:paraId="16B218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必要时，银保监会及其派出机构可以要求银行业和保险业机构内审部门对特定项目进行检查。内审部门应当按照监管要求实施检查、形成报告报送监管部门。银保监会及其派出机构应当加强检查指导，对检查实行质量控制和评价。</w:t>
      </w:r>
    </w:p>
    <w:p w14:paraId="496091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检查过程中，为查清事实，检查组需向除被查机构以外的其他银行业和保险业机构了解情况的，可以要求相关机构予以配合。</w:t>
      </w:r>
      <w:proofErr w:type="gramStart"/>
      <w:r>
        <w:rPr>
          <w:rFonts w:ascii="宋体" w:eastAsia="宋体" w:hAnsi="宋体" w:cs="宋体" w:hint="eastAsia"/>
          <w:sz w:val="24"/>
        </w:rPr>
        <w:t>经银保</w:t>
      </w:r>
      <w:proofErr w:type="gramEnd"/>
      <w:r>
        <w:rPr>
          <w:rFonts w:ascii="宋体" w:eastAsia="宋体" w:hAnsi="宋体" w:cs="宋体" w:hint="eastAsia"/>
          <w:sz w:val="24"/>
        </w:rPr>
        <w:t>监会承担现场检查任务部门的负责人批准，检查人员可以向相关银行业和保险业机构了解情况，也可以委托相关机构所在地银保监局或检查组予以协助。</w:t>
      </w:r>
      <w:proofErr w:type="gramStart"/>
      <w:r>
        <w:rPr>
          <w:rFonts w:ascii="宋体" w:eastAsia="宋体" w:hAnsi="宋体" w:cs="宋体" w:hint="eastAsia"/>
          <w:sz w:val="24"/>
        </w:rPr>
        <w:t>涉及跨银保</w:t>
      </w:r>
      <w:proofErr w:type="gramEnd"/>
      <w:r>
        <w:rPr>
          <w:rFonts w:ascii="宋体" w:eastAsia="宋体" w:hAnsi="宋体" w:cs="宋体" w:hint="eastAsia"/>
          <w:sz w:val="24"/>
        </w:rPr>
        <w:t>监局辖区的协查事项，</w:t>
      </w:r>
      <w:proofErr w:type="gramStart"/>
      <w:r>
        <w:rPr>
          <w:rFonts w:ascii="宋体" w:eastAsia="宋体" w:hAnsi="宋体" w:cs="宋体" w:hint="eastAsia"/>
          <w:sz w:val="24"/>
        </w:rPr>
        <w:t>经银保</w:t>
      </w:r>
      <w:proofErr w:type="gramEnd"/>
      <w:r>
        <w:rPr>
          <w:rFonts w:ascii="宋体" w:eastAsia="宋体" w:hAnsi="宋体" w:cs="宋体" w:hint="eastAsia"/>
          <w:sz w:val="24"/>
        </w:rPr>
        <w:t>监局负责人批准，可以发函要求相关机构所在地银保监局予以协助。银保监局辖内的协查事项，</w:t>
      </w:r>
      <w:proofErr w:type="gramStart"/>
      <w:r>
        <w:rPr>
          <w:rFonts w:ascii="宋体" w:eastAsia="宋体" w:hAnsi="宋体" w:cs="宋体" w:hint="eastAsia"/>
          <w:sz w:val="24"/>
        </w:rPr>
        <w:t>由各银保</w:t>
      </w:r>
      <w:proofErr w:type="gramEnd"/>
      <w:r>
        <w:rPr>
          <w:rFonts w:ascii="宋体" w:eastAsia="宋体" w:hAnsi="宋体" w:cs="宋体" w:hint="eastAsia"/>
          <w:sz w:val="24"/>
        </w:rPr>
        <w:t>监局自行确定相关程序和要求。协查人员负责调取相关资料，查明相关情况，检查责任由检查组承担。</w:t>
      </w:r>
    </w:p>
    <w:p w14:paraId="18B020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银保监会及其派出机构依法对银行业和保险业机构进行检查时，为了查清涉嫌违法行为，可以根据《中华人民共和国银行业监督管理法》第四十二条、《中华人民共和国保险法》第一百五十四条的规定对与涉嫌违法事项有关的单位和个人进行调查。</w:t>
      </w:r>
    </w:p>
    <w:p w14:paraId="37D440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银保监会及其派出机构行使相关调查权应当符合以下条件：</w:t>
      </w:r>
    </w:p>
    <w:p w14:paraId="64AA2C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（一）在检查中已获取银行业和保险业机构或相关人员涉嫌违法的初步证据；</w:t>
      </w:r>
    </w:p>
    <w:p w14:paraId="6F70AB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（二）相关调查权行使对象限于与涉嫌违法事项有关的单位和个人。</w:t>
      </w:r>
    </w:p>
    <w:p w14:paraId="5067B1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与涉嫌违法事项有关的单位和个人包括与涉嫌违法行为有直接关系的民事主体，也包括没有参与违法行为，但掌握违法行为情况的单位和个人。主要指：</w:t>
      </w:r>
    </w:p>
    <w:p w14:paraId="351880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（一）银行业和保险业机构的股东、实际控制人、关联方、一致行动人及最终受益人等；</w:t>
      </w:r>
    </w:p>
    <w:p w14:paraId="07FA5D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（二）银行业和保险业机构的客户及其交易对手等；</w:t>
      </w:r>
    </w:p>
    <w:p w14:paraId="2ADBE3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（三）为银行业和保险业机构提供产品和服务的企业、市场中介机构和专业人士等；</w:t>
      </w:r>
    </w:p>
    <w:p w14:paraId="50BCC3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（四）通过协议、合作、关联关系等途径扩大对银行业和保险业机构的控制比例或巩固其控制地位的自然人、法人或其他组织；</w:t>
      </w:r>
    </w:p>
    <w:p w14:paraId="74AA5F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（五）其他与银行业和保险业机构涉嫌违法事项有关的单位和个人。</w:t>
      </w:r>
    </w:p>
    <w:p w14:paraId="4725DF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调查人员依法开展相关调查时，被调查单位和个人应当配合，如实说明有关情况，并提供有关文件、资料，不得拒绝、阻碍和隐瞒。阻碍银保监会及其派出机构工作人员依法执行调查任务的，由银保监会及其派出机构提请公安机关依法给予治安管理处罚，涉嫌构成犯罪的，依法移送司法监察机关等部门。</w:t>
      </w:r>
    </w:p>
    <w:p w14:paraId="12FAD4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检查处理</w:t>
      </w:r>
    </w:p>
    <w:p w14:paraId="3BACF3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银保监会及其派出机构可以将现场检查情况通报被查机构的上级部门或主要股东，可以与被查机构的董事、监事、高级管理人员进行监管谈话，要求其就检查发现的问题</w:t>
      </w:r>
      <w:proofErr w:type="gramStart"/>
      <w:r>
        <w:rPr>
          <w:rFonts w:ascii="宋体" w:eastAsia="宋体" w:hAnsi="宋体" w:cs="宋体" w:hint="eastAsia"/>
          <w:sz w:val="24"/>
        </w:rPr>
        <w:t>作出</w:t>
      </w:r>
      <w:proofErr w:type="gramEnd"/>
      <w:r>
        <w:rPr>
          <w:rFonts w:ascii="宋体" w:eastAsia="宋体" w:hAnsi="宋体" w:cs="宋体" w:hint="eastAsia"/>
          <w:sz w:val="24"/>
        </w:rPr>
        <w:t>说明和承诺，也可以对相关责任人进行谈话提醒、批评教育或者责令书面检查等。</w:t>
      </w:r>
    </w:p>
    <w:p w14:paraId="74FC45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对于检查中发现的问题，银保监会及其派出机构应当在检查意见书中责令被查机构限期改正。被查机构应当在规定时间内提交整改报告。</w:t>
      </w:r>
    </w:p>
    <w:p w14:paraId="0CF5A2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第四十九条 对于被查机构在现场检查前反馈的自查情况中主动发现并及时纠正相关问题，符合《中华人民共和国行政处罚法》第二十七条规定的相关情形的，应当依法提出从轻、减轻或不予行政处罚的意见建议。</w:t>
      </w:r>
    </w:p>
    <w:p w14:paraId="46648D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第五十条 银保监会及其派出机构在检查中发现被查机构存在违反法律法规、审慎经营规则和偿付能力监管规则等情形的，应当依法采取《中华人民共和国银行业监督管理法》《中华人民共和国保险法》规定的监管措施。</w:t>
      </w:r>
    </w:p>
    <w:p w14:paraId="1A9B35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第五十一条 银保监会及其派出机构应当对现场检查中发现涉及行政处罚的违法违规行为及时启动行政处罚立案调查程序，按照《中华人民共和国银行业监督管理法》《中华人民共和国保险法》及银保监会行政处罚有关规定办理。</w:t>
      </w:r>
    </w:p>
    <w:p w14:paraId="4F4D52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第五十二条 立案前现场检查中已经依法取得的证据材料，符合行政处罚证据要求的可以作为认定违法、违规事实的证据。审查过程中确需补充证据材料的，应当按照有关规定开展补充立案调查。</w:t>
      </w:r>
    </w:p>
    <w:p w14:paraId="64605B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第五十三条 银保监会及其派出机构在现场检查中发现银行业和保险业机构及其工作人员、客户以及其他相关组织、个人涉嫌犯罪的，应当根据有关规定，依法向司法监察机关等部门移送。</w:t>
      </w:r>
    </w:p>
    <w:p w14:paraId="5FAF45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第五十四条 检查结束后，承担现场检查任务的部门应当将现场检查意见书及时抄送机构监管部门及其他相关部门。机构监管部门应当根据检查意见，督促被查机构落实整改要求。必要时，可以设立一定的整改观察期。</w:t>
      </w:r>
    </w:p>
    <w:p w14:paraId="620C30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第五十五条 承担现场检查任务的部门负责对被查机构整改情况进行评价。评价过程中，可以查阅被查机构的整改报告、要求被查机构补充相关材料、约谈被查机构相关人员、听取机构监管部门等相关部门意见，必要时可以通过后续检查、稽核调查等方式进行。</w:t>
      </w:r>
    </w:p>
    <w:p w14:paraId="08A3F5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第五十六条 被查机构未按要求整改的，银保监会及其派出机构可以根据《中华人民共和国银行业监督管理法》《中华人民共和国保险法》规定采取进一步监管措施或进行行政处罚。</w:t>
      </w:r>
    </w:p>
    <w:p w14:paraId="14FB9E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第五十七条 银保监会及其派出机构应当加强对检查情况和整改情况的统计分析，建立现场检查信息反馈和共享机制。对于检查中发现的普遍性、典型性风</w:t>
      </w:r>
      <w:r>
        <w:rPr>
          <w:rFonts w:ascii="宋体" w:eastAsia="宋体" w:hAnsi="宋体" w:cs="宋体" w:hint="eastAsia"/>
          <w:sz w:val="24"/>
        </w:rPr>
        <w:lastRenderedPageBreak/>
        <w:t>险和问题，应当及时采取监管通报、风险提示等措施；对于检查中发现的系统性风险苗头，应当及时专题上报；对于检查中发现的监管机制和制度存在的问题，应当及时提出修订和完善监管机制与制度的建议。</w:t>
      </w:r>
    </w:p>
    <w:p w14:paraId="140149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第五十八条 银保监会及其派出机构应当将现场检查发现的情况和问题，在被查机构的监管评级和风险评估中反映，必要时相应调整被查机构的监管评级和风险评估，并依照相关规定在市场准入工作中予以考虑。</w:t>
      </w:r>
    </w:p>
    <w:p w14:paraId="107AEE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第五十九条 银保监会及其派出机构有权按照规定披露相关检查情况，但涉及国家秘密、商业秘密、个人隐私以及公布后可能危及国家安全、公共安全、经济安全和社会稳定的除外。</w:t>
      </w:r>
    </w:p>
    <w:p w14:paraId="572F1B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考核评价</w:t>
      </w:r>
    </w:p>
    <w:p w14:paraId="4543C0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第六十条 银保监会及其派出机构应当建立现场检查工作质量控制和考核评价机制，对检查立项的科学性、检查实施的合</w:t>
      </w:r>
      <w:proofErr w:type="gramStart"/>
      <w:r>
        <w:rPr>
          <w:rFonts w:ascii="宋体" w:eastAsia="宋体" w:hAnsi="宋体" w:cs="宋体" w:hint="eastAsia"/>
          <w:sz w:val="24"/>
        </w:rPr>
        <w:t>规</w:t>
      </w:r>
      <w:proofErr w:type="gramEnd"/>
      <w:r>
        <w:rPr>
          <w:rFonts w:ascii="宋体" w:eastAsia="宋体" w:hAnsi="宋体" w:cs="宋体" w:hint="eastAsia"/>
          <w:sz w:val="24"/>
        </w:rPr>
        <w:t>性、检查成果的有效性以及现场检查人员的履职尽责情况等进行质量控制和考核评价。</w:t>
      </w:r>
    </w:p>
    <w:p w14:paraId="53395C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第六十一条 银保监会及其派出机构可以建立现场检查正向激励机制，对于检查能力突出、查实重大违法违规问题、发现重大案件或重大风险隐患的检查人员，可以给予表彰奖励。</w:t>
      </w:r>
    </w:p>
    <w:p w14:paraId="5AA16A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第六十二条 银保监会及其派出机构应当按照权责一致、宽严适度、教育与惩戒相结合的原则，完善现场检查工作问责和免责机制。对于在现场检查工作中不依法合</w:t>
      </w:r>
      <w:proofErr w:type="gramStart"/>
      <w:r>
        <w:rPr>
          <w:rFonts w:ascii="宋体" w:eastAsia="宋体" w:hAnsi="宋体" w:cs="宋体" w:hint="eastAsia"/>
          <w:sz w:val="24"/>
        </w:rPr>
        <w:t>规</w:t>
      </w:r>
      <w:proofErr w:type="gramEnd"/>
      <w:r>
        <w:rPr>
          <w:rFonts w:ascii="宋体" w:eastAsia="宋体" w:hAnsi="宋体" w:cs="宋体" w:hint="eastAsia"/>
          <w:sz w:val="24"/>
        </w:rPr>
        <w:t>履职的，应当在查清事实的基础上依照有关法律法规及银保监会履职问</w:t>
      </w:r>
      <w:proofErr w:type="gramStart"/>
      <w:r>
        <w:rPr>
          <w:rFonts w:ascii="宋体" w:eastAsia="宋体" w:hAnsi="宋体" w:cs="宋体" w:hint="eastAsia"/>
          <w:sz w:val="24"/>
        </w:rPr>
        <w:t>责有关</w:t>
      </w:r>
      <w:proofErr w:type="gramEnd"/>
      <w:r>
        <w:rPr>
          <w:rFonts w:ascii="宋体" w:eastAsia="宋体" w:hAnsi="宋体" w:cs="宋体" w:hint="eastAsia"/>
          <w:sz w:val="24"/>
        </w:rPr>
        <w:t>规定，对相关检查人员</w:t>
      </w:r>
      <w:proofErr w:type="gramStart"/>
      <w:r>
        <w:rPr>
          <w:rFonts w:ascii="宋体" w:eastAsia="宋体" w:hAnsi="宋体" w:cs="宋体" w:hint="eastAsia"/>
          <w:sz w:val="24"/>
        </w:rPr>
        <w:t>予以问</w:t>
      </w:r>
      <w:proofErr w:type="gramEnd"/>
      <w:r>
        <w:rPr>
          <w:rFonts w:ascii="宋体" w:eastAsia="宋体" w:hAnsi="宋体" w:cs="宋体" w:hint="eastAsia"/>
          <w:sz w:val="24"/>
        </w:rPr>
        <w:t>责。对于有证据表明检查人员已履职尽责的，免除检查人员的责任。</w:t>
      </w:r>
    </w:p>
    <w:p w14:paraId="7D8C82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第六十三条 对于滥用职权、徇私舞弊、玩忽职守、泄露所知悉的被查机构商业秘密等严重违反现场检查纪律的人员，依法给予纪律处分；涉嫌构成犯罪的，依法移送司法监察机关等部门。</w:t>
      </w:r>
    </w:p>
    <w:p w14:paraId="12685B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第八章 附则</w:t>
      </w:r>
    </w:p>
    <w:p w14:paraId="4885ED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第六十四条 银保监会及其派出机构根据日常监管需要，开展的信访举报和</w:t>
      </w:r>
      <w:r>
        <w:rPr>
          <w:rFonts w:ascii="宋体" w:eastAsia="宋体" w:hAnsi="宋体" w:cs="宋体" w:hint="eastAsia"/>
          <w:sz w:val="24"/>
        </w:rPr>
        <w:lastRenderedPageBreak/>
        <w:t>投诉核查、监管走访、现场调查、核查、督查或调研等活动，不属于本办法规定的现场检查，具体办法由银保监会另行制定。</w:t>
      </w:r>
    </w:p>
    <w:p w14:paraId="55049F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第六十五条 本办法所称银行业和保险业机构，包括：</w:t>
      </w:r>
    </w:p>
    <w:p w14:paraId="2D573B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（一）在中华人民共和国境内依法设立的政策性银行和商业银行、农村信用社等吸收公众存款的金融机构、外国银行在华代表处；</w:t>
      </w:r>
    </w:p>
    <w:p w14:paraId="069070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（二）在中华人民共和国境内依法设立的保险集团（控股）公司、保险机构、保险资产管理机构、保险中介机构、外国保险公司驻华代表处；</w:t>
      </w:r>
    </w:p>
    <w:p w14:paraId="6E3176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（三）在中华人民共和国境内依法设立的信托机构、金融资产管理公司、企业集团财务公司、金融租赁公司、汽车金融公司、消费金融公司、货币经纪公司</w:t>
      </w:r>
      <w:proofErr w:type="gramStart"/>
      <w:r>
        <w:rPr>
          <w:rFonts w:ascii="宋体" w:eastAsia="宋体" w:hAnsi="宋体" w:cs="宋体" w:hint="eastAsia"/>
          <w:sz w:val="24"/>
        </w:rPr>
        <w:t>以及经银保</w:t>
      </w:r>
      <w:proofErr w:type="gramEnd"/>
      <w:r>
        <w:rPr>
          <w:rFonts w:ascii="宋体" w:eastAsia="宋体" w:hAnsi="宋体" w:cs="宋体" w:hint="eastAsia"/>
          <w:sz w:val="24"/>
        </w:rPr>
        <w:t>监会及其派出机构批准设立的其他非银行金融机构；</w:t>
      </w:r>
    </w:p>
    <w:p w14:paraId="7A8D3A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w:t>
      </w:r>
      <w:proofErr w:type="gramStart"/>
      <w:r>
        <w:rPr>
          <w:rFonts w:ascii="宋体" w:eastAsia="宋体" w:hAnsi="宋体" w:cs="宋体" w:hint="eastAsia"/>
          <w:sz w:val="24"/>
        </w:rPr>
        <w:t>经银保</w:t>
      </w:r>
      <w:proofErr w:type="gramEnd"/>
      <w:r>
        <w:rPr>
          <w:rFonts w:ascii="宋体" w:eastAsia="宋体" w:hAnsi="宋体" w:cs="宋体" w:hint="eastAsia"/>
          <w:sz w:val="24"/>
        </w:rPr>
        <w:t>监会及其派出机构批准在境外设立的金融机构。</w:t>
      </w:r>
    </w:p>
    <w:p w14:paraId="170C5B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第六十六条 银保监会可以依照本办法制定现场检查规程及相关实施细则。各派出机构可以依照本办法制定辖内现场检查实施细则。</w:t>
      </w:r>
    </w:p>
    <w:p w14:paraId="502DE8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第六十七条 本办法由银保监会负责解释。</w:t>
      </w:r>
    </w:p>
    <w:p w14:paraId="0C3DA34A"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第六十八条 本办法自2020年1月28日起施行。《中国银监会现场检查暂行办法》同时废止。本办法施行前有关规定与本办法不一致的，以本办法为准。</w:t>
      </w:r>
      <w:r>
        <w:rPr>
          <w:rFonts w:ascii="宋体" w:eastAsia="宋体" w:hAnsi="宋体" w:cs="宋体" w:hint="eastAsia"/>
          <w:sz w:val="24"/>
        </w:rPr>
        <w:tab/>
      </w:r>
    </w:p>
    <w:p w14:paraId="33ADFC1D" w14:textId="77777777" w:rsidR="00F50CD8" w:rsidRDefault="00000000">
      <w:pPr>
        <w:spacing w:afterLines="50" w:after="156" w:line="360" w:lineRule="auto"/>
        <w:ind w:firstLineChars="200" w:firstLine="482"/>
        <w:rPr>
          <w:rFonts w:ascii="宋体" w:eastAsia="宋体" w:hAnsi="宋体" w:cs="宋体" w:hint="eastAsia"/>
          <w:sz w:val="24"/>
        </w:rPr>
      </w:pPr>
      <w:r>
        <w:rPr>
          <w:rFonts w:ascii="宋体" w:eastAsia="宋体" w:hAnsi="宋体" w:cs="宋体" w:hint="eastAsia"/>
          <w:b/>
          <w:bCs/>
          <w:sz w:val="24"/>
        </w:rPr>
        <w:lastRenderedPageBreak/>
        <w:t>30.《中国银保监会行政处罚办法》</w:t>
      </w:r>
      <w:r>
        <w:rPr>
          <w:rFonts w:ascii="宋体" w:eastAsia="宋体" w:hAnsi="宋体" w:cs="宋体" w:hint="eastAsia"/>
          <w:b/>
          <w:bCs/>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34ADC1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发文机构：中国银行保险监督管理委员会(已撤销)   </w:t>
      </w:r>
    </w:p>
    <w:p w14:paraId="08D795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文号：中国银行保险监督管理委员会令2020年第8号</w:t>
      </w:r>
    </w:p>
    <w:p w14:paraId="519934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7D748A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规范中国银行保险监督管理委员会（以下简称银保监会）及其派出机构行政处罚行为，维护银行业保险业市场秩序，根据《中华人民共和国行政处罚法》《中华人民共和国银行业监督管理法》《中华人民共和国商业银行法》《中华人民共和国保险法》等相关法律，制定本办法。</w:t>
      </w:r>
    </w:p>
    <w:p w14:paraId="7B047B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银行保险机构、其他单位和个人（以下简称当事人）违反法律、行政法规和银行保险监管规定，银保监会及其派出机构依法给予行政处罚的，按照本办法实施。法律、行政法规另有规定的除外。</w:t>
      </w:r>
    </w:p>
    <w:p w14:paraId="760B5F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本办法所指的行政处罚包括：</w:t>
      </w:r>
    </w:p>
    <w:p w14:paraId="2D5865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（一）警告；</w:t>
      </w:r>
    </w:p>
    <w:p w14:paraId="333749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（二）罚款；</w:t>
      </w:r>
    </w:p>
    <w:p w14:paraId="6B06FF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（三）没收违法所得；</w:t>
      </w:r>
    </w:p>
    <w:p w14:paraId="067491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（四）责令停业整顿；</w:t>
      </w:r>
    </w:p>
    <w:p w14:paraId="40F485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（五）吊销金融、业务许可证；</w:t>
      </w:r>
    </w:p>
    <w:p w14:paraId="7FA272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（六）取消、撤销任职资格；</w:t>
      </w:r>
    </w:p>
    <w:p w14:paraId="160083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（七）限制保险业机构业务范围；</w:t>
      </w:r>
    </w:p>
    <w:p w14:paraId="2CB60C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（八）责令保险业机构停止接受新业务；</w:t>
      </w:r>
    </w:p>
    <w:p w14:paraId="5EFA18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（九）撤销外国银行代表处、撤销外国保险机构驻华代表机构；</w:t>
      </w:r>
    </w:p>
    <w:p w14:paraId="3B986F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（十）要求撤换外国银行首席代表、责令撤换外国保险机构驻华代表机构的首席代表；</w:t>
      </w:r>
    </w:p>
    <w:p w14:paraId="61F03D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（十一）禁止从事银行业工作或者禁止进入保险业；</w:t>
      </w:r>
    </w:p>
    <w:p w14:paraId="586C40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（十二）法律、行政法规规定的其他行政处罚。</w:t>
      </w:r>
    </w:p>
    <w:p w14:paraId="4BFA5C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银保监会及其派出机构实施行政处罚，应当遵循以下原则：</w:t>
      </w:r>
    </w:p>
    <w:p w14:paraId="5EC06B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（一）公平、公正、公开；</w:t>
      </w:r>
    </w:p>
    <w:p w14:paraId="16E02D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（二）程序合法；</w:t>
      </w:r>
    </w:p>
    <w:p w14:paraId="314435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（三）过罚相当；</w:t>
      </w:r>
    </w:p>
    <w:p w14:paraId="20C988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（四）维护当事人的合法权益；</w:t>
      </w:r>
    </w:p>
    <w:p w14:paraId="6E8B2B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（五）处罚与教育相结合。</w:t>
      </w:r>
    </w:p>
    <w:p w14:paraId="6C15A0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银保监会及其派出机构实行立案调查、审理和决定相分离的行政处罚制度，设立行政处罚委员会。</w:t>
      </w:r>
    </w:p>
    <w:p w14:paraId="14BED0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行政处罚委员会下设办公室，行政处罚委员会办公室设在银保监会及其派出机构的法律部门；暂未设立法律部门的，由相关部门履行其职责。</w:t>
      </w:r>
    </w:p>
    <w:p w14:paraId="775713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银保监会及其派出机构在处罚银行保险机构时，依法对相关责任人员采取责令纪律处分、行政处罚等方式追究法律责任。</w:t>
      </w:r>
    </w:p>
    <w:p w14:paraId="628C1D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当事人有下列情形之一的，应当依法从轻或者减轻行政处罚：</w:t>
      </w:r>
    </w:p>
    <w:p w14:paraId="345F4D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（一）主动消除或者减轻违法行为危害后果的；</w:t>
      </w:r>
    </w:p>
    <w:p w14:paraId="471E01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（二）受他人胁迫有违法行为的；</w:t>
      </w:r>
    </w:p>
    <w:p w14:paraId="6531BB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（三）配合行政机关查处违法行为有立功表现的；</w:t>
      </w:r>
    </w:p>
    <w:p w14:paraId="3FF616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（四）其他依法从轻或者减轻行政处罚的。</w:t>
      </w:r>
    </w:p>
    <w:p w14:paraId="5EBC93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违法行为轻微并及时纠正，没有造成危害后果的，不予行政处罚。</w:t>
      </w:r>
    </w:p>
    <w:p w14:paraId="0374BF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当事人有下列情形之一的，依法从重处罚：</w:t>
      </w:r>
    </w:p>
    <w:p w14:paraId="30E509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（一）屡查屡犯的；</w:t>
      </w:r>
    </w:p>
    <w:p w14:paraId="5DBD2E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（二）不配合监管执法的；</w:t>
      </w:r>
    </w:p>
    <w:p w14:paraId="3DB11E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（三）危害后果严重，造成较为恶劣社会影响的；</w:t>
      </w:r>
    </w:p>
    <w:p w14:paraId="4EDD0E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（四）其他依法从重行政处罚的情形。</w:t>
      </w:r>
    </w:p>
    <w:p w14:paraId="117E9D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银保监会及其派出机构参与行政处罚的工作人员有下列情形之一的，本人应当申请回避，当事人及其代理人也有权申请其回避：</w:t>
      </w:r>
    </w:p>
    <w:p w14:paraId="41768C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（一）是案件当事人或其代理人的近亲属的；</w:t>
      </w:r>
    </w:p>
    <w:p w14:paraId="7C040A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（二）与案件有直接利害关系的；</w:t>
      </w:r>
    </w:p>
    <w:p w14:paraId="4213F0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（三）与案件当事人或其代理人有其他关系，可能影响案件公正处理的；</w:t>
      </w:r>
    </w:p>
    <w:p w14:paraId="121143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（四）根据法律、行政法规或者其他规定应当回避的。</w:t>
      </w:r>
    </w:p>
    <w:p w14:paraId="3B5654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当事人及其代理人提出回避申请的，应当说明理由。回避决定</w:t>
      </w:r>
      <w:proofErr w:type="gramStart"/>
      <w:r>
        <w:rPr>
          <w:rFonts w:ascii="宋体" w:eastAsia="宋体" w:hAnsi="宋体" w:cs="宋体" w:hint="eastAsia"/>
          <w:sz w:val="24"/>
        </w:rPr>
        <w:t>作出</w:t>
      </w:r>
      <w:proofErr w:type="gramEnd"/>
      <w:r>
        <w:rPr>
          <w:rFonts w:ascii="宋体" w:eastAsia="宋体" w:hAnsi="宋体" w:cs="宋体" w:hint="eastAsia"/>
          <w:sz w:val="24"/>
        </w:rPr>
        <w:t>前，有关工作人员应当暂停对案件的调查审理，有特殊情况的除外。</w:t>
      </w:r>
    </w:p>
    <w:p w14:paraId="7A00CA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案件调查人员及审理人员的回避由相关人员所在部门负责人决定，行政处罚委员会委员的回避由主任委员决定；主任委员的回避由所在银行保险监督管理机构的主要负责人决定，主要负责人担任主任委员的，其是否回避由上一级机构决定。</w:t>
      </w:r>
    </w:p>
    <w:p w14:paraId="0B5D56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当事人对银保监会及其派出机构</w:t>
      </w:r>
      <w:proofErr w:type="gramStart"/>
      <w:r>
        <w:rPr>
          <w:rFonts w:ascii="宋体" w:eastAsia="宋体" w:hAnsi="宋体" w:cs="宋体" w:hint="eastAsia"/>
          <w:sz w:val="24"/>
        </w:rPr>
        <w:t>作出</w:t>
      </w:r>
      <w:proofErr w:type="gramEnd"/>
      <w:r>
        <w:rPr>
          <w:rFonts w:ascii="宋体" w:eastAsia="宋体" w:hAnsi="宋体" w:cs="宋体" w:hint="eastAsia"/>
          <w:sz w:val="24"/>
        </w:rPr>
        <w:t>的行政处罚，享有陈述权和申辩权。对行政处罚决定不服的，有权依法申请行政复议或者提起行政诉讼。</w:t>
      </w:r>
    </w:p>
    <w:p w14:paraId="16BCAF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当事人提出的事实、理由和证据成立的，银保监会及其派出机构应当予以采纳，不得因当事人申辩而加重处罚。</w:t>
      </w:r>
    </w:p>
    <w:p w14:paraId="5F94B2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银保监会及其派出机构参与行政处罚的工作人员应当保守案件查办中获悉的国家秘密、商业秘密和个人隐私。</w:t>
      </w:r>
    </w:p>
    <w:p w14:paraId="66857A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管辖</w:t>
      </w:r>
    </w:p>
    <w:p w14:paraId="29B322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银保监会对下列违法行为给予行政处罚：</w:t>
      </w:r>
    </w:p>
    <w:p w14:paraId="583929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（一）直接监管的银行业法人机构及其从业人员实施的；</w:t>
      </w:r>
    </w:p>
    <w:p w14:paraId="23E933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（二）直接监管的保险业法人机构及其从业人员实施的；</w:t>
      </w:r>
    </w:p>
    <w:p w14:paraId="446073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（三）其他应当由银保监会给予行政处罚的违法行为。</w:t>
      </w:r>
    </w:p>
    <w:p w14:paraId="432D47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第十四条 派出机构负责对辖区内的下列违法行为给予行政处罚：</w:t>
      </w:r>
    </w:p>
    <w:p w14:paraId="3B2382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（一）直接监管的银行业法人机构及其从业人员实施的；</w:t>
      </w:r>
    </w:p>
    <w:p w14:paraId="5C4E78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（二）银行业法人机构的分支机构及其从业人员实施的；</w:t>
      </w:r>
    </w:p>
    <w:p w14:paraId="49847E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（三）保险公司分支机构及其从业人员实施的；</w:t>
      </w:r>
    </w:p>
    <w:p w14:paraId="7AF0AA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（四）保险中介机构及其从业人员实施的；</w:t>
      </w:r>
    </w:p>
    <w:p w14:paraId="7DD070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（五）非法设立保险业机构，非法经营保险业务的；</w:t>
      </w:r>
    </w:p>
    <w:p w14:paraId="4069C4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（六）其他应由派出机构给予行政处罚的违法行为。</w:t>
      </w:r>
    </w:p>
    <w:p w14:paraId="349502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异地实施违法行为的，由违法行为发生地的派出机构管辖。行为发生地的派出机构应当及时通知行为主体所在地的派出机构，行为主体所在地的派出机构应当积极配合违法行为的查处。</w:t>
      </w:r>
    </w:p>
    <w:p w14:paraId="539BEE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违法行为发生地的派出机构认为不宜行使管辖权的，可以移交行为主体所在地的派出机构管辖。</w:t>
      </w:r>
    </w:p>
    <w:p w14:paraId="20117F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违法行为发生地的派出机构或行为主体所在地的派出机构</w:t>
      </w:r>
      <w:proofErr w:type="gramStart"/>
      <w:r>
        <w:rPr>
          <w:rFonts w:ascii="宋体" w:eastAsia="宋体" w:hAnsi="宋体" w:cs="宋体" w:hint="eastAsia"/>
          <w:sz w:val="24"/>
        </w:rPr>
        <w:t>作出</w:t>
      </w:r>
      <w:proofErr w:type="gramEnd"/>
      <w:r>
        <w:rPr>
          <w:rFonts w:ascii="宋体" w:eastAsia="宋体" w:hAnsi="宋体" w:cs="宋体" w:hint="eastAsia"/>
          <w:sz w:val="24"/>
        </w:rPr>
        <w:t>行政处罚决定前可以征求对方意见，并应当书面告知处罚结果。</w:t>
      </w:r>
    </w:p>
    <w:p w14:paraId="5A532E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因交叉检查（调查）或者跨区域检查（调查）发现违法行为需要给予行政处罚的，应当提请有管辖权的监督管理机构立案查处，并及时移交相关证据材料。</w:t>
      </w:r>
    </w:p>
    <w:p w14:paraId="442049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派出机构发现不属于自己管辖的违法行为的，应当移送有管辖权的派出机构。两个以上派出机构对同一违法行为都有管辖权的，由最先立案的派出机构管辖。</w:t>
      </w:r>
    </w:p>
    <w:p w14:paraId="259F28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对管辖权不明确或者有争议的，应当报请共同的上一级机构指定管辖。</w:t>
      </w:r>
    </w:p>
    <w:p w14:paraId="65D33A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上级机构可以直接查处应由下级机构负责查处的违法行为，可以授权下级机构查处应由其负责查处的违法行为，也可以授权下级机构查处应由其他下级机构负责查处的违法行为。</w:t>
      </w:r>
    </w:p>
    <w:p w14:paraId="737829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授权管辖的，应当出具书面授权文件。</w:t>
      </w:r>
    </w:p>
    <w:p w14:paraId="63D913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第十九条 派出机构管辖的电话销售保险违法行为，原则上按照下列要求确定具体管辖地：</w:t>
      </w:r>
    </w:p>
    <w:p w14:paraId="19C59A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（一）在对电话销售业务日常监管中发现的违法行为，由呼出地派出机构查处；</w:t>
      </w:r>
    </w:p>
    <w:p w14:paraId="4CBC8F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（二）在投诉、举报等工作中发现的违法行为，由投保人住所地派出机构查处，经与呼出地派出机构协商一致，也可以由呼出地派出机构查处。</w:t>
      </w:r>
    </w:p>
    <w:p w14:paraId="78EA53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吊销银行业机构金融许可证的行政处罚案件，由颁发该金融许可证的监督管理机构管辖，处罚决定抄送批准该机构筹建的监督管理机构及银保监会相关部门。</w:t>
      </w:r>
    </w:p>
    <w:p w14:paraId="509D13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责令银行业机构停业整顿的行政处罚案件，由批准该银行业机构开业的监督管理机构管辖，处罚决定抄送批准该机构筹建的监督管理机构及银保监会相关部门。</w:t>
      </w:r>
    </w:p>
    <w:p w14:paraId="351301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立案调查</w:t>
      </w:r>
    </w:p>
    <w:p w14:paraId="352037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银保监会及其派出机构发现当事人涉嫌违反法律、行政法规和银行保险监管规定，依法应当给予行政处罚且有管辖权的，应当予以立案。</w:t>
      </w:r>
    </w:p>
    <w:p w14:paraId="3010EA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立案应当由立案调查部门填写行政处罚立案审批表，由分管立案调查部门的负责人批准。</w:t>
      </w:r>
    </w:p>
    <w:p w14:paraId="140711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立案调查部门应当在立案之日起九十日以内完成调查工作。有特殊情况的，可以适当延长。</w:t>
      </w:r>
    </w:p>
    <w:p w14:paraId="6E3C75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调查人员应当对案件事实进行全面、客观、公正的调查，并依法充分收集证据。</w:t>
      </w:r>
    </w:p>
    <w:p w14:paraId="20768C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行政处罚立案前通过现场检查、调查、信访核查等方式依法获取的证明材料符合行政处罚证据要求的，可以作为行政处罚案件的证据，但应当在调查报告中载明上述情况。</w:t>
      </w:r>
    </w:p>
    <w:p w14:paraId="7EEC47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在证据可能灭失或者以后难以取得的情况下，可以采取先行登记保存措施。采取先行登记保存措施，应当填写先行登记保存证据审批表，并由</w:t>
      </w:r>
      <w:r>
        <w:rPr>
          <w:rFonts w:ascii="宋体" w:eastAsia="宋体" w:hAnsi="宋体" w:cs="宋体" w:hint="eastAsia"/>
          <w:sz w:val="24"/>
        </w:rPr>
        <w:lastRenderedPageBreak/>
        <w:t>银保监会负责人或者派出机构负责人批准。</w:t>
      </w:r>
    </w:p>
    <w:p w14:paraId="498C73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先行登记保存证据的，应当签发先行登记保存证据通知书，填写先行登记保存证据清单，由当事人签字或者盖章确认，并</w:t>
      </w:r>
      <w:proofErr w:type="gramStart"/>
      <w:r>
        <w:rPr>
          <w:rFonts w:ascii="宋体" w:eastAsia="宋体" w:hAnsi="宋体" w:cs="宋体" w:hint="eastAsia"/>
          <w:sz w:val="24"/>
        </w:rPr>
        <w:t>加封银</w:t>
      </w:r>
      <w:proofErr w:type="gramEnd"/>
      <w:r>
        <w:rPr>
          <w:rFonts w:ascii="宋体" w:eastAsia="宋体" w:hAnsi="宋体" w:cs="宋体" w:hint="eastAsia"/>
          <w:sz w:val="24"/>
        </w:rPr>
        <w:t>保监会或者派出机构先行登记保存封条，</w:t>
      </w:r>
      <w:proofErr w:type="gramStart"/>
      <w:r>
        <w:rPr>
          <w:rFonts w:ascii="宋体" w:eastAsia="宋体" w:hAnsi="宋体" w:cs="宋体" w:hint="eastAsia"/>
          <w:sz w:val="24"/>
        </w:rPr>
        <w:t>就地由</w:t>
      </w:r>
      <w:proofErr w:type="gramEnd"/>
      <w:r>
        <w:rPr>
          <w:rFonts w:ascii="宋体" w:eastAsia="宋体" w:hAnsi="宋体" w:cs="宋体" w:hint="eastAsia"/>
          <w:sz w:val="24"/>
        </w:rPr>
        <w:t>当事人保存。</w:t>
      </w:r>
    </w:p>
    <w:p w14:paraId="2C3E57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登记保存证据期间，当事人或者有关人员不得损毁、销毁或者转移证据。对于先行登记保存的证据，应当在七日以内</w:t>
      </w:r>
      <w:proofErr w:type="gramStart"/>
      <w:r>
        <w:rPr>
          <w:rFonts w:ascii="宋体" w:eastAsia="宋体" w:hAnsi="宋体" w:cs="宋体" w:hint="eastAsia"/>
          <w:sz w:val="24"/>
        </w:rPr>
        <w:t>作出</w:t>
      </w:r>
      <w:proofErr w:type="gramEnd"/>
      <w:r>
        <w:rPr>
          <w:rFonts w:ascii="宋体" w:eastAsia="宋体" w:hAnsi="宋体" w:cs="宋体" w:hint="eastAsia"/>
          <w:sz w:val="24"/>
        </w:rPr>
        <w:t>处理决定。</w:t>
      </w:r>
    </w:p>
    <w:p w14:paraId="6EAD48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调查人员进行案件调查时不得少于二人，并应当向当事人或者有关单位和个人出示合法证件和调查（现场检查）通知书。</w:t>
      </w:r>
    </w:p>
    <w:p w14:paraId="08B943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需要银保监会派出机构协助调查的，调查机构应当出具协助调查函。协助机构应当在调查机构要求的期限内完成调查。需要延期的，协助机构应当及时告知调查机构。</w:t>
      </w:r>
    </w:p>
    <w:p w14:paraId="4654AD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当事人违法行为不属于银保监会及其派出机构管辖的，立案调查部门应当依法及时向有关部门移送处理。</w:t>
      </w:r>
    </w:p>
    <w:p w14:paraId="398994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当事人违法行为涉嫌犯罪的，立案调查部门应当依照有关规定及时移送司法机关或者纪检监察机关。</w:t>
      </w:r>
    </w:p>
    <w:p w14:paraId="6E0392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立案调查部门在调查银行保险机构违法行为时，应当对相关责任人员的违法行为及其责任一并进行调查认定。</w:t>
      </w:r>
    </w:p>
    <w:p w14:paraId="1A1ABE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调查终结后，立案调查部门应当制作调查报告。调查报告应当载明以下事项：</w:t>
      </w:r>
    </w:p>
    <w:p w14:paraId="0F16E8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（一）案件来源；</w:t>
      </w:r>
    </w:p>
    <w:p w14:paraId="7CD07D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（二）当事人的基本情况；</w:t>
      </w:r>
    </w:p>
    <w:p w14:paraId="655D4F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（三）调查取证过程；</w:t>
      </w:r>
    </w:p>
    <w:p w14:paraId="47BA0C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（四）机构违法事实和相关证据；</w:t>
      </w:r>
    </w:p>
    <w:p w14:paraId="4790D8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（五）相关责任人员的违法事实、相关证据以及责任认定情况；</w:t>
      </w:r>
    </w:p>
    <w:p w14:paraId="1ACE35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（六）行政处罚时效情况；</w:t>
      </w:r>
    </w:p>
    <w:p w14:paraId="73E3DC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（七）当事人的陈述意见、采纳情况及理由；</w:t>
      </w:r>
    </w:p>
    <w:p w14:paraId="0792E9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（八）违法行为造成的风险、损失以及违法所得情况；</w:t>
      </w:r>
    </w:p>
    <w:p w14:paraId="2A156A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（九）从重、从轻、减轻的情形及理由；</w:t>
      </w:r>
    </w:p>
    <w:p w14:paraId="12A7AD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（十）行政处罚建议、理由及依据。</w:t>
      </w:r>
    </w:p>
    <w:p w14:paraId="45BBB8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取证</w:t>
      </w:r>
    </w:p>
    <w:p w14:paraId="4DB4F6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行政处罚证据包括：</w:t>
      </w:r>
    </w:p>
    <w:p w14:paraId="3260E9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（一）书证；</w:t>
      </w:r>
    </w:p>
    <w:p w14:paraId="4AF680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（二）物证；</w:t>
      </w:r>
    </w:p>
    <w:p w14:paraId="6DA1AB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（三）视听资料；</w:t>
      </w:r>
    </w:p>
    <w:p w14:paraId="6E4C82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（四）电子数据；</w:t>
      </w:r>
    </w:p>
    <w:p w14:paraId="082FA5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（五）证人证言；</w:t>
      </w:r>
    </w:p>
    <w:p w14:paraId="26F0F8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（六）当事人陈述；</w:t>
      </w:r>
    </w:p>
    <w:p w14:paraId="0587E9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（七）鉴定意见；</w:t>
      </w:r>
    </w:p>
    <w:p w14:paraId="4A1CCF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（八）勘验笔录、现场笔录；</w:t>
      </w:r>
    </w:p>
    <w:p w14:paraId="4E56A4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（九）法律、行政法规规定的其他证据。</w:t>
      </w:r>
    </w:p>
    <w:p w14:paraId="6CE1D4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调查人员应当全面收集当事人违法行为及其情节轻重的有关证据，证据应当符合以下要求：</w:t>
      </w:r>
    </w:p>
    <w:p w14:paraId="2E96C4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（一）与被证明事实具有关联性；</w:t>
      </w:r>
    </w:p>
    <w:p w14:paraId="68FE4F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（二）能够真实、客观反映被证明事实；</w:t>
      </w:r>
    </w:p>
    <w:p w14:paraId="7F474B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（三）收集证据行为符合法定程序。</w:t>
      </w:r>
    </w:p>
    <w:p w14:paraId="6D36AE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调查人员收集书证，应当符合下列要求：</w:t>
      </w:r>
    </w:p>
    <w:p w14:paraId="65C80A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（一）收集书证的原件，收集原件确有困难的，可以收集与原件核对无误的复印件、扫描件、翻拍件、节录本等复制件；</w:t>
      </w:r>
    </w:p>
    <w:p w14:paraId="465103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（二）复印件、扫描件、翻拍件、节录本等复制件应当注明提供日期、出处，由提供者载明“与原件核对一致”，加盖单位公章或由提供者签章，页数较多的可以加盖骑缝章；</w:t>
      </w:r>
    </w:p>
    <w:p w14:paraId="2CF0BB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（三）收集报表、会计账册、专业技术资料等书证，应当说明具体证明事项。</w:t>
      </w:r>
    </w:p>
    <w:p w14:paraId="2A518E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调查人员收集物证时，应当收集原物。收集原物确有困难的，可以收集与原物核对无误的复制件或证明该物证的照片、录像等其他证据，但是应当附有制作过程、时间、制作人等情况的相关说明。</w:t>
      </w:r>
    </w:p>
    <w:p w14:paraId="15D932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调查人员提取视听资料应当符合下列要求：</w:t>
      </w:r>
    </w:p>
    <w:p w14:paraId="4870FA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（一）提取视听资料的原始载体，提取原始载体有困难的，可以提取复制件，但是应附有制作过程、时间、制作人等内容的说明，并由原始载体持有人签字或者盖章；</w:t>
      </w:r>
    </w:p>
    <w:p w14:paraId="313C99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（二）视听资料应当附有声音内容的文字记录。提取视听资料应当注明提取人、提取出处、提取时间和证明对象等。</w:t>
      </w:r>
    </w:p>
    <w:p w14:paraId="7CE61F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调查人员可以直接提取电子计算机管理业务数据库中的数据，也可以采用转换、计算、分解等方式形成新的电子数据。调查人员收集电子数据，应当提取电子数据原始载体，并附有数据内容、收集时间和地点、收集过程、收集方法、收集人、证明对象等情况的说明，由原始数据持有人签名或者盖章。</w:t>
      </w:r>
    </w:p>
    <w:p w14:paraId="2346CD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无法提取原始载体或者提取确有困难的，可以提供电子数据复制件，但是应当附有复制过程、复制人、原始载体存放地点等情况的说明。</w:t>
      </w:r>
    </w:p>
    <w:p w14:paraId="6E56C9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调查人员可以询问当事人或有关人员，询问应当分别进行，询问前应当告知其有如实陈述事实、提供证据的义务。</w:t>
      </w:r>
    </w:p>
    <w:p w14:paraId="126F9E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询问应当制作调查笔录，调查笔录应当交被询问人核对，对没有阅读能力的，应当向其宣读；笔录如有差错、遗漏，应当允许其更正或者补充，更正或补充部分由被询问人签字或盖章确认；经核对无误后，调查人员应当在笔录上签名，被询问人逐页签名或者盖章；被询问人拒绝签名或者盖章的，调查人员应当在笔录上注明。</w:t>
      </w:r>
    </w:p>
    <w:p w14:paraId="5F2663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第三十八条 当事人或有关人员拒绝接受调查、拒绝提供有关证据材料或者拒绝在证据材料上签名、盖章的，调查人员应当在调查笔录上载明或以录音、录像等视听资料加以证明。必要时，调查人员可以邀请无利害关系的第三方作为见证人。</w:t>
      </w:r>
    </w:p>
    <w:p w14:paraId="5EC708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通过上述方式获取的材料可以作为认定相关事实的证据。</w:t>
      </w:r>
    </w:p>
    <w:p w14:paraId="14A660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调查人员对涉嫌违法的物品进行现场勘验时，应当有当事人在场，并制作现场勘验笔录；当事人拒绝到场的，应当在现场勘验笔录中注明。</w:t>
      </w:r>
    </w:p>
    <w:p w14:paraId="4DD1BA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抽样取证，应当开具物品清单，由调查人员和当事人签名或者盖章。</w:t>
      </w:r>
    </w:p>
    <w:p w14:paraId="01F898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现场检查事实确认书记载的有关违法事实，当事人予以确认的，可以作为认定违法事实的证据。现场检查事实确认书应当有相关检查取证材料作为佐证。</w:t>
      </w:r>
    </w:p>
    <w:p w14:paraId="38EC1B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对司法机关或者其他行政执法机关保存、公布、移送的证据材料，符合证据要求的，可以作为行政处罚的证据。</w:t>
      </w:r>
    </w:p>
    <w:p w14:paraId="54D6C6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调查人员应当制作证据目录，包括证据材料的序号、名称、证明目的、证据来源、证据形式、页码等。</w:t>
      </w:r>
    </w:p>
    <w:p w14:paraId="4E9841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其他有关收集和审查证据的要求，本办法没有规定的，可以按照其他法律、行政法规、规章规定或者参照有关司法解释规定执行。</w:t>
      </w:r>
    </w:p>
    <w:p w14:paraId="420B8E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审理</w:t>
      </w:r>
    </w:p>
    <w:p w14:paraId="5054D7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立案调查结束后，需要移送行政处罚委员会的，由立案调查部门提出处罚建议，将案件材料移交行政处罚委员会办公室。</w:t>
      </w:r>
    </w:p>
    <w:p w14:paraId="61CAB0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其他案件由立案调查部门根据查审分离的原则，指派调查人员以外的工作人员进行审理，审理程序参照本章规定执行。行政处罚委员会办公室在立案调查部门认定的违法事实基础上，就处罚依据、处罚种类法律适用问题进行审核。</w:t>
      </w:r>
    </w:p>
    <w:p w14:paraId="37ED0F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立案调查部门移交行政处罚委员会办公室的案件材料应当包括：</w:t>
      </w:r>
    </w:p>
    <w:p w14:paraId="1C794E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（一）立案审批表；</w:t>
      </w:r>
    </w:p>
    <w:p w14:paraId="74D33D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（二）调查（现场检查）通知等文书；</w:t>
      </w:r>
    </w:p>
    <w:p w14:paraId="66DF50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（三）案件调查报告书；</w:t>
      </w:r>
    </w:p>
    <w:p w14:paraId="202108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（四）证据、证据目录及相关说明；</w:t>
      </w:r>
    </w:p>
    <w:p w14:paraId="2E57F4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（五）当事人的反馈材料；</w:t>
      </w:r>
    </w:p>
    <w:p w14:paraId="7F47D5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w:t>
      </w:r>
      <w:proofErr w:type="gramStart"/>
      <w:r>
        <w:rPr>
          <w:rFonts w:ascii="宋体" w:eastAsia="宋体" w:hAnsi="宋体" w:cs="宋体" w:hint="eastAsia"/>
          <w:sz w:val="24"/>
        </w:rPr>
        <w:t>拟被处罚</w:t>
      </w:r>
      <w:proofErr w:type="gramEnd"/>
      <w:r>
        <w:rPr>
          <w:rFonts w:ascii="宋体" w:eastAsia="宋体" w:hAnsi="宋体" w:cs="宋体" w:hint="eastAsia"/>
          <w:sz w:val="24"/>
        </w:rPr>
        <w:t>机构负责法律文书接收工作的联系人、联系方式；</w:t>
      </w:r>
    </w:p>
    <w:p w14:paraId="01D3B7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（七）当事人送达地址确认书；</w:t>
      </w:r>
    </w:p>
    <w:p w14:paraId="323E06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（八）移交审理表；</w:t>
      </w:r>
    </w:p>
    <w:p w14:paraId="108ACD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（九）其他必要材料。</w:t>
      </w:r>
    </w:p>
    <w:p w14:paraId="37F71F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立案调查部门移交审理的案件材料应当符合下列标准：</w:t>
      </w:r>
    </w:p>
    <w:p w14:paraId="1E766F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（一）材料齐全，内容完整，装订整齐，页码连续；</w:t>
      </w:r>
    </w:p>
    <w:p w14:paraId="40931F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（二）证据目录格式规范，证据说明清晰，证据材料与违法事实内容一致；</w:t>
      </w:r>
    </w:p>
    <w:p w14:paraId="671962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（三）证据应当是原件，不能提供原件的，复制件应与原件一致。</w:t>
      </w:r>
    </w:p>
    <w:p w14:paraId="53E57D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立案调查部门对送审材料的真实性、准确性、完整性，以及执法的事实、证据、程序的合法性负责。</w:t>
      </w:r>
    </w:p>
    <w:p w14:paraId="260C9B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行政处罚委员会办公室收到立案调查部门移交的案件材料后，应当在三个工作日以内进行审查并</w:t>
      </w:r>
      <w:proofErr w:type="gramStart"/>
      <w:r>
        <w:rPr>
          <w:rFonts w:ascii="宋体" w:eastAsia="宋体" w:hAnsi="宋体" w:cs="宋体" w:hint="eastAsia"/>
          <w:sz w:val="24"/>
        </w:rPr>
        <w:t>作出</w:t>
      </w:r>
      <w:proofErr w:type="gramEnd"/>
      <w:r>
        <w:rPr>
          <w:rFonts w:ascii="宋体" w:eastAsia="宋体" w:hAnsi="宋体" w:cs="宋体" w:hint="eastAsia"/>
          <w:sz w:val="24"/>
        </w:rPr>
        <w:t>是否接收的决定。</w:t>
      </w:r>
    </w:p>
    <w:p w14:paraId="4CA320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符合规定标准的，行政处罚委员会办公室应当办理接收手续，注明案件接收日期和案卷材料等有关情况。不符合接收标准的，应当退回立案调查部门并说明理由。</w:t>
      </w:r>
    </w:p>
    <w:p w14:paraId="291DC0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第四十九条 行政处罚委员会办公室接收案件材料后，应当基于调查报告载明的违法事实和责任人员，从调查程序、处罚时效、证据采信、事实认定、行为定性、处罚种类与幅度等方面进行审理，对案件审理意见负责。</w:t>
      </w:r>
    </w:p>
    <w:p w14:paraId="756A9B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第五十条 有下列情形之一的，行政处罚委员会办公室应当请立案调查部门</w:t>
      </w:r>
      <w:r>
        <w:rPr>
          <w:rFonts w:ascii="宋体" w:eastAsia="宋体" w:hAnsi="宋体" w:cs="宋体" w:hint="eastAsia"/>
          <w:sz w:val="24"/>
        </w:rPr>
        <w:lastRenderedPageBreak/>
        <w:t>书面说明或者退回补充调查：</w:t>
      </w:r>
    </w:p>
    <w:p w14:paraId="15CA98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（一）违法事实不清的；</w:t>
      </w:r>
    </w:p>
    <w:p w14:paraId="185816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（二）证据不足或不符合要求的；</w:t>
      </w:r>
    </w:p>
    <w:p w14:paraId="0667FF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（三）责任主体认定不清的；</w:t>
      </w:r>
    </w:p>
    <w:p w14:paraId="5EC14D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（四）调查取证程序违法的；</w:t>
      </w:r>
    </w:p>
    <w:p w14:paraId="38CDDB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（五）处罚建议不明确或明显不当的。</w:t>
      </w:r>
    </w:p>
    <w:p w14:paraId="4C7B43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第五十一条 行政处罚委员会办公室应当自正式接收案件之日起九十日以内完成案件审理，形成审理报告提交行政处罚委员会审议。有特殊情况的，可以适当延长。</w:t>
      </w:r>
    </w:p>
    <w:p w14:paraId="2FE6EE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立案调查部门根据办公室意见需要补充材料的，自办公室收到完整补充材料之日起重新计算审理期限。</w:t>
      </w:r>
    </w:p>
    <w:p w14:paraId="496596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审理报告主要内容应当包括：</w:t>
      </w:r>
    </w:p>
    <w:p w14:paraId="594AC7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（一）当事人的基本情况；</w:t>
      </w:r>
    </w:p>
    <w:p w14:paraId="24D432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（二）当事人违法事实与有关人员责任认定情况；</w:t>
      </w:r>
    </w:p>
    <w:p w14:paraId="7BA8BA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w:t>
      </w:r>
      <w:proofErr w:type="gramStart"/>
      <w:r>
        <w:rPr>
          <w:rFonts w:ascii="宋体" w:eastAsia="宋体" w:hAnsi="宋体" w:cs="宋体" w:hint="eastAsia"/>
          <w:sz w:val="24"/>
        </w:rPr>
        <w:t>拟处罚</w:t>
      </w:r>
      <w:proofErr w:type="gramEnd"/>
      <w:r>
        <w:rPr>
          <w:rFonts w:ascii="宋体" w:eastAsia="宋体" w:hAnsi="宋体" w:cs="宋体" w:hint="eastAsia"/>
          <w:sz w:val="24"/>
        </w:rPr>
        <w:t>意见、理由和依据。</w:t>
      </w:r>
    </w:p>
    <w:p w14:paraId="130DDE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审理报告可以对调查报告载明的违法事实认定、行为定性、量罚依据、处罚幅度或种类等事项提出调整或者变更的意见或建议。</w:t>
      </w:r>
    </w:p>
    <w:p w14:paraId="162B3B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审议</w:t>
      </w:r>
    </w:p>
    <w:p w14:paraId="13A86C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第五十二条 行政处罚委员会审议会议应当以审理报告为基础对案件进行审议，审议的主要内容包括：</w:t>
      </w:r>
    </w:p>
    <w:p w14:paraId="3F5F77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（一）程序是否合法；</w:t>
      </w:r>
    </w:p>
    <w:p w14:paraId="4C6DE8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（二）事实是否清楚、证据是否确凿；</w:t>
      </w:r>
    </w:p>
    <w:p w14:paraId="2F8131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（三）行为定性是否准确；</w:t>
      </w:r>
    </w:p>
    <w:p w14:paraId="0A5279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（四）责任认定是否适当；</w:t>
      </w:r>
    </w:p>
    <w:p w14:paraId="19002F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（五）量</w:t>
      </w:r>
      <w:proofErr w:type="gramStart"/>
      <w:r>
        <w:rPr>
          <w:rFonts w:ascii="宋体" w:eastAsia="宋体" w:hAnsi="宋体" w:cs="宋体" w:hint="eastAsia"/>
          <w:sz w:val="24"/>
        </w:rPr>
        <w:t>罚依据</w:t>
      </w:r>
      <w:proofErr w:type="gramEnd"/>
      <w:r>
        <w:rPr>
          <w:rFonts w:ascii="宋体" w:eastAsia="宋体" w:hAnsi="宋体" w:cs="宋体" w:hint="eastAsia"/>
          <w:sz w:val="24"/>
        </w:rPr>
        <w:t>是否正确；</w:t>
      </w:r>
    </w:p>
    <w:p w14:paraId="371924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（六）处罚种类与幅度是否适当。</w:t>
      </w:r>
    </w:p>
    <w:p w14:paraId="5AA44B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第五十三条 行政处罚委员会审议会议由主任委员主持，每次参加审议会议的委员不得少于全体委员的三分之二。</w:t>
      </w:r>
    </w:p>
    <w:p w14:paraId="6BED33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第五十四条 </w:t>
      </w:r>
      <w:proofErr w:type="gramStart"/>
      <w:r>
        <w:rPr>
          <w:rFonts w:ascii="宋体" w:eastAsia="宋体" w:hAnsi="宋体" w:cs="宋体" w:hint="eastAsia"/>
          <w:sz w:val="24"/>
        </w:rPr>
        <w:t>参会委员</w:t>
      </w:r>
      <w:proofErr w:type="gramEnd"/>
      <w:r>
        <w:rPr>
          <w:rFonts w:ascii="宋体" w:eastAsia="宋体" w:hAnsi="宋体" w:cs="宋体" w:hint="eastAsia"/>
          <w:sz w:val="24"/>
        </w:rPr>
        <w:t>应当以事实为依据，以法律为准绳，坚持专业判断，发表独立、客观、公正的审议意见。</w:t>
      </w:r>
    </w:p>
    <w:p w14:paraId="05DE0F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第五十五条 行政处罚委员会审议会议采取记名投票方式，各委员对审理意见进行投票表决，全体委员超过半数同意的，按照审理意见</w:t>
      </w:r>
      <w:proofErr w:type="gramStart"/>
      <w:r>
        <w:rPr>
          <w:rFonts w:ascii="宋体" w:eastAsia="宋体" w:hAnsi="宋体" w:cs="宋体" w:hint="eastAsia"/>
          <w:sz w:val="24"/>
        </w:rPr>
        <w:t>作出</w:t>
      </w:r>
      <w:proofErr w:type="gramEnd"/>
      <w:r>
        <w:rPr>
          <w:rFonts w:ascii="宋体" w:eastAsia="宋体" w:hAnsi="宋体" w:cs="宋体" w:hint="eastAsia"/>
          <w:sz w:val="24"/>
        </w:rPr>
        <w:t>决议，会议主持人当场宣布投票结果。</w:t>
      </w:r>
    </w:p>
    <w:p w14:paraId="3315706E"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参会委员</w:t>
      </w:r>
      <w:proofErr w:type="gramEnd"/>
      <w:r>
        <w:rPr>
          <w:rFonts w:ascii="宋体" w:eastAsia="宋体" w:hAnsi="宋体" w:cs="宋体" w:hint="eastAsia"/>
          <w:sz w:val="24"/>
        </w:rPr>
        <w:t>应当积极履行职责，不得投弃权票。</w:t>
      </w:r>
    </w:p>
    <w:p w14:paraId="5886FF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第五十六条 行政处罚委员会审议案件，可以咨询与案件无利益冲突的有关法官、律师、学者或专家的专业意见。</w:t>
      </w:r>
    </w:p>
    <w:p w14:paraId="4E0206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权利告知与听证</w:t>
      </w:r>
    </w:p>
    <w:p w14:paraId="3EB24B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第五十七条 银保监会及其派出机构拟作出行政处罚决定的，应当制作行政处罚事先告知书，告知当事人拟作出行政处罚决定的事实、理由及依据，并告知当事人有权进行陈述和申辩。</w:t>
      </w:r>
    </w:p>
    <w:p w14:paraId="58F8DF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第五十八条 行政处罚事先告知书应当载明下列内容：</w:t>
      </w:r>
    </w:p>
    <w:p w14:paraId="5E9E03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w:t>
      </w:r>
      <w:proofErr w:type="gramStart"/>
      <w:r>
        <w:rPr>
          <w:rFonts w:ascii="宋体" w:eastAsia="宋体" w:hAnsi="宋体" w:cs="宋体" w:hint="eastAsia"/>
          <w:sz w:val="24"/>
        </w:rPr>
        <w:t>拟被处罚</w:t>
      </w:r>
      <w:proofErr w:type="gramEnd"/>
      <w:r>
        <w:rPr>
          <w:rFonts w:ascii="宋体" w:eastAsia="宋体" w:hAnsi="宋体" w:cs="宋体" w:hint="eastAsia"/>
          <w:sz w:val="24"/>
        </w:rPr>
        <w:t>当事人的基本情况；</w:t>
      </w:r>
    </w:p>
    <w:p w14:paraId="6F00A8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w:t>
      </w:r>
      <w:proofErr w:type="gramStart"/>
      <w:r>
        <w:rPr>
          <w:rFonts w:ascii="宋体" w:eastAsia="宋体" w:hAnsi="宋体" w:cs="宋体" w:hint="eastAsia"/>
          <w:sz w:val="24"/>
        </w:rPr>
        <w:t>拟被处罚</w:t>
      </w:r>
      <w:proofErr w:type="gramEnd"/>
      <w:r>
        <w:rPr>
          <w:rFonts w:ascii="宋体" w:eastAsia="宋体" w:hAnsi="宋体" w:cs="宋体" w:hint="eastAsia"/>
          <w:sz w:val="24"/>
        </w:rPr>
        <w:t>当事人违法事实和相关证据；</w:t>
      </w:r>
    </w:p>
    <w:p w14:paraId="07565C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（三）拟作出处罚的理由、依据；</w:t>
      </w:r>
    </w:p>
    <w:p w14:paraId="17197F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（四）拟作出处罚的种类和幅度；</w:t>
      </w:r>
    </w:p>
    <w:p w14:paraId="484715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（五）当事人享有的陈述、申辩或者听证权利；</w:t>
      </w:r>
    </w:p>
    <w:p w14:paraId="6A11FD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（六）拟作出处罚决定的机构名称、印章和日期。</w:t>
      </w:r>
    </w:p>
    <w:p w14:paraId="4F31B5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第五十九条 当事人需要陈述和申辩的，应当自收到行政处罚事先告知书之日起十个工作日以内将陈述和申辩的书面材料提交拟作出处罚的银保监会或其派出机构。当事人逾期未行使陈述权、申辩权的，视为放弃权利。</w:t>
      </w:r>
    </w:p>
    <w:p w14:paraId="4108D1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第六十条 银保监会及其派出机构拟作出以下行政处罚决定前，应当在行政处罚事先告知书中告知当事人有要求举行听证的权利：</w:t>
      </w:r>
    </w:p>
    <w:p w14:paraId="0A473A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w:t>
      </w:r>
      <w:proofErr w:type="gramStart"/>
      <w:r>
        <w:rPr>
          <w:rFonts w:ascii="宋体" w:eastAsia="宋体" w:hAnsi="宋体" w:cs="宋体" w:hint="eastAsia"/>
          <w:sz w:val="24"/>
        </w:rPr>
        <w:t>作出</w:t>
      </w:r>
      <w:proofErr w:type="gramEnd"/>
      <w:r>
        <w:rPr>
          <w:rFonts w:ascii="宋体" w:eastAsia="宋体" w:hAnsi="宋体" w:cs="宋体" w:hint="eastAsia"/>
          <w:sz w:val="24"/>
        </w:rPr>
        <w:t>较大数额的罚款；</w:t>
      </w:r>
    </w:p>
    <w:p w14:paraId="699A50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（二）没收较大数额的违法所得；</w:t>
      </w:r>
    </w:p>
    <w:p w14:paraId="6004A3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（三）限制保险业机构业务范围、责令停止接受新业务；</w:t>
      </w:r>
    </w:p>
    <w:p w14:paraId="2D137E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（四）责令停业整顿；</w:t>
      </w:r>
    </w:p>
    <w:p w14:paraId="5FEF3F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（五）吊销金融、业务许可证；</w:t>
      </w:r>
    </w:p>
    <w:p w14:paraId="786732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（六）取消、撤销任职资格；</w:t>
      </w:r>
    </w:p>
    <w:p w14:paraId="2A1051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（七）撤销外国银行代表处、撤销外国保险机构驻华代表机构或要求撤换外国银行首席代表、责令撤换外国保险机构驻华代表机构的首席代表；</w:t>
      </w:r>
    </w:p>
    <w:p w14:paraId="4F161A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（八）禁止从事银行业工作或者禁止进入保险业。</w:t>
      </w:r>
    </w:p>
    <w:p w14:paraId="1DFF4B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前款所称较大数额的罚款是指：</w:t>
      </w:r>
    </w:p>
    <w:p w14:paraId="660785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（一）银保监会对实施银行业违法行为的单位</w:t>
      </w:r>
      <w:proofErr w:type="gramStart"/>
      <w:r>
        <w:rPr>
          <w:rFonts w:ascii="宋体" w:eastAsia="宋体" w:hAnsi="宋体" w:cs="宋体" w:hint="eastAsia"/>
          <w:sz w:val="24"/>
        </w:rPr>
        <w:t>作出</w:t>
      </w:r>
      <w:proofErr w:type="gramEnd"/>
      <w:r>
        <w:rPr>
          <w:rFonts w:ascii="宋体" w:eastAsia="宋体" w:hAnsi="宋体" w:cs="宋体" w:hint="eastAsia"/>
          <w:sz w:val="24"/>
        </w:rPr>
        <w:t>的五百万元以上（不含本数，下同）罚款、对实施银行业违法行为的个人</w:t>
      </w:r>
      <w:proofErr w:type="gramStart"/>
      <w:r>
        <w:rPr>
          <w:rFonts w:ascii="宋体" w:eastAsia="宋体" w:hAnsi="宋体" w:cs="宋体" w:hint="eastAsia"/>
          <w:sz w:val="24"/>
        </w:rPr>
        <w:t>作出</w:t>
      </w:r>
      <w:proofErr w:type="gramEnd"/>
      <w:r>
        <w:rPr>
          <w:rFonts w:ascii="宋体" w:eastAsia="宋体" w:hAnsi="宋体" w:cs="宋体" w:hint="eastAsia"/>
          <w:sz w:val="24"/>
        </w:rPr>
        <w:t>的五十万元以上罚款，对实施保险业违法行为的单位</w:t>
      </w:r>
      <w:proofErr w:type="gramStart"/>
      <w:r>
        <w:rPr>
          <w:rFonts w:ascii="宋体" w:eastAsia="宋体" w:hAnsi="宋体" w:cs="宋体" w:hint="eastAsia"/>
          <w:sz w:val="24"/>
        </w:rPr>
        <w:t>作出</w:t>
      </w:r>
      <w:proofErr w:type="gramEnd"/>
      <w:r>
        <w:rPr>
          <w:rFonts w:ascii="宋体" w:eastAsia="宋体" w:hAnsi="宋体" w:cs="宋体" w:hint="eastAsia"/>
          <w:sz w:val="24"/>
        </w:rPr>
        <w:t>的一百五十万元以上罚款、对实施保险业违法行为的个人</w:t>
      </w:r>
      <w:proofErr w:type="gramStart"/>
      <w:r>
        <w:rPr>
          <w:rFonts w:ascii="宋体" w:eastAsia="宋体" w:hAnsi="宋体" w:cs="宋体" w:hint="eastAsia"/>
          <w:sz w:val="24"/>
        </w:rPr>
        <w:t>作出</w:t>
      </w:r>
      <w:proofErr w:type="gramEnd"/>
      <w:r>
        <w:rPr>
          <w:rFonts w:ascii="宋体" w:eastAsia="宋体" w:hAnsi="宋体" w:cs="宋体" w:hint="eastAsia"/>
          <w:sz w:val="24"/>
        </w:rPr>
        <w:t>的十万元以上罚款；</w:t>
      </w:r>
    </w:p>
    <w:p w14:paraId="498E66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（二）银保监局对实施银行业违法行为的单位</w:t>
      </w:r>
      <w:proofErr w:type="gramStart"/>
      <w:r>
        <w:rPr>
          <w:rFonts w:ascii="宋体" w:eastAsia="宋体" w:hAnsi="宋体" w:cs="宋体" w:hint="eastAsia"/>
          <w:sz w:val="24"/>
        </w:rPr>
        <w:t>作出</w:t>
      </w:r>
      <w:proofErr w:type="gramEnd"/>
      <w:r>
        <w:rPr>
          <w:rFonts w:ascii="宋体" w:eastAsia="宋体" w:hAnsi="宋体" w:cs="宋体" w:hint="eastAsia"/>
          <w:sz w:val="24"/>
        </w:rPr>
        <w:t>的三百万元以上罚款、对实施银行业违法行为的个人</w:t>
      </w:r>
      <w:proofErr w:type="gramStart"/>
      <w:r>
        <w:rPr>
          <w:rFonts w:ascii="宋体" w:eastAsia="宋体" w:hAnsi="宋体" w:cs="宋体" w:hint="eastAsia"/>
          <w:sz w:val="24"/>
        </w:rPr>
        <w:t>作出</w:t>
      </w:r>
      <w:proofErr w:type="gramEnd"/>
      <w:r>
        <w:rPr>
          <w:rFonts w:ascii="宋体" w:eastAsia="宋体" w:hAnsi="宋体" w:cs="宋体" w:hint="eastAsia"/>
          <w:sz w:val="24"/>
        </w:rPr>
        <w:t>的三十万元以上罚款，对实施保险业违法行为的单位</w:t>
      </w:r>
      <w:proofErr w:type="gramStart"/>
      <w:r>
        <w:rPr>
          <w:rFonts w:ascii="宋体" w:eastAsia="宋体" w:hAnsi="宋体" w:cs="宋体" w:hint="eastAsia"/>
          <w:sz w:val="24"/>
        </w:rPr>
        <w:t>作出</w:t>
      </w:r>
      <w:proofErr w:type="gramEnd"/>
      <w:r>
        <w:rPr>
          <w:rFonts w:ascii="宋体" w:eastAsia="宋体" w:hAnsi="宋体" w:cs="宋体" w:hint="eastAsia"/>
          <w:sz w:val="24"/>
        </w:rPr>
        <w:t>的五十万元以上罚款、对实施保险业违法行为的个人</w:t>
      </w:r>
      <w:proofErr w:type="gramStart"/>
      <w:r>
        <w:rPr>
          <w:rFonts w:ascii="宋体" w:eastAsia="宋体" w:hAnsi="宋体" w:cs="宋体" w:hint="eastAsia"/>
          <w:sz w:val="24"/>
        </w:rPr>
        <w:t>作出</w:t>
      </w:r>
      <w:proofErr w:type="gramEnd"/>
      <w:r>
        <w:rPr>
          <w:rFonts w:ascii="宋体" w:eastAsia="宋体" w:hAnsi="宋体" w:cs="宋体" w:hint="eastAsia"/>
          <w:sz w:val="24"/>
        </w:rPr>
        <w:t>的七万元以上罚款；</w:t>
      </w:r>
    </w:p>
    <w:p w14:paraId="76FEF5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（三）银保</w:t>
      </w:r>
      <w:proofErr w:type="gramStart"/>
      <w:r>
        <w:rPr>
          <w:rFonts w:ascii="宋体" w:eastAsia="宋体" w:hAnsi="宋体" w:cs="宋体" w:hint="eastAsia"/>
          <w:sz w:val="24"/>
        </w:rPr>
        <w:t>监分局</w:t>
      </w:r>
      <w:proofErr w:type="gramEnd"/>
      <w:r>
        <w:rPr>
          <w:rFonts w:ascii="宋体" w:eastAsia="宋体" w:hAnsi="宋体" w:cs="宋体" w:hint="eastAsia"/>
          <w:sz w:val="24"/>
        </w:rPr>
        <w:t>对实施银行业违法行为的单位</w:t>
      </w:r>
      <w:proofErr w:type="gramStart"/>
      <w:r>
        <w:rPr>
          <w:rFonts w:ascii="宋体" w:eastAsia="宋体" w:hAnsi="宋体" w:cs="宋体" w:hint="eastAsia"/>
          <w:sz w:val="24"/>
        </w:rPr>
        <w:t>作出</w:t>
      </w:r>
      <w:proofErr w:type="gramEnd"/>
      <w:r>
        <w:rPr>
          <w:rFonts w:ascii="宋体" w:eastAsia="宋体" w:hAnsi="宋体" w:cs="宋体" w:hint="eastAsia"/>
          <w:sz w:val="24"/>
        </w:rPr>
        <w:t>的一百万元以上罚款、对实施银行业违法行为的个人</w:t>
      </w:r>
      <w:proofErr w:type="gramStart"/>
      <w:r>
        <w:rPr>
          <w:rFonts w:ascii="宋体" w:eastAsia="宋体" w:hAnsi="宋体" w:cs="宋体" w:hint="eastAsia"/>
          <w:sz w:val="24"/>
        </w:rPr>
        <w:t>作出</w:t>
      </w:r>
      <w:proofErr w:type="gramEnd"/>
      <w:r>
        <w:rPr>
          <w:rFonts w:ascii="宋体" w:eastAsia="宋体" w:hAnsi="宋体" w:cs="宋体" w:hint="eastAsia"/>
          <w:sz w:val="24"/>
        </w:rPr>
        <w:t>的十万元以上罚款，对实施保险业违法行为的</w:t>
      </w:r>
      <w:r>
        <w:rPr>
          <w:rFonts w:ascii="宋体" w:eastAsia="宋体" w:hAnsi="宋体" w:cs="宋体" w:hint="eastAsia"/>
          <w:sz w:val="24"/>
        </w:rPr>
        <w:lastRenderedPageBreak/>
        <w:t>单位</w:t>
      </w:r>
      <w:proofErr w:type="gramStart"/>
      <w:r>
        <w:rPr>
          <w:rFonts w:ascii="宋体" w:eastAsia="宋体" w:hAnsi="宋体" w:cs="宋体" w:hint="eastAsia"/>
          <w:sz w:val="24"/>
        </w:rPr>
        <w:t>作出</w:t>
      </w:r>
      <w:proofErr w:type="gramEnd"/>
      <w:r>
        <w:rPr>
          <w:rFonts w:ascii="宋体" w:eastAsia="宋体" w:hAnsi="宋体" w:cs="宋体" w:hint="eastAsia"/>
          <w:sz w:val="24"/>
        </w:rPr>
        <w:t>的三十万元以上罚款、对实施保险业违法行为的个人</w:t>
      </w:r>
      <w:proofErr w:type="gramStart"/>
      <w:r>
        <w:rPr>
          <w:rFonts w:ascii="宋体" w:eastAsia="宋体" w:hAnsi="宋体" w:cs="宋体" w:hint="eastAsia"/>
          <w:sz w:val="24"/>
        </w:rPr>
        <w:t>作出</w:t>
      </w:r>
      <w:proofErr w:type="gramEnd"/>
      <w:r>
        <w:rPr>
          <w:rFonts w:ascii="宋体" w:eastAsia="宋体" w:hAnsi="宋体" w:cs="宋体" w:hint="eastAsia"/>
          <w:sz w:val="24"/>
        </w:rPr>
        <w:t>的五万元以上罚款。</w:t>
      </w:r>
    </w:p>
    <w:p w14:paraId="2E2F11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本条第一款所称没收较大数额的违法所得</w:t>
      </w:r>
      <w:proofErr w:type="gramStart"/>
      <w:r>
        <w:rPr>
          <w:rFonts w:ascii="宋体" w:eastAsia="宋体" w:hAnsi="宋体" w:cs="宋体" w:hint="eastAsia"/>
          <w:sz w:val="24"/>
        </w:rPr>
        <w:t>是指银保</w:t>
      </w:r>
      <w:proofErr w:type="gramEnd"/>
      <w:r>
        <w:rPr>
          <w:rFonts w:ascii="宋体" w:eastAsia="宋体" w:hAnsi="宋体" w:cs="宋体" w:hint="eastAsia"/>
          <w:sz w:val="24"/>
        </w:rPr>
        <w:t>监会</w:t>
      </w:r>
      <w:proofErr w:type="gramStart"/>
      <w:r>
        <w:rPr>
          <w:rFonts w:ascii="宋体" w:eastAsia="宋体" w:hAnsi="宋体" w:cs="宋体" w:hint="eastAsia"/>
          <w:sz w:val="24"/>
        </w:rPr>
        <w:t>作出</w:t>
      </w:r>
      <w:proofErr w:type="gramEnd"/>
      <w:r>
        <w:rPr>
          <w:rFonts w:ascii="宋体" w:eastAsia="宋体" w:hAnsi="宋体" w:cs="宋体" w:hint="eastAsia"/>
          <w:sz w:val="24"/>
        </w:rPr>
        <w:t>的没收五百万元以上违法所得，银保监局</w:t>
      </w:r>
      <w:proofErr w:type="gramStart"/>
      <w:r>
        <w:rPr>
          <w:rFonts w:ascii="宋体" w:eastAsia="宋体" w:hAnsi="宋体" w:cs="宋体" w:hint="eastAsia"/>
          <w:sz w:val="24"/>
        </w:rPr>
        <w:t>作出</w:t>
      </w:r>
      <w:proofErr w:type="gramEnd"/>
      <w:r>
        <w:rPr>
          <w:rFonts w:ascii="宋体" w:eastAsia="宋体" w:hAnsi="宋体" w:cs="宋体" w:hint="eastAsia"/>
          <w:sz w:val="24"/>
        </w:rPr>
        <w:t>的没收一百万元以上违法所得，银保监分局</w:t>
      </w:r>
      <w:proofErr w:type="gramStart"/>
      <w:r>
        <w:rPr>
          <w:rFonts w:ascii="宋体" w:eastAsia="宋体" w:hAnsi="宋体" w:cs="宋体" w:hint="eastAsia"/>
          <w:sz w:val="24"/>
        </w:rPr>
        <w:t>作出</w:t>
      </w:r>
      <w:proofErr w:type="gramEnd"/>
      <w:r>
        <w:rPr>
          <w:rFonts w:ascii="宋体" w:eastAsia="宋体" w:hAnsi="宋体" w:cs="宋体" w:hint="eastAsia"/>
          <w:sz w:val="24"/>
        </w:rPr>
        <w:t>的没收五十万元以上违法所得。</w:t>
      </w:r>
    </w:p>
    <w:p w14:paraId="5EB1A1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第六十一条 当事人申请听证的，应当自收到行政处罚事先告知书之日起五个工作日以内，向银保监会或其派出机构提交经本人签字或盖章的听证申请书。听证申请书中应当载明下列内容：</w:t>
      </w:r>
    </w:p>
    <w:p w14:paraId="5F900B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（一）申请人的基本情况；</w:t>
      </w:r>
    </w:p>
    <w:p w14:paraId="3413F1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（二）具体的听证请求；</w:t>
      </w:r>
    </w:p>
    <w:p w14:paraId="7C1540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（三）申请听证的主要事实、理由和证据；</w:t>
      </w:r>
    </w:p>
    <w:p w14:paraId="565352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（四）申请日期和申请人签章。</w:t>
      </w:r>
    </w:p>
    <w:p w14:paraId="559A92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当事人逾期不提出申请的，视为放弃听证权利。</w:t>
      </w:r>
    </w:p>
    <w:p w14:paraId="25F8D0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当事人对违法事实有异议的，应当在提起听证申请时提交相关证据材料。</w:t>
      </w:r>
    </w:p>
    <w:p w14:paraId="55699B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第六十二条 银保监会或者派出机构收到听证申请后，应依法进行审查，符合听证条件的，应当组织举行听证，并在举行听证七个工作日前，书面通知当事人举行听证的时间、地点。</w:t>
      </w:r>
    </w:p>
    <w:p w14:paraId="4F7FF2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第六十三条 行政处罚委员会办公室可以成立至少由三人组成的听证组进行听证。其中，听证主持人由行政处罚委员会办公室主任或其指定的人员担任，听证组其他成员由行政处罚委员会办公室的工作人员或者其他相关人员担任。</w:t>
      </w:r>
    </w:p>
    <w:p w14:paraId="7A8D4A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听证组应当指定专人作为记录员。</w:t>
      </w:r>
    </w:p>
    <w:p w14:paraId="1963D2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第六十四条 听证主持人履行下列职责：</w:t>
      </w:r>
    </w:p>
    <w:p w14:paraId="25905C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（一）主持听证会，维持听证秩序；</w:t>
      </w:r>
    </w:p>
    <w:p w14:paraId="2E4459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（二）询问听证参加人；</w:t>
      </w:r>
    </w:p>
    <w:p w14:paraId="0F2651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（三）决定听证的延期、中止或终止；</w:t>
      </w:r>
    </w:p>
    <w:p w14:paraId="4C0CE0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（四）法律、行政法规和规章赋予的其他职权。</w:t>
      </w:r>
    </w:p>
    <w:p w14:paraId="250724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第六十五条 当事人在听证中享有下列权利：</w:t>
      </w:r>
    </w:p>
    <w:p w14:paraId="1E1E72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（一）使用本民族的语言文字参加听证；</w:t>
      </w:r>
    </w:p>
    <w:p w14:paraId="1128E7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（二）申请不公开听证；</w:t>
      </w:r>
    </w:p>
    <w:p w14:paraId="6958CA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（三）申请回避；</w:t>
      </w:r>
    </w:p>
    <w:p w14:paraId="0E4DFE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（四）参加听证或者委托代理人参加听证；</w:t>
      </w:r>
    </w:p>
    <w:p w14:paraId="611E7B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（五）就听证事项进行陈述、申辩和举证、质证；</w:t>
      </w:r>
    </w:p>
    <w:p w14:paraId="697CFF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（六）听证结束前进行最后陈述；</w:t>
      </w:r>
    </w:p>
    <w:p w14:paraId="7B5D4B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（七）核对听证笔录；</w:t>
      </w:r>
    </w:p>
    <w:p w14:paraId="451821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（八）依法享有的其他权利。</w:t>
      </w:r>
    </w:p>
    <w:p w14:paraId="49CE11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第六十六条 当事人和其他听证参加人应当承担下列义务：</w:t>
      </w:r>
    </w:p>
    <w:p w14:paraId="01802F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（一）按时参加听证；</w:t>
      </w:r>
    </w:p>
    <w:p w14:paraId="2DBCB9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（二）依法举证和质证；</w:t>
      </w:r>
    </w:p>
    <w:p w14:paraId="3C1C82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（三）如实陈述和回答询问；</w:t>
      </w:r>
    </w:p>
    <w:p w14:paraId="2CBA01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（四）遵守听证纪律；</w:t>
      </w:r>
    </w:p>
    <w:p w14:paraId="76E004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（五）在核对无误的听证笔录上签名或盖章。</w:t>
      </w:r>
    </w:p>
    <w:p w14:paraId="0B2C83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第六十七条 当事人可以委托一至二名代理人参加听证。</w:t>
      </w:r>
    </w:p>
    <w:p w14:paraId="45C64F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第六十八条 代理人参加听证的，应当提交授权委托书、委托人及代理人身份证明等相关材料。授权委托书应当载明如下事项：</w:t>
      </w:r>
    </w:p>
    <w:p w14:paraId="63DF5F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（一）委托人及其代理人的基本情况；</w:t>
      </w:r>
    </w:p>
    <w:p w14:paraId="0B6469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（二）代理人的代理权限；</w:t>
      </w:r>
    </w:p>
    <w:p w14:paraId="263D72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（三）委托日期及委托人签章。</w:t>
      </w:r>
    </w:p>
    <w:p w14:paraId="1E6A6C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第六十九条 调查人员应当参加听证，提出当事人违法的事实、证据和行政处罚建议，并进行质证。</w:t>
      </w:r>
    </w:p>
    <w:p w14:paraId="73C7D9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第七十条 需要证人、鉴定人、勘验人、翻译人员等参加听证的，调查人员、当事人应当提出申请，并提供相关人员的基本情况。经听证主持人同意的，方可参加听证。</w:t>
      </w:r>
    </w:p>
    <w:p w14:paraId="54F0B0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证人、鉴定人、勘验人不能亲自到场作证的，调查人员、当事人或其代理人可以提交相关书面材料，并当场宣读。</w:t>
      </w:r>
    </w:p>
    <w:p w14:paraId="30A9B8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第七十一条 听证应当公开举行，但涉及国家秘密、商业秘密、个人隐私或影响金融稳定的除外。听证不公开举行的，应当由银保监会及其派出机构行政处罚委员会主任委员决定。</w:t>
      </w:r>
    </w:p>
    <w:p w14:paraId="7A0B3D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第七十二条 听证公开举行的，银保监会或者派出机构应当通过张贴纸质公告、网上公示等适当方式先期公告当事人姓名或者名称、案由、听证时间和地点。</w:t>
      </w:r>
    </w:p>
    <w:p w14:paraId="1C362B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公民、法人或者非法人组织可以申请参加旁听公开举行的听证；银保监会或其派出机构可以根据场地等条件，确定旁听人数。</w:t>
      </w:r>
    </w:p>
    <w:p w14:paraId="652363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第七十三条 听证开始前，记录员应当查明听证当事人和其他听证参加人是否到场，并宣布听证纪律。</w:t>
      </w:r>
    </w:p>
    <w:p w14:paraId="199D72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对违反听证纪律的，听证主持人有权予以制止；情节严重的，责令其退场。</w:t>
      </w:r>
    </w:p>
    <w:p w14:paraId="4837B5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第七十四条 听证应当按照下列程序进行：</w:t>
      </w:r>
    </w:p>
    <w:p w14:paraId="1C3A66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（一）听证主持人宣布听证开始，宣布案由；</w:t>
      </w:r>
    </w:p>
    <w:p w14:paraId="0775AB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（二）听证主持人核对听证参加人身份，宣布听证主持人、听证组成员、听证记录员名单，告知听证参加人在听证中的权利义务，询问当事人是否申请回避；</w:t>
      </w:r>
    </w:p>
    <w:p w14:paraId="483273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（三）案件调查人员陈述当事人违法的事实、证据、行政处罚的依据和建议等；</w:t>
      </w:r>
    </w:p>
    <w:p w14:paraId="528A46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（四）当事人及其代理人就调查人员提出的违法事实、证据、行政处罚的依</w:t>
      </w:r>
      <w:r>
        <w:rPr>
          <w:rFonts w:ascii="宋体" w:eastAsia="宋体" w:hAnsi="宋体" w:cs="宋体" w:hint="eastAsia"/>
          <w:sz w:val="24"/>
        </w:rPr>
        <w:lastRenderedPageBreak/>
        <w:t>据和建议进行申辩，并可以出示无违法事实、违法事实较轻或者减轻、免除行政处罚的证据材料；</w:t>
      </w:r>
    </w:p>
    <w:p w14:paraId="1DBD59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（五）经听证主持人允许，案件调查人员和当事人可以就有关证据相互质证，也可以向到场的证人、鉴定人、勘验人发问；</w:t>
      </w:r>
    </w:p>
    <w:p w14:paraId="0416FF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（六）当事人、案件调查人员作最后陈述；</w:t>
      </w:r>
    </w:p>
    <w:p w14:paraId="0146D5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（七）听证主持人宣布听证结束。</w:t>
      </w:r>
    </w:p>
    <w:p w14:paraId="15813B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第七十五条 记录员应当制作听证笔录，听证笔录当场完成的，应当交由当事人核对；当事人核对无误后，应当逐页签名或盖章。</w:t>
      </w:r>
    </w:p>
    <w:p w14:paraId="19C601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当事人认为听证笔录有差错、遗漏的，可以当场更正或补充；听证笔录不能当场完成的，听证主持人应指定日期和场所核对。</w:t>
      </w:r>
    </w:p>
    <w:p w14:paraId="5C2937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当事人拒绝在听证笔录上签名或盖章的，记录员应当在听证笔录中注明，并由听证主持人签名确认。</w:t>
      </w:r>
    </w:p>
    <w:p w14:paraId="344867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第七十六条 出现下列情形的，可以延期或者中止举行听证：</w:t>
      </w:r>
    </w:p>
    <w:p w14:paraId="58B993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（一）当事人或其代理人因不可抗拒的事由无法参加听证的；</w:t>
      </w:r>
    </w:p>
    <w:p w14:paraId="626F56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（二）当事人或其代理人在听证会上提出回避申请的；</w:t>
      </w:r>
    </w:p>
    <w:p w14:paraId="644B0E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（三）需要通知新的证人到场，调取新的证据，需要重新鉴定、调查，需要补充调查的；</w:t>
      </w:r>
    </w:p>
    <w:p w14:paraId="2E74C6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（四）其他应当延期或者中止听证的情形。</w:t>
      </w:r>
    </w:p>
    <w:p w14:paraId="50E4C6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第七十七条 延期、中止听证的情形消失后，应当恢复听证，并将听证的时间、地点通知听证参加人。</w:t>
      </w:r>
    </w:p>
    <w:p w14:paraId="73B167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第七十八条 出现下列情形之一的，应当终止听证：</w:t>
      </w:r>
    </w:p>
    <w:p w14:paraId="77DB1E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（一）当事人撤回听证要求的；</w:t>
      </w:r>
    </w:p>
    <w:p w14:paraId="2C2D8E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（二）当事人无正当理由不参加听证，或者未经听证主持人允许中途退场的；</w:t>
      </w:r>
    </w:p>
    <w:p w14:paraId="6AC976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（三）其他应当终止听证的情形。</w:t>
      </w:r>
    </w:p>
    <w:p w14:paraId="4DCEFD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当事人撤回听证要求的，听证记录员应当在听证笔录上记明，并由当事人签名或者盖章。</w:t>
      </w:r>
    </w:p>
    <w:p w14:paraId="18E282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第七十九条 银保监会及其派出机构应当对当事人陈述、申辩或者听证意见进行研究。需要补充调查的，进行补充调查。</w:t>
      </w:r>
    </w:p>
    <w:p w14:paraId="44B979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第八十条 采纳当事人陈述、申辩或者听证意见，对</w:t>
      </w:r>
      <w:proofErr w:type="gramStart"/>
      <w:r>
        <w:rPr>
          <w:rFonts w:ascii="宋体" w:eastAsia="宋体" w:hAnsi="宋体" w:cs="宋体" w:hint="eastAsia"/>
          <w:sz w:val="24"/>
        </w:rPr>
        <w:t>拟处罚</w:t>
      </w:r>
      <w:proofErr w:type="gramEnd"/>
      <w:r>
        <w:rPr>
          <w:rFonts w:ascii="宋体" w:eastAsia="宋体" w:hAnsi="宋体" w:cs="宋体" w:hint="eastAsia"/>
          <w:sz w:val="24"/>
        </w:rPr>
        <w:t>决定</w:t>
      </w:r>
      <w:proofErr w:type="gramStart"/>
      <w:r>
        <w:rPr>
          <w:rFonts w:ascii="宋体" w:eastAsia="宋体" w:hAnsi="宋体" w:cs="宋体" w:hint="eastAsia"/>
          <w:sz w:val="24"/>
        </w:rPr>
        <w:t>作出</w:t>
      </w:r>
      <w:proofErr w:type="gramEnd"/>
      <w:r>
        <w:rPr>
          <w:rFonts w:ascii="宋体" w:eastAsia="宋体" w:hAnsi="宋体" w:cs="宋体" w:hint="eastAsia"/>
          <w:sz w:val="24"/>
        </w:rPr>
        <w:t>重大调整的，应当重新对当事人进行行政处罚事先告知。</w:t>
      </w:r>
    </w:p>
    <w:p w14:paraId="1A83AE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第八章 决定与执行</w:t>
      </w:r>
    </w:p>
    <w:p w14:paraId="48BA1C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第八十一条 银保监会及其派出机构应当根据案件审理审议情况和当事人陈述、申辩情况，以及听证情况拟定行政处罚决定书。</w:t>
      </w:r>
    </w:p>
    <w:p w14:paraId="26F618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第八十二条 行政处罚决定书应当载明下列内容：</w:t>
      </w:r>
    </w:p>
    <w:p w14:paraId="4A18DD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（一）当事人的基本情况；</w:t>
      </w:r>
    </w:p>
    <w:p w14:paraId="370394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（二）违法事实和相关证据；</w:t>
      </w:r>
    </w:p>
    <w:p w14:paraId="1F6A24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（三）处罚的依据、种类、幅度；</w:t>
      </w:r>
    </w:p>
    <w:p w14:paraId="45F41E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（四）处罚的履行方式和期限；</w:t>
      </w:r>
    </w:p>
    <w:p w14:paraId="414A4E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（五）申请行政复议或者提起行政诉讼的途径和期限；</w:t>
      </w:r>
    </w:p>
    <w:p w14:paraId="5AB0B6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w:t>
      </w:r>
      <w:proofErr w:type="gramStart"/>
      <w:r>
        <w:rPr>
          <w:rFonts w:ascii="宋体" w:eastAsia="宋体" w:hAnsi="宋体" w:cs="宋体" w:hint="eastAsia"/>
          <w:sz w:val="24"/>
        </w:rPr>
        <w:t>作出</w:t>
      </w:r>
      <w:proofErr w:type="gramEnd"/>
      <w:r>
        <w:rPr>
          <w:rFonts w:ascii="宋体" w:eastAsia="宋体" w:hAnsi="宋体" w:cs="宋体" w:hint="eastAsia"/>
          <w:sz w:val="24"/>
        </w:rPr>
        <w:t>处罚决定的机构名称、印章和日期。</w:t>
      </w:r>
    </w:p>
    <w:p w14:paraId="48521D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第八十三条 银保监会及其派出机构送达行政处罚决定书等行政处罚法律文书时，应当</w:t>
      </w:r>
      <w:proofErr w:type="gramStart"/>
      <w:r>
        <w:rPr>
          <w:rFonts w:ascii="宋体" w:eastAsia="宋体" w:hAnsi="宋体" w:cs="宋体" w:hint="eastAsia"/>
          <w:sz w:val="24"/>
        </w:rPr>
        <w:t>附送达</w:t>
      </w:r>
      <w:proofErr w:type="gramEnd"/>
      <w:r>
        <w:rPr>
          <w:rFonts w:ascii="宋体" w:eastAsia="宋体" w:hAnsi="宋体" w:cs="宋体" w:hint="eastAsia"/>
          <w:sz w:val="24"/>
        </w:rPr>
        <w:t>回证，由受送达人在送达回证上记明收到日期，并签名或者盖章。</w:t>
      </w:r>
    </w:p>
    <w:p w14:paraId="112F80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受送达人被羁押、留置的，可以通过采取相关措施的机关转交行政处罚法律文书，确保行政处罚程序正常进行。</w:t>
      </w:r>
    </w:p>
    <w:p w14:paraId="666D70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送达的具体程序本办法没有规定的，参照民事诉讼法的有关规定执行。</w:t>
      </w:r>
    </w:p>
    <w:p w14:paraId="0F7056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第八十四条 行政处罚决定</w:t>
      </w:r>
      <w:proofErr w:type="gramStart"/>
      <w:r>
        <w:rPr>
          <w:rFonts w:ascii="宋体" w:eastAsia="宋体" w:hAnsi="宋体" w:cs="宋体" w:hint="eastAsia"/>
          <w:sz w:val="24"/>
        </w:rPr>
        <w:t>作出</w:t>
      </w:r>
      <w:proofErr w:type="gramEnd"/>
      <w:r>
        <w:rPr>
          <w:rFonts w:ascii="宋体" w:eastAsia="宋体" w:hAnsi="宋体" w:cs="宋体" w:hint="eastAsia"/>
          <w:sz w:val="24"/>
        </w:rPr>
        <w:t>后，应当报送相应纪检监察部门，并按要求将相关责任人被处罚情况通报有关组织部门。涉及罚款或者没收违法所得的，同</w:t>
      </w:r>
      <w:r>
        <w:rPr>
          <w:rFonts w:ascii="宋体" w:eastAsia="宋体" w:hAnsi="宋体" w:cs="宋体" w:hint="eastAsia"/>
          <w:sz w:val="24"/>
        </w:rPr>
        <w:lastRenderedPageBreak/>
        <w:t>时将行政处罚决定抄送财会部门。</w:t>
      </w:r>
    </w:p>
    <w:p w14:paraId="63C472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第八十五条 </w:t>
      </w:r>
      <w:proofErr w:type="gramStart"/>
      <w:r>
        <w:rPr>
          <w:rFonts w:ascii="宋体" w:eastAsia="宋体" w:hAnsi="宋体" w:cs="宋体" w:hint="eastAsia"/>
          <w:sz w:val="24"/>
        </w:rPr>
        <w:t>作出</w:t>
      </w:r>
      <w:proofErr w:type="gramEnd"/>
      <w:r>
        <w:rPr>
          <w:rFonts w:ascii="宋体" w:eastAsia="宋体" w:hAnsi="宋体" w:cs="宋体" w:hint="eastAsia"/>
          <w:sz w:val="24"/>
        </w:rPr>
        <w:t>取消、撤销相关责任人员任职资格处罚的，应当将行政处罚决定书抄送核准其任职资格的监督管理机构和其所属的银行保险机构。</w:t>
      </w:r>
    </w:p>
    <w:p w14:paraId="027904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第八十六条 </w:t>
      </w:r>
      <w:proofErr w:type="gramStart"/>
      <w:r>
        <w:rPr>
          <w:rFonts w:ascii="宋体" w:eastAsia="宋体" w:hAnsi="宋体" w:cs="宋体" w:hint="eastAsia"/>
          <w:sz w:val="24"/>
        </w:rPr>
        <w:t>作出</w:t>
      </w:r>
      <w:proofErr w:type="gramEnd"/>
      <w:r>
        <w:rPr>
          <w:rFonts w:ascii="宋体" w:eastAsia="宋体" w:hAnsi="宋体" w:cs="宋体" w:hint="eastAsia"/>
          <w:sz w:val="24"/>
        </w:rPr>
        <w:t>禁止从事银行业工作或者禁止进入保险业处罚的，应当将行政处罚决定书抄送被处罚责任人所属的银行保险机构。</w:t>
      </w:r>
    </w:p>
    <w:p w14:paraId="77BAE4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第八十七条 银保监会及其派出机构</w:t>
      </w:r>
      <w:proofErr w:type="gramStart"/>
      <w:r>
        <w:rPr>
          <w:rFonts w:ascii="宋体" w:eastAsia="宋体" w:hAnsi="宋体" w:cs="宋体" w:hint="eastAsia"/>
          <w:sz w:val="24"/>
        </w:rPr>
        <w:t>作出</w:t>
      </w:r>
      <w:proofErr w:type="gramEnd"/>
      <w:r>
        <w:rPr>
          <w:rFonts w:ascii="宋体" w:eastAsia="宋体" w:hAnsi="宋体" w:cs="宋体" w:hint="eastAsia"/>
          <w:sz w:val="24"/>
        </w:rPr>
        <w:t>的罚款、没收违法所得行政处罚决定，当事人应当自收到行政处罚决定书之日起十五日以内缴款。银保监会及其派出机构和执法人员不得自行收缴罚款。</w:t>
      </w:r>
    </w:p>
    <w:p w14:paraId="57E19D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第八十八条 银保监会及其派出机构</w:t>
      </w:r>
      <w:proofErr w:type="gramStart"/>
      <w:r>
        <w:rPr>
          <w:rFonts w:ascii="宋体" w:eastAsia="宋体" w:hAnsi="宋体" w:cs="宋体" w:hint="eastAsia"/>
          <w:sz w:val="24"/>
        </w:rPr>
        <w:t>作出</w:t>
      </w:r>
      <w:proofErr w:type="gramEnd"/>
      <w:r>
        <w:rPr>
          <w:rFonts w:ascii="宋体" w:eastAsia="宋体" w:hAnsi="宋体" w:cs="宋体" w:hint="eastAsia"/>
          <w:sz w:val="24"/>
        </w:rPr>
        <w:t>停业整顿或者吊销金融、业务许可证行政处罚的，应当在银保监会官方网站或具有较大影响力的全国性媒体上公告，公告内容包括：</w:t>
      </w:r>
    </w:p>
    <w:p w14:paraId="0551EA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（一）银行保险机构的名称、地址；</w:t>
      </w:r>
    </w:p>
    <w:p w14:paraId="3295DD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（二）行政处罚决定、理由和法律依据；</w:t>
      </w:r>
    </w:p>
    <w:p w14:paraId="3A4EBA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（三）其他需要公告的事项。</w:t>
      </w:r>
    </w:p>
    <w:p w14:paraId="794C2A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第八十九条 立案调查部门负责行政处罚决定的监督执行。</w:t>
      </w:r>
    </w:p>
    <w:p w14:paraId="7A0FF6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第九十条 当事人确有经济困难，需要延期或者分期缴纳罚款的，经当事人申请，由分管立案调查部门的负责人批准，可以暂缓或者分期缴纳。</w:t>
      </w:r>
    </w:p>
    <w:p w14:paraId="5174C5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第九十一条 当事人逾期不履行行政处罚决定的，</w:t>
      </w:r>
      <w:proofErr w:type="gramStart"/>
      <w:r>
        <w:rPr>
          <w:rFonts w:ascii="宋体" w:eastAsia="宋体" w:hAnsi="宋体" w:cs="宋体" w:hint="eastAsia"/>
          <w:sz w:val="24"/>
        </w:rPr>
        <w:t>作出</w:t>
      </w:r>
      <w:proofErr w:type="gramEnd"/>
      <w:r>
        <w:rPr>
          <w:rFonts w:ascii="宋体" w:eastAsia="宋体" w:hAnsi="宋体" w:cs="宋体" w:hint="eastAsia"/>
          <w:sz w:val="24"/>
        </w:rPr>
        <w:t>行政处罚决定的机构可以采取下列措施：</w:t>
      </w:r>
    </w:p>
    <w:p w14:paraId="07BCDE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（一）到期不缴纳罚款的，每日按照罚款数额的百分之三加处罚款；</w:t>
      </w:r>
    </w:p>
    <w:p w14:paraId="73A769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（二）经依法催告后当事人仍未履行义务的，申请人民法院强制执行；</w:t>
      </w:r>
    </w:p>
    <w:p w14:paraId="7884B0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（三）法律、行政法规规定的其他措施。</w:t>
      </w:r>
    </w:p>
    <w:p w14:paraId="15833E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加处罚款的数额不得超出罚款数额。</w:t>
      </w:r>
    </w:p>
    <w:p w14:paraId="670ED5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第九十二条 行政处罚案件材料应当按照有关法律法规和档案管理规定归档</w:t>
      </w:r>
      <w:r>
        <w:rPr>
          <w:rFonts w:ascii="宋体" w:eastAsia="宋体" w:hAnsi="宋体" w:cs="宋体" w:hint="eastAsia"/>
          <w:sz w:val="24"/>
        </w:rPr>
        <w:lastRenderedPageBreak/>
        <w:t>保存。</w:t>
      </w:r>
    </w:p>
    <w:p w14:paraId="3F2E45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第九十三条 银保监会及其派出机构应当按照规定在官方网站上公开行政处罚有关信息。</w:t>
      </w:r>
    </w:p>
    <w:p w14:paraId="6D372D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第九十四条 当事人对行政处罚决定不服的，可以在收到行政处罚决定书之日起六十日以内申请行政复议，也可以在收到行政处罚决定书之日起六个月以内直接向有管辖权的人民法院提起行政诉讼。</w:t>
      </w:r>
    </w:p>
    <w:p w14:paraId="78DC0A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行政处罚委员会审议并</w:t>
      </w:r>
      <w:proofErr w:type="gramStart"/>
      <w:r>
        <w:rPr>
          <w:rFonts w:ascii="宋体" w:eastAsia="宋体" w:hAnsi="宋体" w:cs="宋体" w:hint="eastAsia"/>
          <w:sz w:val="24"/>
        </w:rPr>
        <w:t>作出</w:t>
      </w:r>
      <w:proofErr w:type="gramEnd"/>
      <w:r>
        <w:rPr>
          <w:rFonts w:ascii="宋体" w:eastAsia="宋体" w:hAnsi="宋体" w:cs="宋体" w:hint="eastAsia"/>
          <w:sz w:val="24"/>
        </w:rPr>
        <w:t>处罚决定的案件，当事人申请行政复议或者提起行政诉讼的，法律部门应当做好复议答辩和应诉工作，立案调查部门予以配合。</w:t>
      </w:r>
    </w:p>
    <w:p w14:paraId="2C97A0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无需移送行政处罚委员会的案件，当事人申请行政复议或者提起行政诉讼的，立案调查部门应当做好复议答辩和应诉工作，法律部门予以配合。</w:t>
      </w:r>
    </w:p>
    <w:p w14:paraId="4FE9F8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第九章 法律责任</w:t>
      </w:r>
    </w:p>
    <w:p w14:paraId="5DF232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第九十五条 对于滥用职权、徇私舞弊、玩忽职守、擅自改变行政处罚决定种类和幅度等严重违反行政处罚工作纪律的人员，依法给予行政处分；涉嫌犯罪的，依法移送纪检监察机关处理。</w:t>
      </w:r>
    </w:p>
    <w:p w14:paraId="2F794F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第九十六条 银保监会及其派出机构违法实施行政处罚给当事人造成损害的，应当依法予以赔偿。对有关责任人员应当依法给予行政处分；涉嫌犯罪的，依法移送纪检监察机关处理。</w:t>
      </w:r>
    </w:p>
    <w:p w14:paraId="5BD9F7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第九十七条 银保监会及其派出机构工作人员在行政处罚过程中，利用职务便利索取或者收受他人财物、收缴罚款据为己有的，依法给予行政处分；涉嫌犯罪的，依法移送纪检监察机关处理。</w:t>
      </w:r>
    </w:p>
    <w:p w14:paraId="53FB53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第十章 附则</w:t>
      </w:r>
    </w:p>
    <w:p w14:paraId="6BC745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第九十八条 银保监会及其派出机构应当为行政处罚工作提供必要的人力资源与财务经费保障。</w:t>
      </w:r>
    </w:p>
    <w:p w14:paraId="56BD99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第九十九条 银保监会建立行政处罚信息管理系统，加强行政处罚统计分析工作。</w:t>
      </w:r>
    </w:p>
    <w:p w14:paraId="42B274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银保监会及其派出机构应当按照规定及时将行政处罚决定书等有关行政处罚信息录入行政处罚信息管理系统。必要时可向有关部门和机构披露银行保险机构和从业人员的处罚情况。</w:t>
      </w:r>
    </w:p>
    <w:p w14:paraId="533051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第一百条 本办法所称银行业机构，是指依法设立的商业银行、农村合作银行、农村信用社、村镇银行等吸收公众存款的金融机构和政策性银行，金融资产管理公司、信托公司、企业集团财务公司、金融租赁公司、汽车金融公司、消费金融公司，</w:t>
      </w:r>
      <w:proofErr w:type="gramStart"/>
      <w:r>
        <w:rPr>
          <w:rFonts w:ascii="宋体" w:eastAsia="宋体" w:hAnsi="宋体" w:cs="宋体" w:hint="eastAsia"/>
          <w:sz w:val="24"/>
        </w:rPr>
        <w:t>以及经银保</w:t>
      </w:r>
      <w:proofErr w:type="gramEnd"/>
      <w:r>
        <w:rPr>
          <w:rFonts w:ascii="宋体" w:eastAsia="宋体" w:hAnsi="宋体" w:cs="宋体" w:hint="eastAsia"/>
          <w:sz w:val="24"/>
        </w:rPr>
        <w:t>监会及其派出机构批准设立的其他银行业机构。</w:t>
      </w:r>
    </w:p>
    <w:p w14:paraId="7FC68E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本办法所称保险业机构，是指依法设立的保险集团（控股）公司、保险公司、保险资产管理公司、保险代理机构、保险经纪机构、保险公估机构、外国保险机构驻华代表机构，</w:t>
      </w:r>
      <w:proofErr w:type="gramStart"/>
      <w:r>
        <w:rPr>
          <w:rFonts w:ascii="宋体" w:eastAsia="宋体" w:hAnsi="宋体" w:cs="宋体" w:hint="eastAsia"/>
          <w:sz w:val="24"/>
        </w:rPr>
        <w:t>以及经银保</w:t>
      </w:r>
      <w:proofErr w:type="gramEnd"/>
      <w:r>
        <w:rPr>
          <w:rFonts w:ascii="宋体" w:eastAsia="宋体" w:hAnsi="宋体" w:cs="宋体" w:hint="eastAsia"/>
          <w:sz w:val="24"/>
        </w:rPr>
        <w:t>监会及其派出机构批准设立的其他保险业机构。</w:t>
      </w:r>
    </w:p>
    <w:p w14:paraId="7F6364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第一百零一条 本办法所称“以内”</w:t>
      </w:r>
      <w:proofErr w:type="gramStart"/>
      <w:r>
        <w:rPr>
          <w:rFonts w:ascii="宋体" w:eastAsia="宋体" w:hAnsi="宋体" w:cs="宋体" w:hint="eastAsia"/>
          <w:sz w:val="24"/>
        </w:rPr>
        <w:t>皆包括</w:t>
      </w:r>
      <w:proofErr w:type="gramEnd"/>
      <w:r>
        <w:rPr>
          <w:rFonts w:ascii="宋体" w:eastAsia="宋体" w:hAnsi="宋体" w:cs="宋体" w:hint="eastAsia"/>
          <w:sz w:val="24"/>
        </w:rPr>
        <w:t>本数或者本级。</w:t>
      </w:r>
    </w:p>
    <w:p w14:paraId="23261A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第一百零二条 执行本办法所需要的法律文书式样，由银保监会制定。银保监会没有制定式样，执法工作中需要的其他法律文书，银保监局可以制定式样。</w:t>
      </w:r>
    </w:p>
    <w:p w14:paraId="07D16D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第一百零三条 本办法由银保监会负责解释。</w:t>
      </w:r>
    </w:p>
    <w:p w14:paraId="086FB690"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第一百零四条 本办法自2020年8月1日起施行，《中国银监会行政处罚办法》（中国银监会令2015年第8号）、《中国保险监督管理委员会行政处罚程序规定》（中国保监会令2017年第1号）同时废止。</w:t>
      </w:r>
      <w:r>
        <w:rPr>
          <w:rFonts w:ascii="宋体" w:eastAsia="宋体" w:hAnsi="宋体" w:cs="宋体" w:hint="eastAsia"/>
          <w:sz w:val="24"/>
        </w:rPr>
        <w:tab/>
      </w:r>
    </w:p>
    <w:p w14:paraId="40BB638A"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31.《银行保险机构应对突发事件金融服务管理办法》</w:t>
      </w:r>
    </w:p>
    <w:p w14:paraId="6FE68B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发文机构：中国银行保险监督管理委员会（已撤销）</w:t>
      </w:r>
      <w:r>
        <w:rPr>
          <w:rFonts w:ascii="宋体" w:eastAsia="宋体" w:hAnsi="宋体" w:cs="宋体" w:hint="eastAsia"/>
          <w:sz w:val="24"/>
        </w:rPr>
        <w:tab/>
      </w:r>
    </w:p>
    <w:p w14:paraId="7A9331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文号：中国银行保险监督管理委员会令2020年第10号</w:t>
      </w:r>
      <w:r>
        <w:rPr>
          <w:rFonts w:ascii="宋体" w:eastAsia="宋体" w:hAnsi="宋体" w:cs="宋体" w:hint="eastAsia"/>
          <w:sz w:val="24"/>
        </w:rPr>
        <w:tab/>
      </w:r>
    </w:p>
    <w:p w14:paraId="7BE8A2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26B051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规范银行保险机构应对突发事件的经营活动和金融服务，保护客户的合法权利，增强监管工作的针对性，维护银行业保险业安全稳健运行，根据《中华人民共和国银行业监督管理法》《中华人民共和国商业银行法》《中华人民共和国保险法》《中华人民共和国突发事件应对法》等相关法律法规，制定本办法。</w:t>
      </w:r>
    </w:p>
    <w:p w14:paraId="5532FB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本办法所称突发事件，是指符合《中华人民共和国突发事件应对法》规定的，突然发生，造成或者可能造成严重社会危害，需要采取应急处置措施予以应对的自然灾害、事故灾难、公共卫生事件和社会安全事件。</w:t>
      </w:r>
    </w:p>
    <w:p w14:paraId="1FED2E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本办法所称重大突发事件，是指《中华人民共和国突发事件应对法》规定的特别重大或重大等级的突发事件。</w:t>
      </w:r>
    </w:p>
    <w:p w14:paraId="69162A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银行保险监督管理机构应当切实履行应对突发事件的职责，加强与县级以上人民政府及其部门的沟通、联系、协调、配合，做好对银行保险机构的指导和监管，促进银行保险机构完善突发事件金融服务。</w:t>
      </w:r>
    </w:p>
    <w:p w14:paraId="1272B5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银行保险机构应当做好应对突发事件的组织管理、制度和预案体系建设工作，及时启动应对预案，健全风险管理，确保基本金融服务功能的安全性和连续性，加强对重点领域、关键环节和特殊人群的金融服务。</w:t>
      </w:r>
    </w:p>
    <w:p w14:paraId="5596DC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应对突发事件金融服务应当坚持以下原则：</w:t>
      </w:r>
    </w:p>
    <w:p w14:paraId="17950A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（一）常态管理原则。银行保险机构应当建立突发事件应对工作机制，并将突发事件应对管理纳入全面风险管理体系。</w:t>
      </w:r>
    </w:p>
    <w:p w14:paraId="4BC032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（二）及时处置原则。银行保险机构应当及时启动本单位应对预案，制定科学的应急措施、调度所需资源，及时果断调整金融服务措施。</w:t>
      </w:r>
    </w:p>
    <w:p w14:paraId="276DAB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（三）最小影响原则。银行保险机构应当采取必要措施将突发事件对业务连续运行、金融服务功能的影响控制在最小程度，确保持续提供基本金融服务。</w:t>
      </w:r>
    </w:p>
    <w:p w14:paraId="355630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社会责任原则。银行保险机构应当充分评估突发事件对客户、员工和经济社会发展的影响，在风险可控的前提下提供便民金融服务，妥善保障员工合法权益，积极支持受突发事件重大影响的企业、行业保持正常生产经营。</w:t>
      </w:r>
    </w:p>
    <w:p w14:paraId="468E24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国务院银行保险监督管理机构应当积极利用双边、多边监管合作机制和渠道，与境外监管机构加强信息共享，协调监管行动，提高应对工作的有效性。</w:t>
      </w:r>
    </w:p>
    <w:p w14:paraId="560B5E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组织管理</w:t>
      </w:r>
    </w:p>
    <w:p w14:paraId="0D36F2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银行保险机构应当建立突发事件应对管理体系。董(理)事会是银行保险机构突发事件应对管理的决策机构，对突发事件的应对管理承担最终责任。高级管理</w:t>
      </w:r>
      <w:proofErr w:type="gramStart"/>
      <w:r>
        <w:rPr>
          <w:rFonts w:ascii="宋体" w:eastAsia="宋体" w:hAnsi="宋体" w:cs="宋体" w:hint="eastAsia"/>
          <w:sz w:val="24"/>
        </w:rPr>
        <w:t>层负责执行经董(</w:t>
      </w:r>
      <w:proofErr w:type="gramEnd"/>
      <w:r>
        <w:rPr>
          <w:rFonts w:ascii="宋体" w:eastAsia="宋体" w:hAnsi="宋体" w:cs="宋体" w:hint="eastAsia"/>
          <w:sz w:val="24"/>
        </w:rPr>
        <w:t>理)事会批准的突发事件应对管理政策。</w:t>
      </w:r>
    </w:p>
    <w:p w14:paraId="1008E4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银行保险机构应当成立由高级管理层和突发事件应对管理相关部门负责人组成的突发事件应对管理委员会及相应指挥机构，负责突发事件应对工作的管理、指挥和协调，并明确成员部门相应的职责分工。</w:t>
      </w:r>
    </w:p>
    <w:p w14:paraId="403448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银行保险机构可以指定业务连续性管理委员会等专门委员会负责突发事件应对管理工作。</w:t>
      </w:r>
    </w:p>
    <w:p w14:paraId="30BF73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银行保险机构应当制定应对突发事件的管理制度，与业务连续性管理、信息科技风险管理、声誉风险管理、资产安全管理等制度有效衔接。银行保险机构在制定恢复处置计划时，应当充分考虑应对突发事件的因素。</w:t>
      </w:r>
    </w:p>
    <w:p w14:paraId="3BBAFB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银行保险机构应当根据本机构的具体情况细化突发事件的类型并制定、更新应对预案。银行保险机构应当充分评估营业场所、员工、基础设施、信息数据等要素，制定具体的突发事件应对措施以及恢复方案。</w:t>
      </w:r>
    </w:p>
    <w:p w14:paraId="0F4989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至少每三年开展一次突发事件应对预案的演练，检验应对预案的完整性、可操作性和有效性，验证应对预案中有关资源的可用性，提高突发事件的综合处置能力。银行保险机构对灾难备份等关键资源或重要业务功能至少每</w:t>
      </w:r>
      <w:r>
        <w:rPr>
          <w:rFonts w:ascii="宋体" w:eastAsia="宋体" w:hAnsi="宋体" w:cs="宋体" w:hint="eastAsia"/>
          <w:sz w:val="24"/>
        </w:rPr>
        <w:lastRenderedPageBreak/>
        <w:t>年开展一次突发事件应对预案的演练。</w:t>
      </w:r>
    </w:p>
    <w:p w14:paraId="1335A3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银行保险机构应当依法配合县级以上人民政府及法定授权部门的指挥，有序开展突发事件应对工作。</w:t>
      </w:r>
    </w:p>
    <w:p w14:paraId="0BC2B4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银行保险机构应当在应对突发事件过程中提供必要的相互协助。</w:t>
      </w:r>
    </w:p>
    <w:p w14:paraId="478C6A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银行保险机构应当按照关于银行业保险业突发事件信息报告的监管要求，向银行保险监督管理机构报告突发事件信息、采取的应对措施、存在的问题以及所需的支持。</w:t>
      </w:r>
    </w:p>
    <w:p w14:paraId="70E38F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行业自律组织应当为银行保险机构应对突发事件、实施同业协助提供必要的协调和支持。</w:t>
      </w:r>
    </w:p>
    <w:p w14:paraId="64F9D3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业务和风险管理</w:t>
      </w:r>
    </w:p>
    <w:p w14:paraId="5F376B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银行保险机构应当加强突发事件预警，按照县级以上人民政府及法定授权部门发布的应对突发事件的决定、命令以及银行保险监督管理机构的监管规则，加强对各类风险的识别、计量、监测和控制，及时启动相关应对预案，采取必要措施保障人员和财产安全，保障基本金融服务功能的正常运转。</w:t>
      </w:r>
    </w:p>
    <w:p w14:paraId="6C20FC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银行保险机构应当按照银行保险监督管理机构的要求，根据县级以上人民政府及法定授权部门响应突发事件的具体措施，及时向处置突发事件的有关单位和个人提供急需的金融服务。</w:t>
      </w:r>
    </w:p>
    <w:p w14:paraId="487370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受突发事件重大影响的银行保险机构需要暂时变更营业时间、营业地点、营业方式和营业范围等的，应当在</w:t>
      </w:r>
      <w:proofErr w:type="gramStart"/>
      <w:r>
        <w:rPr>
          <w:rFonts w:ascii="宋体" w:eastAsia="宋体" w:hAnsi="宋体" w:cs="宋体" w:hint="eastAsia"/>
          <w:sz w:val="24"/>
        </w:rPr>
        <w:t>作出</w:t>
      </w:r>
      <w:proofErr w:type="gramEnd"/>
      <w:r>
        <w:rPr>
          <w:rFonts w:ascii="宋体" w:eastAsia="宋体" w:hAnsi="宋体" w:cs="宋体" w:hint="eastAsia"/>
          <w:sz w:val="24"/>
        </w:rPr>
        <w:t>决定</w:t>
      </w:r>
      <w:proofErr w:type="gramStart"/>
      <w:r>
        <w:rPr>
          <w:rFonts w:ascii="宋体" w:eastAsia="宋体" w:hAnsi="宋体" w:cs="宋体" w:hint="eastAsia"/>
          <w:sz w:val="24"/>
        </w:rPr>
        <w:t>当日报告</w:t>
      </w:r>
      <w:proofErr w:type="gramEnd"/>
      <w:r>
        <w:rPr>
          <w:rFonts w:ascii="宋体" w:eastAsia="宋体" w:hAnsi="宋体" w:cs="宋体" w:hint="eastAsia"/>
          <w:sz w:val="24"/>
        </w:rPr>
        <w:t>属地银行保险监督管理机构和所在地人民政府后向社会公众公告。</w:t>
      </w:r>
    </w:p>
    <w:p w14:paraId="0F9E3B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银行保险监督管理机构可以根据突发事件的等级和影响范围，决定暂时</w:t>
      </w:r>
      <w:proofErr w:type="gramStart"/>
      <w:r>
        <w:rPr>
          <w:rFonts w:ascii="宋体" w:eastAsia="宋体" w:hAnsi="宋体" w:cs="宋体" w:hint="eastAsia"/>
          <w:sz w:val="24"/>
        </w:rPr>
        <w:t>变更受</w:t>
      </w:r>
      <w:proofErr w:type="gramEnd"/>
      <w:r>
        <w:rPr>
          <w:rFonts w:ascii="宋体" w:eastAsia="宋体" w:hAnsi="宋体" w:cs="宋体" w:hint="eastAsia"/>
          <w:sz w:val="24"/>
        </w:rPr>
        <w:t>影响的银行保险机构的营业时间、营业地点、营业方式和营业范围等。</w:t>
      </w:r>
    </w:p>
    <w:p w14:paraId="446421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在金融服务受到重大突发事件影响的区域，银行保险机构应当在保证员工人身和财产安全的前提下，经向银行保险监督管理机构报告后，采用设立流动网点、临时服务点等方式提供现场服务，合理布放自动柜员机（ATM）、销售终端（POS）、智能柜员机（含便携式、远程协同式）等机具，满足客户金</w:t>
      </w:r>
      <w:r>
        <w:rPr>
          <w:rFonts w:ascii="宋体" w:eastAsia="宋体" w:hAnsi="宋体" w:cs="宋体" w:hint="eastAsia"/>
          <w:sz w:val="24"/>
        </w:rPr>
        <w:lastRenderedPageBreak/>
        <w:t>融服务需求。</w:t>
      </w:r>
    </w:p>
    <w:p w14:paraId="507874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银行保险机构因重大突发事件无法提供柜面、现场或机具服务的，应当利用互联网、移动终端、固定电话等信息技术方式为客户提供服务。</w:t>
      </w:r>
    </w:p>
    <w:p w14:paraId="381EDA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银行保险机构应当为受重大突发事件影响的客户办理账户查询、挂失、补办、转账、提款、继承、理赔、保全等业务提供便利。对身份证明或业务凭证丢失的客户，银行保险机构通过其他方式可以识别客户身份或进行业务验证的，应当满足其一定数额或基本的业务需求，不得以客户无身份证明或业务凭证为由拒绝办理业务。</w:t>
      </w:r>
    </w:p>
    <w:p w14:paraId="12BD62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银行业金融机构对重大突发事件发生前已经发放、受突发事件影响、非因借款人自身原因不能按时偿还的各类贷款，应当</w:t>
      </w:r>
      <w:proofErr w:type="gramStart"/>
      <w:r>
        <w:rPr>
          <w:rFonts w:ascii="宋体" w:eastAsia="宋体" w:hAnsi="宋体" w:cs="宋体" w:hint="eastAsia"/>
          <w:sz w:val="24"/>
        </w:rPr>
        <w:t>考虑受</w:t>
      </w:r>
      <w:proofErr w:type="gramEnd"/>
      <w:r>
        <w:rPr>
          <w:rFonts w:ascii="宋体" w:eastAsia="宋体" w:hAnsi="宋体" w:cs="宋体" w:hint="eastAsia"/>
          <w:sz w:val="24"/>
        </w:rPr>
        <w:t>影响借款人的实际情况调整贷款回收方式，可不收取延期还款的相关罚息及费用。银行业金融机构不得仅以贷款未及时偿还为理由，阻碍受影响借款人继续获得其他针对突发事件的信贷支持。</w:t>
      </w:r>
    </w:p>
    <w:p w14:paraId="0680B1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保险公司应当根据突发事件形成的社会风险保障需求，及时开发保险产品，增加巨灾保险、企业财产保险、安全生产责任保险、出口信用保险、农业保险等业务供给，积极发挥保险的风险防范作用。</w:t>
      </w:r>
    </w:p>
    <w:p w14:paraId="12202C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为切实服务受重大突发事件影响的客户，支持受影响的个人、机构和行业，银行业金融机构可以采取以下措施：</w:t>
      </w:r>
    </w:p>
    <w:p w14:paraId="7759DD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w:t>
      </w:r>
      <w:proofErr w:type="gramStart"/>
      <w:r>
        <w:rPr>
          <w:rFonts w:ascii="宋体" w:eastAsia="宋体" w:hAnsi="宋体" w:cs="宋体" w:hint="eastAsia"/>
          <w:sz w:val="24"/>
        </w:rPr>
        <w:t>减免受</w:t>
      </w:r>
      <w:proofErr w:type="gramEnd"/>
      <w:r>
        <w:rPr>
          <w:rFonts w:ascii="宋体" w:eastAsia="宋体" w:hAnsi="宋体" w:cs="宋体" w:hint="eastAsia"/>
          <w:sz w:val="24"/>
        </w:rPr>
        <w:t>影响客户账户查询、挂失和补办、转账、继承等业务的相关收费；</w:t>
      </w:r>
    </w:p>
    <w:p w14:paraId="4D9F3E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（二）与受重大影响的客户协商调整债务期限、利率和偿还方式等；</w:t>
      </w:r>
    </w:p>
    <w:p w14:paraId="711CF3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（三）为受重大影响的客户提供续贷服务；</w:t>
      </w:r>
    </w:p>
    <w:p w14:paraId="7EB0DA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（四）在风险可控的前提下，加快信贷等业务审批流程；</w:t>
      </w:r>
    </w:p>
    <w:p w14:paraId="61B959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（五）其他符合银行保险监督管理机构要求的措施。</w:t>
      </w:r>
    </w:p>
    <w:p w14:paraId="1EA3AB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为切实服务受重大突发事件影响的客户，支持受影响的个人、机构和行业，保险公司可以采取以下措施：</w:t>
      </w:r>
    </w:p>
    <w:p w14:paraId="07FBEC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（一）适当延长受重大影响客户的报案时限，减免保单补发等相关费用；</w:t>
      </w:r>
    </w:p>
    <w:p w14:paraId="66996B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（二）适当延长受重大影响客户的保险期限，对保费缴纳给予一定优惠或宽限期；</w:t>
      </w:r>
    </w:p>
    <w:p w14:paraId="26BB33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（三）对因突发事件导致单证损毁遗失的保险客户，简化其理赔申请资料；</w:t>
      </w:r>
    </w:p>
    <w:p w14:paraId="76C5CF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（四）对受重大影响的农户和农业生产经营组织，在确保投保意愿真实的前提下，可暂缓其提交承保农业保险所需的相关资料，确定发生农业保险损失的，可采取预付部分赔款等方式提供理赔服务；</w:t>
      </w:r>
    </w:p>
    <w:p w14:paraId="1DB8CE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（五）针对突发事件造成的影响，在风险承受范围内适当扩展保险责任范围；</w:t>
      </w:r>
    </w:p>
    <w:p w14:paraId="55C4F9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（六）其他符合银行保险监督管理机构要求的措施。</w:t>
      </w:r>
    </w:p>
    <w:p w14:paraId="00A563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银行保险机构应当及时预估受突发事件重大影响的企业恢复生产经营的资金需求情况，加强对受突发事件影响的重点地区、行业客户群体的金融服务，发挥在基础设施、农业、特色优势产业、小</w:t>
      </w:r>
      <w:proofErr w:type="gramStart"/>
      <w:r>
        <w:rPr>
          <w:rFonts w:ascii="宋体" w:eastAsia="宋体" w:hAnsi="宋体" w:cs="宋体" w:hint="eastAsia"/>
          <w:sz w:val="24"/>
        </w:rPr>
        <w:t>微企业</w:t>
      </w:r>
      <w:proofErr w:type="gramEnd"/>
      <w:r>
        <w:rPr>
          <w:rFonts w:ascii="宋体" w:eastAsia="宋体" w:hAnsi="宋体" w:cs="宋体" w:hint="eastAsia"/>
          <w:sz w:val="24"/>
        </w:rPr>
        <w:t>等方面的金融支持作用。</w:t>
      </w:r>
    </w:p>
    <w:p w14:paraId="63F056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银行业金融机构应当加强贷前审查和贷后管理，通过行业自律和联合授信等机制，防范客户不正当获取、使用与应对突发事件有关的融资便利或优惠措施，有效防范多头授信和过度授信，防止客户挪用获得的相关融资。</w:t>
      </w:r>
    </w:p>
    <w:p w14:paraId="16371E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银行业金融机构对符合贷款减免和核销规定的贷款，应当严格按照程序和条件进行贷款减免和核销，做好贷款清收管理和资产保全工作，切实维护合法金融债权。</w:t>
      </w:r>
    </w:p>
    <w:p w14:paraId="5BAC11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银行保险机构应当及时保存与应对突发事件有关的交易或业务记录，及时进行交易或业务记录回溯，重点对金额较大、交易笔数频繁、非工作时间交易等情况进行核查和分析。</w:t>
      </w:r>
    </w:p>
    <w:p w14:paraId="731F63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银行保险机构应当及时对应对突发事件金融服务措施的实际效果和风险状况进行后评估。</w:t>
      </w:r>
    </w:p>
    <w:p w14:paraId="163CD5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银行保险机构应当加强突发事件期间对消费者权益的保护，确保投诉渠道畅通，及时处理相关咨询和投诉事项。银行保险机构不得利用突发事</w:t>
      </w:r>
      <w:r>
        <w:rPr>
          <w:rFonts w:ascii="宋体" w:eastAsia="宋体" w:hAnsi="宋体" w:cs="宋体" w:hint="eastAsia"/>
          <w:sz w:val="24"/>
        </w:rPr>
        <w:lastRenderedPageBreak/>
        <w:t>件进行诱导销售、虚假宣传等营销行为，或侵害客户的知情权、公平交易权、自主选择权、隐私权等合法权利。</w:t>
      </w:r>
    </w:p>
    <w:p w14:paraId="36C8FF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银行保险机构应当加强声誉风险管理，做好舆情监测、管理和应对，及时、规范开展信息发布、解释和澄清等工作，防范负面舆情引发声誉风险、流动性风险等次生风险，保障正常经营秩序。</w:t>
      </w:r>
    </w:p>
    <w:p w14:paraId="580CE0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监督管理</w:t>
      </w:r>
    </w:p>
    <w:p w14:paraId="010514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银行保险监督管理机构应当保持监管工作的连续性、有效性、灵活性，并根据突发事件的等级、银行保险机构受影响情况，适当调整监管工作的具体方式。</w:t>
      </w:r>
    </w:p>
    <w:p w14:paraId="3B00C2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监督管理机构应当依法对银行保险机构突发事件应对机制、活动和效果进行指导和监督检查，妥善回应社会关注和敏感问题，及时发布支持政策和措施，加强与同级人民银行及相关政府部门的信息共享和沟通，协调解决应对突发事件过程中的问题。</w:t>
      </w:r>
    </w:p>
    <w:p w14:paraId="27226E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银行保险监督管理机构应当按照县级以上人民政府及法定授权部门对突发事件的应对要求，审慎评估突发事件对银行保险机构造成的影响，依法履行以下职责：</w:t>
      </w:r>
    </w:p>
    <w:p w14:paraId="6EF160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（一）加强对突发事件引发的区域性、系统性风险的监测、分析和预警；</w:t>
      </w:r>
    </w:p>
    <w:p w14:paraId="3D1E18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（二）督促银行保险机构按照突发事件应对预案，保障基本金融服务功能持续安全运转；</w:t>
      </w:r>
    </w:p>
    <w:p w14:paraId="469E46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（三）指导银行保险机构提供突发事件应急处置金融服务；</w:t>
      </w:r>
    </w:p>
    <w:p w14:paraId="40FDED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（四）引导银行保险机构积极承担社会责任；</w:t>
      </w:r>
    </w:p>
    <w:p w14:paraId="689966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（五）协调有关政府部门，协助保障银行保险机构正常经营。</w:t>
      </w:r>
    </w:p>
    <w:p w14:paraId="5FF1EB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受突发事件重大影响的银行保险机构等申请人在行政许可流程中无法在规定期限内完成办理事项的，可以向银行保险监督管理机构申请延长办理期限。银行保险监督管理机构经评估，可以根据具体情况决定延长有关办理期限。</w:t>
      </w:r>
    </w:p>
    <w:p w14:paraId="5ED8BA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银行保险监督管理机构可以根据突发事件的等级及影响情况，依法调整行政许可的程序、条件或材料等相关规则，以便利银行保险机构为应对突发事件提供金融服务。</w:t>
      </w:r>
    </w:p>
    <w:p w14:paraId="3B646D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受突发事件重大影响的银行保险机构可以根据实际情况向银行保险监督管理机构申请变更报送监管信息、统计数据的时间和报送方式。银行保险监督管理机构经评估同意变更的，应当持续通过其他方式开展非现场监管。</w:t>
      </w:r>
    </w:p>
    <w:p w14:paraId="16D785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银行保险监督管理机构可以根据突发事件的等级及影响情况，依法决定实施非现场监管的具体方式、时限要求及频率。</w:t>
      </w:r>
    </w:p>
    <w:p w14:paraId="65211E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受突发事件重大影响的银行保险机构可以根据实际情况向银行保险监督管理机构申请暂时中止现场检查、现场调查及其他重大监管行动或者变更其时间。</w:t>
      </w:r>
    </w:p>
    <w:p w14:paraId="42A4C4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监督管理机构可以按照突发事件的等级及影响情况，根据申请或主动决定暂时中止对银行保险机构进行现场检查、现场调查及采取其他重大监管行动或变更其时间。银行保险监督管理机构应当在突发事件影响消除后重新安排现场检查、现场调查等监管工作。</w:t>
      </w:r>
    </w:p>
    <w:p w14:paraId="460A91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根据应对重大突发事件和落实国家金融支持政策的需要，国务院银行保险监督管理机构可以依据法律、行政法规的授权或经国务院批准，决定临时性调整审慎监管指标和监管要求。</w:t>
      </w:r>
    </w:p>
    <w:p w14:paraId="1E70BD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国务院银行保险监督管理机构可以根据银行保险机构受重大突发事件的影响情况，依法对临时性突破审慎监管指标的银行保险机构豁免采取监管措施或实施行政处罚，但应要求银行保险机构制定合理的整改计划。</w:t>
      </w:r>
    </w:p>
    <w:p w14:paraId="662384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银行保险机构不得利用上述情形扩大股东分红或其他利润分配，不得提高董事、监事及高级管理人员的薪酬待遇。</w:t>
      </w:r>
    </w:p>
    <w:p w14:paraId="7B9B9B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银行保险监督管理机构应当评估银行保险机构因突发事件产生的风险因素，并在市场准入、监管评级等工作中予以适当考虑。</w:t>
      </w:r>
    </w:p>
    <w:p w14:paraId="1BBB3B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对于银行保险机构因突发事件导致的重大风险，银行保险监督</w:t>
      </w:r>
      <w:r>
        <w:rPr>
          <w:rFonts w:ascii="宋体" w:eastAsia="宋体" w:hAnsi="宋体" w:cs="宋体" w:hint="eastAsia"/>
          <w:sz w:val="24"/>
        </w:rPr>
        <w:lastRenderedPageBreak/>
        <w:t>管理机构应当及时采取风险处置措施，维护金融稳定。</w:t>
      </w:r>
    </w:p>
    <w:p w14:paraId="78DA35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根据处置应对重大金融风险、维护金融稳定的需要，国务院银行保险监督管理机构可以依法豁免对银行保险机构适用部分监管规定。</w:t>
      </w:r>
    </w:p>
    <w:p w14:paraId="6648BD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银行保险机构存在以下情形的，银行保险监督管理机构可以依据《中华人民共和国银行业监督管理法》《中华人民共和国保险法》等法律法规采取监管措施或实施行政处罚；法律、行政法规没有规定的，由银行保险监督管理机构责令改正，给予警告，对有违法所得的处以违法所得1倍以上3倍以下罚款，最高不超过3万元，对没有违法所得的处以1万元以下罚款：</w:t>
      </w:r>
    </w:p>
    <w:p w14:paraId="0FAB15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（一）未按照本办法要求建立突发事件应对管理体系、组织架构、制度或预案；</w:t>
      </w:r>
    </w:p>
    <w:p w14:paraId="3174DC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（二）未按照要求定期开展突发事件应对预案的演练；</w:t>
      </w:r>
    </w:p>
    <w:p w14:paraId="6B4EE9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（三）未采取有效应对措施，导致基本金融服务长时间中断；</w:t>
      </w:r>
    </w:p>
    <w:p w14:paraId="4D5E86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（四）突发事件影响消除后，未及时恢复金融服务；</w:t>
      </w:r>
    </w:p>
    <w:p w14:paraId="3E67CA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（五）利用突发事件实施诱导销售、虚假宣传等行为，侵害客户合法权利；</w:t>
      </w:r>
    </w:p>
    <w:p w14:paraId="2ECDE6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（六）利用监管支持政策违规套利；</w:t>
      </w:r>
    </w:p>
    <w:p w14:paraId="2C0FD4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（七）其他违反本办法规定的情形。</w:t>
      </w:r>
    </w:p>
    <w:p w14:paraId="765AE7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附 则</w:t>
      </w:r>
    </w:p>
    <w:p w14:paraId="187828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本办法所称银行保险机构，是指银行业金融机构和保险公司。</w:t>
      </w:r>
    </w:p>
    <w:p w14:paraId="54C6F7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本办法所称银行业金融机构，是指在中华人民共和国境内设立的商业银行、农村信用合作社等吸收公众存款的金融机构以及开发性金融机构、政策性银行。</w:t>
      </w:r>
    </w:p>
    <w:p w14:paraId="6FFF5C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在中华人民共和国境内设立的金融资产管理公司、信托公司、财务公司、金融租赁公司、汽车金融公司、消费金融公司、货币经纪公司、金融资产投资公司、银行理财子公司、保险集团（控股）公司、保险资产管理公司以及保险中介机构等银行保险监督管理机构监管的其他机构，参照执行本办法的规定。</w:t>
      </w:r>
    </w:p>
    <w:p w14:paraId="328795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第三十八条 本办法自公布之日起施行。</w:t>
      </w:r>
    </w:p>
    <w:p w14:paraId="167AA799"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银行保险机构应当自本办法施行之日起6个月内，建立和完善突发事件应对管理体系和管理制度，并向银行保险监督管理机构报告。</w:t>
      </w:r>
    </w:p>
    <w:p w14:paraId="7A7C47A2"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32.《中国人民银行金融消费者权益保护实施办法》</w:t>
      </w:r>
    </w:p>
    <w:p w14:paraId="0CD514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发文机构：中国人民银行</w:t>
      </w:r>
      <w:r>
        <w:rPr>
          <w:rFonts w:ascii="宋体" w:eastAsia="宋体" w:hAnsi="宋体" w:cs="宋体" w:hint="eastAsia"/>
          <w:sz w:val="24"/>
        </w:rPr>
        <w:tab/>
        <w:t xml:space="preserve">       </w:t>
      </w:r>
    </w:p>
    <w:p w14:paraId="6589F0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文号：中国人民银行令〔2020〕第5号</w:t>
      </w:r>
    </w:p>
    <w:p w14:paraId="77CFD3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7AFD37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保护金融消费者合法权益，规范金融机构提供金融产品和服务的行为，维护公平、公正的市场环境，促进金融市场健康稳定运行，根据《中华人民共和国中国人民银行法》《中华人民共和国商业银行法》《中华人民共和国消费者权益保护法》和《国务院办公厅关于加强金融消费者权益保护工作的指导意见》（国办发〔2015〕81号）等，制定本办法。</w:t>
      </w:r>
    </w:p>
    <w:p w14:paraId="5F3647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在中华人民共和国境内依法设立的为金融消费者提供金融产品或者服务的银行业金融机构（以下简称银行），开展与下列业务相关的金融消费者权益保护工作，适用本办法：</w:t>
      </w:r>
    </w:p>
    <w:p w14:paraId="406913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（一）与利率管理相关的。</w:t>
      </w:r>
    </w:p>
    <w:p w14:paraId="1A2DBD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（二）与人民币管理相关的。</w:t>
      </w:r>
    </w:p>
    <w:p w14:paraId="67D8C6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（三）与外汇管理相关的。</w:t>
      </w:r>
    </w:p>
    <w:p w14:paraId="023214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（四）与黄金市场管理相关的。</w:t>
      </w:r>
    </w:p>
    <w:p w14:paraId="564736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（五）与国库管理相关的。</w:t>
      </w:r>
    </w:p>
    <w:p w14:paraId="050A50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（六）与支付、清算管理相关的。</w:t>
      </w:r>
    </w:p>
    <w:p w14:paraId="77B8E5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（七）与反洗钱管理相关的。</w:t>
      </w:r>
    </w:p>
    <w:p w14:paraId="0B57E5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（八）与征信管理相关的。</w:t>
      </w:r>
    </w:p>
    <w:p w14:paraId="460BFD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（九）与上述第一项至第八项业务相关的金融营销宣传和消费者金融信息保护。</w:t>
      </w:r>
    </w:p>
    <w:p w14:paraId="54FF37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（十）其他法律、行政法规规定的中国人民银行职责范围内的金融消费者权益保护工作。</w:t>
      </w:r>
    </w:p>
    <w:p w14:paraId="5E1410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在中华人民共和国境内依法设立的非银行支付机构（以下简称支付机构）提供支付服务的，适用本办法。</w:t>
      </w:r>
    </w:p>
    <w:p w14:paraId="42D80F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本办法所称金融消费者是指购买、使用银行、支付机构提供的金融产品或者服务的自然人。</w:t>
      </w:r>
    </w:p>
    <w:p w14:paraId="75DE69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银行、支付机构向金融消费者提供金融产品或者服务，应当遵循自愿、平等、公平、诚实信用的原则，切实承担金融消费者合法权益保护的主体责任，履行金融消费者权益保护的法定义务。</w:t>
      </w:r>
    </w:p>
    <w:p w14:paraId="708D53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金融消费者应当文明、理性进行金融消费，提高自我保护意识，诚实守信，依法维护自身的合法权益。</w:t>
      </w:r>
    </w:p>
    <w:p w14:paraId="78CC55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中国人民银行及其分支机构坚持公平、公正原则，依法开展职责范围内的金融消费者权益保护工作，依法保护金融消费者合法权益。</w:t>
      </w:r>
    </w:p>
    <w:p w14:paraId="5206FE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中国人民银行及其分支机构会同有关部门推动建立和完善金融机构自治、行业自律、金融监管和社会监督相结合的金融消费者权益保护共同治理体系。</w:t>
      </w:r>
    </w:p>
    <w:p w14:paraId="715632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鼓励金融消费者和银行、支付机构充分运用调解、仲裁等方式解决金融消费纠纷。</w:t>
      </w:r>
    </w:p>
    <w:p w14:paraId="12D1B0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金融机构行为规范</w:t>
      </w:r>
    </w:p>
    <w:p w14:paraId="117247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银行、支付机构应当将金融消费者权益保护纳入公司治理、企业文化建设和经营发展战略，制定本机构金融消费者权益保护工作的总体规划和具体工作措施。建立金融消费者权益保护专职部门或者指定牵头部门，</w:t>
      </w:r>
      <w:proofErr w:type="gramStart"/>
      <w:r>
        <w:rPr>
          <w:rFonts w:ascii="宋体" w:eastAsia="宋体" w:hAnsi="宋体" w:cs="宋体" w:hint="eastAsia"/>
          <w:sz w:val="24"/>
        </w:rPr>
        <w:t>明确部门</w:t>
      </w:r>
      <w:proofErr w:type="gramEnd"/>
      <w:r>
        <w:rPr>
          <w:rFonts w:ascii="宋体" w:eastAsia="宋体" w:hAnsi="宋体" w:cs="宋体" w:hint="eastAsia"/>
          <w:sz w:val="24"/>
        </w:rPr>
        <w:t>及人员职责，确保部门有足够的人力、物力能够独立开展工作，并定期向高级管理层、董（理）事会汇报工作开展情况。</w:t>
      </w:r>
    </w:p>
    <w:p w14:paraId="683AC8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银行、支付机构应当落实法律法规和相关监管规定关于金融消费者权益保护的相关要求，建立健全金融消费者权益保护的各项内控制度：</w:t>
      </w:r>
    </w:p>
    <w:p w14:paraId="3235C4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（一）金融消费者权益保护工作考核评价制度。</w:t>
      </w:r>
    </w:p>
    <w:p w14:paraId="53BB6C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（二）金融消费者风险等级评估制度。</w:t>
      </w:r>
    </w:p>
    <w:p w14:paraId="583655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（三）消费者金融信息保护制度。</w:t>
      </w:r>
    </w:p>
    <w:p w14:paraId="3785C0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（四）金融产品和服务信息披露、查询制度。</w:t>
      </w:r>
    </w:p>
    <w:p w14:paraId="2123EB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（五）金融营销宣传管理制度。</w:t>
      </w:r>
    </w:p>
    <w:p w14:paraId="7A0352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（六）金融知识普及和金融消费者教育制度。</w:t>
      </w:r>
    </w:p>
    <w:p w14:paraId="6C7A46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（七）金融消费者投诉处理制度。</w:t>
      </w:r>
    </w:p>
    <w:p w14:paraId="2A0071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（八）金融消费者权益保护工作内部监督和责任追究制度。</w:t>
      </w:r>
    </w:p>
    <w:p w14:paraId="6DFEEA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（九）金融消费者权益保护重大事件应急制度。</w:t>
      </w:r>
    </w:p>
    <w:p w14:paraId="678663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（十）中国人民银行明确规定应当建立的其他金融消费者权益保护工作制度。</w:t>
      </w:r>
    </w:p>
    <w:p w14:paraId="2998A0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银行、支付机构应当建立健全涉及金融消费者权益保护工作的全流程管控机制，确保在金融产品或者服务的设计开发、营销推介及售后管理等各个业务环节有效落实金融消费者权益保护工作的相关规定和要求。全流程管控机制包括但不限于下列内容：</w:t>
      </w:r>
    </w:p>
    <w:p w14:paraId="5F479E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（一）事前审查机制。银行、支付机构应当实行金融消费者权益保护事前审查，及时发现并更正金融产品或者服务中可能损害金融消费者合法权益的问题，有效督办落实金融消费者权益保护审查意见。</w:t>
      </w:r>
    </w:p>
    <w:p w14:paraId="59A5B3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w:t>
      </w:r>
      <w:proofErr w:type="gramStart"/>
      <w:r>
        <w:rPr>
          <w:rFonts w:ascii="宋体" w:eastAsia="宋体" w:hAnsi="宋体" w:cs="宋体" w:hint="eastAsia"/>
          <w:sz w:val="24"/>
        </w:rPr>
        <w:t>事中管控</w:t>
      </w:r>
      <w:proofErr w:type="gramEnd"/>
      <w:r>
        <w:rPr>
          <w:rFonts w:ascii="宋体" w:eastAsia="宋体" w:hAnsi="宋体" w:cs="宋体" w:hint="eastAsia"/>
          <w:sz w:val="24"/>
        </w:rPr>
        <w:t>机制。银行、支付机构应当履行金融产品或者服务营销宣传中须遵循的基本程序和标准，加强对营销宣传行为的监测与管控。</w:t>
      </w:r>
    </w:p>
    <w:p w14:paraId="44D62A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（三）事后监督机制。银行、支付机构应当做好金融产品和服务的售后管理，及时调整存在问题或者隐患的金融产品和服务规则。</w:t>
      </w:r>
    </w:p>
    <w:p w14:paraId="672629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银行、支付机构应当开展金融消费者权益保护工作人员培训，增强工作人员的金融消费者权益保护意识和能力。</w:t>
      </w:r>
    </w:p>
    <w:p w14:paraId="3E1323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支付机构应当每年至少开展一次金融消费者权益保护专题培训，培训对象应当全面覆盖中高级管理人员、基层业务人员及新入职人员。对金融消费者投诉多发、风险较高的业务岗位，应当适当提高培训的频次。</w:t>
      </w:r>
    </w:p>
    <w:p w14:paraId="7F4636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银行、支付机构开展考核评价时，应当将金融消费者权益保护工</w:t>
      </w:r>
      <w:r>
        <w:rPr>
          <w:rFonts w:ascii="宋体" w:eastAsia="宋体" w:hAnsi="宋体" w:cs="宋体" w:hint="eastAsia"/>
          <w:sz w:val="24"/>
        </w:rPr>
        <w:lastRenderedPageBreak/>
        <w:t>作作为重要内容，并合理分配相关指标的占比和权重，综合考虑业务合</w:t>
      </w:r>
      <w:proofErr w:type="gramStart"/>
      <w:r>
        <w:rPr>
          <w:rFonts w:ascii="宋体" w:eastAsia="宋体" w:hAnsi="宋体" w:cs="宋体" w:hint="eastAsia"/>
          <w:sz w:val="24"/>
        </w:rPr>
        <w:t>规</w:t>
      </w:r>
      <w:proofErr w:type="gramEnd"/>
      <w:r>
        <w:rPr>
          <w:rFonts w:ascii="宋体" w:eastAsia="宋体" w:hAnsi="宋体" w:cs="宋体" w:hint="eastAsia"/>
          <w:sz w:val="24"/>
        </w:rPr>
        <w:t>性、客户满意度、投诉处理及时率与合格率等，不得简单以投诉数量作为考核指标。</w:t>
      </w:r>
    </w:p>
    <w:p w14:paraId="43B030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银行、支付机构应当根据金融产品或者服务的特性评估其对金融消费者的适合度，合理划分金融产品和服务风险等级以及金融消费者风险承受等级，将合适的金融产品或者服务提供给适当的金融消费者。</w:t>
      </w:r>
    </w:p>
    <w:p w14:paraId="593358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银行、支付机构应当依法保障金融消费者在购买、使用金融产品和服务时的财产安全，不得挪用、非法占用金融消费者资金及其他金融资产。</w:t>
      </w:r>
    </w:p>
    <w:p w14:paraId="21E653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银行、支付机构应当尊重社会公德，尊重金融消费者的人格尊严和民族风俗习惯，不得因金融消费者性别、年龄、种族、民族或者国籍等不同实行歧视性差别对待，不得使用歧视性或者违背公序良俗的表述。</w:t>
      </w:r>
    </w:p>
    <w:p w14:paraId="1C1E87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银行、支付机构应当尊重金融消费者购买金融产品或者服务的真实意愿，不得擅自代理金融消费者办理业务，不得擅自修改金融消费者的业务指令，不得强制搭售其他产品或者服务。</w:t>
      </w:r>
    </w:p>
    <w:p w14:paraId="5A5095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银行、支付机构应当依据金融产品或者服务的特性，及时、真实、准确、全面地向金融消费者披露下列重要内容：</w:t>
      </w:r>
    </w:p>
    <w:p w14:paraId="6080DD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（一）金融消费者对该金融产品或者服务的权利和义务，订立、变更、中止和解除合同的方式及限制。</w:t>
      </w:r>
    </w:p>
    <w:p w14:paraId="4ACF6F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（二）银行、支付机构对该金融产品或者服务的权利、义务及法律责任。</w:t>
      </w:r>
    </w:p>
    <w:p w14:paraId="13075B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（三）贷款产品</w:t>
      </w:r>
      <w:proofErr w:type="gramStart"/>
      <w:r>
        <w:rPr>
          <w:rFonts w:ascii="宋体" w:eastAsia="宋体" w:hAnsi="宋体" w:cs="宋体" w:hint="eastAsia"/>
          <w:sz w:val="24"/>
        </w:rPr>
        <w:t>的年化利率</w:t>
      </w:r>
      <w:proofErr w:type="gramEnd"/>
      <w:r>
        <w:rPr>
          <w:rFonts w:ascii="宋体" w:eastAsia="宋体" w:hAnsi="宋体" w:cs="宋体" w:hint="eastAsia"/>
          <w:sz w:val="24"/>
        </w:rPr>
        <w:t>。</w:t>
      </w:r>
    </w:p>
    <w:p w14:paraId="1C5C97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（四）金融消费者应当负担的费用及违约金，包括金额的确定方式，交易时间和交易方式。</w:t>
      </w:r>
    </w:p>
    <w:p w14:paraId="273E8E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（五）因金融产品或者服务产生纠纷的处理及投诉途径。</w:t>
      </w:r>
    </w:p>
    <w:p w14:paraId="25E653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（六）银行、支付机构对该金融产品或者服务所执行的强制性标准、推荐性标准、团体标准或者企业标准的编号和名称。</w:t>
      </w:r>
    </w:p>
    <w:p w14:paraId="1023F7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（七）在金融产品说明书或者服务协议中，实际承担合同义务的经营主体完</w:t>
      </w:r>
      <w:r>
        <w:rPr>
          <w:rFonts w:ascii="宋体" w:eastAsia="宋体" w:hAnsi="宋体" w:cs="宋体" w:hint="eastAsia"/>
          <w:sz w:val="24"/>
        </w:rPr>
        <w:lastRenderedPageBreak/>
        <w:t>整的中文名称。</w:t>
      </w:r>
    </w:p>
    <w:p w14:paraId="4ECE34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（八）其他可能影响金融消费者决策的信息。</w:t>
      </w:r>
    </w:p>
    <w:p w14:paraId="57B13F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银行、支付机构对金融产品和服务进行信息披露时，应当使用有利于金融消费者接收、理解的方式。对利率、费用、收益及风险等与金融消费者切身利益相关的重要信息，应当根据金融产品或者服务的复杂程度及风险等级，对其中关键的专业术语进行解释说明，并以适当方式</w:t>
      </w:r>
      <w:proofErr w:type="gramStart"/>
      <w:r>
        <w:rPr>
          <w:rFonts w:ascii="宋体" w:eastAsia="宋体" w:hAnsi="宋体" w:cs="宋体" w:hint="eastAsia"/>
          <w:sz w:val="24"/>
        </w:rPr>
        <w:t>供金融</w:t>
      </w:r>
      <w:proofErr w:type="gramEnd"/>
      <w:r>
        <w:rPr>
          <w:rFonts w:ascii="宋体" w:eastAsia="宋体" w:hAnsi="宋体" w:cs="宋体" w:hint="eastAsia"/>
          <w:sz w:val="24"/>
        </w:rPr>
        <w:t>消费者确认其已接收完整信息。</w:t>
      </w:r>
    </w:p>
    <w:p w14:paraId="45E8A4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银行、支付机构向金融消费者说明重要内容和披露风险时，应当依照法律法规和监管规定留存相关资料，自业务关系终止之日起留存时间不得少于3年。法律、行政法规另有规定的，从其规定。</w:t>
      </w:r>
    </w:p>
    <w:p w14:paraId="090C57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留存的资料包括但不限于：</w:t>
      </w:r>
    </w:p>
    <w:p w14:paraId="398166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（一）金融消费者确认的金融产品说明书或者服务协议。</w:t>
      </w:r>
    </w:p>
    <w:p w14:paraId="344FC2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（二）金融消费者确认的风险提示书。</w:t>
      </w:r>
    </w:p>
    <w:p w14:paraId="72DCA7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（三）记录向金融消费者说明重要内容的录音、录像资料或者系统日志等相关数据电文资料。</w:t>
      </w:r>
    </w:p>
    <w:p w14:paraId="161F7D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银行、支付机构不得利用技术手段、优势地位，强制或者变相强制金融消费者接受金融产品或者服务，或者排除、限制金融消费者接受同业机构提供的金融产品或者服务。</w:t>
      </w:r>
    </w:p>
    <w:p w14:paraId="51150F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银行、支付机构在提供金融产品或者服务的过程中，不得通过附加限制性条件的方式要求金融消费者购买、使用协议中未作明确要求的产品或者服务。</w:t>
      </w:r>
    </w:p>
    <w:p w14:paraId="3003D9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银行、支付机构向金融消费者提供金融产品或者服务时使用格式条款的，应当以足以引起金融消费者注意的字体、字号、颜色、符号、标识等显著方式，提请金融消费者注意金融产品或者服务的数量、利率、费用、履行期限和方式、注意事项、风险提示、纠纷解决等与金融消费者有重大利害关系的内容，并按照金融消费者的要求予以说明。格式条款采用电子形式的，应当可被识</w:t>
      </w:r>
      <w:r>
        <w:rPr>
          <w:rFonts w:ascii="宋体" w:eastAsia="宋体" w:hAnsi="宋体" w:cs="宋体" w:hint="eastAsia"/>
          <w:sz w:val="24"/>
        </w:rPr>
        <w:lastRenderedPageBreak/>
        <w:t>别且易于获取。</w:t>
      </w:r>
    </w:p>
    <w:p w14:paraId="1EC319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银行、支付机构不得以通知、声明、告示等格式条款的方式</w:t>
      </w:r>
      <w:proofErr w:type="gramStart"/>
      <w:r>
        <w:rPr>
          <w:rFonts w:ascii="宋体" w:eastAsia="宋体" w:hAnsi="宋体" w:cs="宋体" w:hint="eastAsia"/>
          <w:sz w:val="24"/>
        </w:rPr>
        <w:t>作出</w:t>
      </w:r>
      <w:proofErr w:type="gramEnd"/>
      <w:r>
        <w:rPr>
          <w:rFonts w:ascii="宋体" w:eastAsia="宋体" w:hAnsi="宋体" w:cs="宋体" w:hint="eastAsia"/>
          <w:sz w:val="24"/>
        </w:rPr>
        <w:t>含有下列内容的规定：</w:t>
      </w:r>
    </w:p>
    <w:p w14:paraId="3DC426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（一）减轻或者免除银行、支付机构造成金融消费者财产损失的赔偿责任。</w:t>
      </w:r>
    </w:p>
    <w:p w14:paraId="291249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（二）规定金融消费者承担超过法定限额的违约金或者损害赔偿金。</w:t>
      </w:r>
    </w:p>
    <w:p w14:paraId="3DAB5B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（三）排除或者限制金融消费者依法对其金融信息进行查询、删除、修改的权利；</w:t>
      </w:r>
    </w:p>
    <w:p w14:paraId="71E1F2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（四）排除或者限制金融消费者选择同业机构提供的金融产品或者服务的权利。</w:t>
      </w:r>
    </w:p>
    <w:p w14:paraId="042B75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（五）其他对金融消费者不公平、不合理的规定。</w:t>
      </w:r>
    </w:p>
    <w:p w14:paraId="124340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银行、支付机构应当对存在侵害金融消费者合法权益问题或者隐患的格式条款和服务协议文本及时进行修订或者清理。</w:t>
      </w:r>
    </w:p>
    <w:p w14:paraId="391585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银行、支付机构应当对营销宣传内容的真实性负责。银行、支付机构实际承担的义务不得低于在营销宣传活动中通过广告、资料或者说明等形式对金融消费者所承诺的标准。</w:t>
      </w:r>
    </w:p>
    <w:p w14:paraId="099FA5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前款“广告、资料或者说明”是指以营销为目的，利用各种传播媒体、宣传工具或者方式，就银行、支付机构的金融产品或者服务进行直接或者间接的宣传、推广等。</w:t>
      </w:r>
    </w:p>
    <w:p w14:paraId="4C9A8A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银行、支付机构在进行营销宣传活动时，不得有下列行为：</w:t>
      </w:r>
    </w:p>
    <w:p w14:paraId="5FC463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（一）虚假、欺诈、隐瞒或者引人误解的宣传。</w:t>
      </w:r>
    </w:p>
    <w:p w14:paraId="0C1AD3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（二）引用不真实、不准确的数据和资料或者隐瞒限制条件等，对过往业绩或者产品收益进行夸大表述。</w:t>
      </w:r>
    </w:p>
    <w:p w14:paraId="7C3F4D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（三）利用金融管理部门对金融产品或者服务的审核或者备案程序，误导金融消费者认为金融管理部门已对该金融产品或者服务提供保证。</w:t>
      </w:r>
    </w:p>
    <w:p w14:paraId="237DF4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（四）明示或者暗示保本、无风险或者保收益等，对非保本投资型金融产品</w:t>
      </w:r>
      <w:r>
        <w:rPr>
          <w:rFonts w:ascii="宋体" w:eastAsia="宋体" w:hAnsi="宋体" w:cs="宋体" w:hint="eastAsia"/>
          <w:sz w:val="24"/>
        </w:rPr>
        <w:lastRenderedPageBreak/>
        <w:t>的未来效果、收益或者相关情况</w:t>
      </w:r>
      <w:proofErr w:type="gramStart"/>
      <w:r>
        <w:rPr>
          <w:rFonts w:ascii="宋体" w:eastAsia="宋体" w:hAnsi="宋体" w:cs="宋体" w:hint="eastAsia"/>
          <w:sz w:val="24"/>
        </w:rPr>
        <w:t>作出</w:t>
      </w:r>
      <w:proofErr w:type="gramEnd"/>
      <w:r>
        <w:rPr>
          <w:rFonts w:ascii="宋体" w:eastAsia="宋体" w:hAnsi="宋体" w:cs="宋体" w:hint="eastAsia"/>
          <w:sz w:val="24"/>
        </w:rPr>
        <w:t>保证性承诺。</w:t>
      </w:r>
    </w:p>
    <w:p w14:paraId="320693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（五）其他违反金融消费者权益保护相关法律法规和监管规定的行为。</w:t>
      </w:r>
    </w:p>
    <w:p w14:paraId="4146CE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银行、支付机构应当切实承担金融知识普及和金融消费者教育的主体责任，提高金融消费者对金融产品和服务的认知能力，提升金融消费者金融素养和诚实守信意识。</w:t>
      </w:r>
    </w:p>
    <w:p w14:paraId="545B8E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支付机构应当制定年度金融知识普及与金融消费者教育工作计划，结合自身特点开展日常性金融知识普及与金融消费者教育活动，积极参与中国人民银行及其分支机构组织的金融知识普及活动。银行、支付机构不得以营销金融产品或者服务替代金融知识普及与金融消费者教育。</w:t>
      </w:r>
    </w:p>
    <w:p w14:paraId="577BA2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银行、支付机构应当重视金融消费者需求的多元性与差异性，积极支持普惠金融重点目标群体获得必要、及时的基本金融产品和服务。</w:t>
      </w:r>
    </w:p>
    <w:p w14:paraId="3D1179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出现侵害金融消费者合法权益重大事件的，银行、支付机构应当根据重大事项报告的相关规定及时向中国人民银行或其分支机构报告。</w:t>
      </w:r>
    </w:p>
    <w:p w14:paraId="625C92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银行、支付机构应当配合中国人民银行及其分支机构开展金融消费者权益保护领域的相关工作，按照规定报送相关资料。</w:t>
      </w:r>
    </w:p>
    <w:p w14:paraId="146C2E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消费者金融信息保护</w:t>
      </w:r>
    </w:p>
    <w:p w14:paraId="1531AF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本办法所称消费者金融信息，是指银行、支付机构通过开展业务或者其他合法渠道处理的消费者信息，包括个人身份信息、财产信息、账户信息、信用信息、金融交易信息及其他与特定消费者购买、使用金融产品或者服务相关的信息。</w:t>
      </w:r>
    </w:p>
    <w:p w14:paraId="2E1B3F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消费者金融信息的处理包括消费者金融信息的收集、存储、使用、加工、传输、提供、公开等。</w:t>
      </w:r>
    </w:p>
    <w:p w14:paraId="665545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银行、支付机构处理消费者金融信息，应当遵循合法、正当、必要原则，经金融消费者或者其监护人明示同意，但是法律、行政法规另有规定的除外。银行、支付机构不得收集与业务无关的消费者金融信息，不得采取不正当方式收集消费者金融信息，不得变相强制收集消费者金融信息。银行、支付机</w:t>
      </w:r>
      <w:r>
        <w:rPr>
          <w:rFonts w:ascii="宋体" w:eastAsia="宋体" w:hAnsi="宋体" w:cs="宋体" w:hint="eastAsia"/>
          <w:sz w:val="24"/>
        </w:rPr>
        <w:lastRenderedPageBreak/>
        <w:t>构不得以金融消费者不同意处理其金融信息为由拒绝提供金融产品或者服务，但处理其金融信息属于提供金融产品或者服务所必需的除外。</w:t>
      </w:r>
    </w:p>
    <w:p w14:paraId="705EBA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金融消费者不能或者拒绝提供必要信息，致使银行、支付机构无法履行反洗</w:t>
      </w:r>
      <w:proofErr w:type="gramStart"/>
      <w:r>
        <w:rPr>
          <w:rFonts w:ascii="宋体" w:eastAsia="宋体" w:hAnsi="宋体" w:cs="宋体" w:hint="eastAsia"/>
          <w:sz w:val="24"/>
        </w:rPr>
        <w:t>钱义务</w:t>
      </w:r>
      <w:proofErr w:type="gramEnd"/>
      <w:r>
        <w:rPr>
          <w:rFonts w:ascii="宋体" w:eastAsia="宋体" w:hAnsi="宋体" w:cs="宋体" w:hint="eastAsia"/>
          <w:sz w:val="24"/>
        </w:rPr>
        <w:t>的，银行、支付机构可以根据《中华人民共和国反洗钱法》的相关规定对其金融活动采取限制性措施；确有必要时，银行、支付机构可以依法拒绝提供金融产品或者服务。</w:t>
      </w:r>
    </w:p>
    <w:p w14:paraId="7D2FBE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银行、支付机构收集消费者金融信息用于营销、用户体验改进或者市场调查的，应当以适当方式</w:t>
      </w:r>
      <w:proofErr w:type="gramStart"/>
      <w:r>
        <w:rPr>
          <w:rFonts w:ascii="宋体" w:eastAsia="宋体" w:hAnsi="宋体" w:cs="宋体" w:hint="eastAsia"/>
          <w:sz w:val="24"/>
        </w:rPr>
        <w:t>供金融</w:t>
      </w:r>
      <w:proofErr w:type="gramEnd"/>
      <w:r>
        <w:rPr>
          <w:rFonts w:ascii="宋体" w:eastAsia="宋体" w:hAnsi="宋体" w:cs="宋体" w:hint="eastAsia"/>
          <w:sz w:val="24"/>
        </w:rPr>
        <w:t>消费者自主选择是否同意银行、支付机构将其金融信息用于上述目的；金融消费者不同意的，银行、支付机构不得因此拒绝提供金融产品或者服务。银行、支付机构向金融消费者发送金融营销信息的，应当向其提供拒绝继续接收金融营销信息的方式。</w:t>
      </w:r>
    </w:p>
    <w:p w14:paraId="2BAD2C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银行、支付机构应当履行《中华人民共和国消费者权益保护法》第二十九条规定的明示义务，公开收集、使用消费者金融信息的规则，明示收集、使用消费者金融信息的目的、方式和范围，并留存有关证明资料。</w:t>
      </w:r>
    </w:p>
    <w:p w14:paraId="2D8803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银行、支付机构通过格式条款取得消费者金融信息收集、使用同意的，应当在格式条款中明确收集消费者金融信息的目的、方式、内容和使用范围，并在协议中以显著方式尽可能通俗易懂地向金融消费者提示</w:t>
      </w:r>
      <w:proofErr w:type="gramStart"/>
      <w:r>
        <w:rPr>
          <w:rFonts w:ascii="宋体" w:eastAsia="宋体" w:hAnsi="宋体" w:cs="宋体" w:hint="eastAsia"/>
          <w:sz w:val="24"/>
        </w:rPr>
        <w:t>该同意</w:t>
      </w:r>
      <w:proofErr w:type="gramEnd"/>
      <w:r>
        <w:rPr>
          <w:rFonts w:ascii="宋体" w:eastAsia="宋体" w:hAnsi="宋体" w:cs="宋体" w:hint="eastAsia"/>
          <w:sz w:val="24"/>
        </w:rPr>
        <w:t>的可能后果。</w:t>
      </w:r>
    </w:p>
    <w:p w14:paraId="560858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银行、支付机构应当按照法律法规的规定和双方约定的用途使用消费者金融信息，不得超出范围使用。</w:t>
      </w:r>
    </w:p>
    <w:p w14:paraId="19446A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银行、支付机构应当建立以分级授权为核心的消费者金融信息使用管理制度，根据消费者金融信息的重要性、敏感度及业务开展需要，在不影响本机构履行反洗钱等法定义务的前提下，合理确定本机构工作人员调取信息的范围、权限，严格落实信息使用授权审批程序。</w:t>
      </w:r>
    </w:p>
    <w:p w14:paraId="70C7AD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银行、支付机构应当按照国家档案管理和电子数据管理等规定，采取技术措施和其他必要措施，妥善保管和存储所收集的消费者金融信息，防止信息遗失、毁损、泄露或者被篡改。</w:t>
      </w:r>
    </w:p>
    <w:p w14:paraId="374549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银行、支付机构及其工作人员应当对消费者金融信息严格保密，不得泄露或</w:t>
      </w:r>
      <w:r>
        <w:rPr>
          <w:rFonts w:ascii="宋体" w:eastAsia="宋体" w:hAnsi="宋体" w:cs="宋体" w:hint="eastAsia"/>
          <w:sz w:val="24"/>
        </w:rPr>
        <w:lastRenderedPageBreak/>
        <w:t>者非法向他人提供。在确认信息发生泄露、毁损、丢失时，银行、支付机构应当立即采取补救措施；信息泄露、毁损、丢失可能危及金融消费者人身、财产安全的，应当立即向银行、支付机构住所地的中国人民银行分支机构报告并告知金融消费者；信息泄露、毁损、丢失可能对金融消费者产生其他不利影响的，应当及时告知金融消费者，并在72小时以内报告银行、支付机构住所地的中国人民银行分支机构。中国人民银行分支机构接到报告后，视情况按照本办法第五十五条规定处理。</w:t>
      </w:r>
    </w:p>
    <w:p w14:paraId="7830AF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金融消费争议解决</w:t>
      </w:r>
    </w:p>
    <w:p w14:paraId="7EBB76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金融消费者与银行、支付机构发生金融消费争议的，鼓励金融消费者先向银行、支付机构投诉，鼓励当事人平等协商，自行和解。</w:t>
      </w:r>
    </w:p>
    <w:p w14:paraId="78AFB4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金融消费者应当依法通过正当途径客观、理性反映诉求，不扰乱正常的金融秩序和社会公共秩序。</w:t>
      </w:r>
    </w:p>
    <w:p w14:paraId="07B0E9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本办法所称金融消费争议，是指金融消费者与银行、支付机构因购买、使用金融产品或者服务所产生的民事争议。</w:t>
      </w:r>
    </w:p>
    <w:p w14:paraId="28ECD8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银行、支付机构应当切实履行金融消费投诉处理的主体责任，银行、支付机构的法人机构应当按年度向社会发布金融消费者投诉数据和相关分析报告。</w:t>
      </w:r>
    </w:p>
    <w:p w14:paraId="213B93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银行、支付机构应当通过金融消费者方便获取的渠道公示本机构的投诉受理方式，包括但不限于营业场所、官方网站首页、移动应用程序的醒目位置及客</w:t>
      </w:r>
      <w:proofErr w:type="gramStart"/>
      <w:r>
        <w:rPr>
          <w:rFonts w:ascii="宋体" w:eastAsia="宋体" w:hAnsi="宋体" w:cs="宋体" w:hint="eastAsia"/>
          <w:sz w:val="24"/>
        </w:rPr>
        <w:t>服电话</w:t>
      </w:r>
      <w:proofErr w:type="gramEnd"/>
      <w:r>
        <w:rPr>
          <w:rFonts w:ascii="宋体" w:eastAsia="宋体" w:hAnsi="宋体" w:cs="宋体" w:hint="eastAsia"/>
          <w:sz w:val="24"/>
        </w:rPr>
        <w:t>主要菜单语音提示等。</w:t>
      </w:r>
    </w:p>
    <w:p w14:paraId="059E20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银行、支付机构应当按照中国人民银行要求，加强对金融消费者投诉处理信息系统的建设与管理，对投诉进行正确分类并按时报送相关信息，不得迟报、漏报、谎报、错报或者瞒报投诉数据。</w:t>
      </w:r>
    </w:p>
    <w:p w14:paraId="1E3EA8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银行、支付机构收到金融消费者投诉后，依照相关法律法规和合同约定进行处理，并告知投诉人处理情况，但因投诉</w:t>
      </w:r>
      <w:proofErr w:type="gramStart"/>
      <w:r>
        <w:rPr>
          <w:rFonts w:ascii="宋体" w:eastAsia="宋体" w:hAnsi="宋体" w:cs="宋体" w:hint="eastAsia"/>
          <w:sz w:val="24"/>
        </w:rPr>
        <w:t>人原因</w:t>
      </w:r>
      <w:proofErr w:type="gramEnd"/>
      <w:r>
        <w:rPr>
          <w:rFonts w:ascii="宋体" w:eastAsia="宋体" w:hAnsi="宋体" w:cs="宋体" w:hint="eastAsia"/>
          <w:sz w:val="24"/>
        </w:rPr>
        <w:t>导致无法告知的除外。</w:t>
      </w:r>
    </w:p>
    <w:p w14:paraId="64CE0E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第四十条 中国人民银行分支机构设立投诉转办服务渠道。金融消费者对银行、支付机构</w:t>
      </w:r>
      <w:proofErr w:type="gramStart"/>
      <w:r>
        <w:rPr>
          <w:rFonts w:ascii="宋体" w:eastAsia="宋体" w:hAnsi="宋体" w:cs="宋体" w:hint="eastAsia"/>
          <w:sz w:val="24"/>
        </w:rPr>
        <w:t>作出</w:t>
      </w:r>
      <w:proofErr w:type="gramEnd"/>
      <w:r>
        <w:rPr>
          <w:rFonts w:ascii="宋体" w:eastAsia="宋体" w:hAnsi="宋体" w:cs="宋体" w:hint="eastAsia"/>
          <w:sz w:val="24"/>
        </w:rPr>
        <w:t>的投诉处理不接受的，可以通过银行、支付机构住所地、合同签订地或者经营行为发生地中国人民银行分支机构进行投诉。</w:t>
      </w:r>
    </w:p>
    <w:p w14:paraId="500DCF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通过电子商务、网络交易购买、使用金融产品或者服务的，金融消费者通过银行、支付机构住所地的中国人民银行分支机构进行投诉。</w:t>
      </w:r>
    </w:p>
    <w:p w14:paraId="3CE922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金融消费者通过中国人民银行分支机构进行投诉，应当提供以下信息：姓名，有效身份证件信息，联系方式，明确的投诉对象及其住所地，具体的投诉请求、事实和理由。</w:t>
      </w:r>
    </w:p>
    <w:p w14:paraId="56E5B8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消费者可以本人提出投诉，也可以委托他人代为提出投诉。以来信来访方式进行委托投诉的，应当向中国人民银行分支机构提交前款规定的投诉材料、授权委托书原件、委托人和受托人的身份证明。授权委托书应当载明受托人、委托事项、权限和期限，并由委托人本人签名。</w:t>
      </w:r>
    </w:p>
    <w:p w14:paraId="45DEF1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中国人民银行分支机构对下列投诉不予接收：</w:t>
      </w:r>
    </w:p>
    <w:p w14:paraId="14F4BE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（一）投诉人投诉的机构、产品或者服务不属于中国人民银行监管范围的。</w:t>
      </w:r>
    </w:p>
    <w:p w14:paraId="0C2FFE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（二）投诉人未提供真实身份，或者没有明确的被投诉人、没有具体的投诉请求和事实依据的。</w:t>
      </w:r>
    </w:p>
    <w:p w14:paraId="283B3D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（三）投诉人并非金融消费者本人，也未经金融消费者本人委托的。</w:t>
      </w:r>
    </w:p>
    <w:p w14:paraId="03A37D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（四）人民法院、仲裁机构、其他金融管理部门、行政部门或者依法设立的调解组织已经受理、接收或者处理的。</w:t>
      </w:r>
    </w:p>
    <w:p w14:paraId="322141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（五）双方达成和解协议并已经执行，没有新情况、新理由的。</w:t>
      </w:r>
    </w:p>
    <w:p w14:paraId="40E776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（六）被投诉机构已提供公平合理的解决方案，投诉人就同一事项再次向中国人民银行分支机构投诉的。</w:t>
      </w:r>
    </w:p>
    <w:p w14:paraId="0AB7ED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（七）其他不符合法律、行政法规、规章有关规定的。</w:t>
      </w:r>
    </w:p>
    <w:p w14:paraId="4D0FB1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中国人民银行分支机构收到金融消费者投诉的，应当自收到投诉之日起7个工作日内</w:t>
      </w:r>
      <w:proofErr w:type="gramStart"/>
      <w:r>
        <w:rPr>
          <w:rFonts w:ascii="宋体" w:eastAsia="宋体" w:hAnsi="宋体" w:cs="宋体" w:hint="eastAsia"/>
          <w:sz w:val="24"/>
        </w:rPr>
        <w:t>作出</w:t>
      </w:r>
      <w:proofErr w:type="gramEnd"/>
      <w:r>
        <w:rPr>
          <w:rFonts w:ascii="宋体" w:eastAsia="宋体" w:hAnsi="宋体" w:cs="宋体" w:hint="eastAsia"/>
          <w:sz w:val="24"/>
        </w:rPr>
        <w:t>下列处理：</w:t>
      </w:r>
    </w:p>
    <w:p w14:paraId="6E127D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（一）对投诉人和被投诉机构信息、投诉请求、事实和理由等进行登记。</w:t>
      </w:r>
    </w:p>
    <w:p w14:paraId="56632C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w:t>
      </w:r>
      <w:proofErr w:type="gramStart"/>
      <w:r>
        <w:rPr>
          <w:rFonts w:ascii="宋体" w:eastAsia="宋体" w:hAnsi="宋体" w:cs="宋体" w:hint="eastAsia"/>
          <w:sz w:val="24"/>
        </w:rPr>
        <w:t>作出</w:t>
      </w:r>
      <w:proofErr w:type="gramEnd"/>
      <w:r>
        <w:rPr>
          <w:rFonts w:ascii="宋体" w:eastAsia="宋体" w:hAnsi="宋体" w:cs="宋体" w:hint="eastAsia"/>
          <w:sz w:val="24"/>
        </w:rPr>
        <w:t>是否接收投诉的决定。决定不予接收的，应当告知投诉人。</w:t>
      </w:r>
    </w:p>
    <w:p w14:paraId="359D93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（三）决定接收投诉的，应当将投诉转交被投诉机构处理或者转交金融消费纠纷调解组织提供调解服务。</w:t>
      </w:r>
    </w:p>
    <w:p w14:paraId="7936A9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需要投诉人对投诉内容进行补正的，处理时限于补正完成之日起计算。</w:t>
      </w:r>
    </w:p>
    <w:p w14:paraId="41094F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支付机构应当自收到中国人民银行分支机构转交的投诉之日起15日内答复投诉人。情况复杂的，经本机构投诉处理工作负责人批准，可以延长处理期限，并告知投诉人延长处理期限的理由，但最长处理期限不得超过60日。</w:t>
      </w:r>
    </w:p>
    <w:p w14:paraId="1D2D77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银行、支付机构收到中国人民银行分支机构转交的投诉，应当按要求向中国人民银行分支机构反馈投诉处理情况。</w:t>
      </w:r>
    </w:p>
    <w:p w14:paraId="7447E9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反馈的内容包括投诉基本情况、争议焦点、调查结果及证据、处理依据、与金融消费者的沟通情况、延期处理情况及投诉人满意度等。</w:t>
      </w:r>
    </w:p>
    <w:p w14:paraId="05DA48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银行、支付机构应当妥善保存投诉资料，投诉资料留存时间</w:t>
      </w:r>
      <w:proofErr w:type="gramStart"/>
      <w:r>
        <w:rPr>
          <w:rFonts w:ascii="宋体" w:eastAsia="宋体" w:hAnsi="宋体" w:cs="宋体" w:hint="eastAsia"/>
          <w:sz w:val="24"/>
        </w:rPr>
        <w:t>自投诉</w:t>
      </w:r>
      <w:proofErr w:type="gramEnd"/>
      <w:r>
        <w:rPr>
          <w:rFonts w:ascii="宋体" w:eastAsia="宋体" w:hAnsi="宋体" w:cs="宋体" w:hint="eastAsia"/>
          <w:sz w:val="24"/>
        </w:rPr>
        <w:t>办结之日起不得少于3年。法律、行政法规另有规定的，从其规定。</w:t>
      </w:r>
    </w:p>
    <w:p w14:paraId="221301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银行、支付机构、金融消费者可以向调解组织申请调解、中立评估。调解组织受理调解、中立评估申请后，可在合理、必要范围内请求当事人协助或者提供相关文件、资料。</w:t>
      </w:r>
    </w:p>
    <w:p w14:paraId="4E2EE4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本办法所称中立评估，是指调解组织聘请独立专家就争议解决提出参考性建议的行为。</w:t>
      </w:r>
    </w:p>
    <w:p w14:paraId="780A56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金融消费纠纷调解组织应当依照法律、行政法规、规章及其章程的规定，组织开展金融消费纠纷调解、中立评估等工作，对银行、支付机构和金融消费者进行金融知识普及和教育宣传引导。</w:t>
      </w:r>
    </w:p>
    <w:p w14:paraId="3FA5EB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监督与管理机制</w:t>
      </w:r>
    </w:p>
    <w:p w14:paraId="5B504C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中国人民银行综合研究金融消费者保护重大问题，负责拟定发展规划和业务标准，建立健全金融消费者保护基本制度。</w:t>
      </w:r>
    </w:p>
    <w:p w14:paraId="3280A6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第四十八条 中国人民银行及其分支机构与其他金融管理部门、地方政府有关部门建立健全金融消费者权益保护工作协调机制，加强跨市场</w:t>
      </w:r>
      <w:proofErr w:type="gramStart"/>
      <w:r>
        <w:rPr>
          <w:rFonts w:ascii="宋体" w:eastAsia="宋体" w:hAnsi="宋体" w:cs="宋体" w:hint="eastAsia"/>
          <w:sz w:val="24"/>
        </w:rPr>
        <w:t>跨业态跨区域</w:t>
      </w:r>
      <w:proofErr w:type="gramEnd"/>
      <w:r>
        <w:rPr>
          <w:rFonts w:ascii="宋体" w:eastAsia="宋体" w:hAnsi="宋体" w:cs="宋体" w:hint="eastAsia"/>
          <w:sz w:val="24"/>
        </w:rPr>
        <w:t>金融消费者权益保护的监管，强化信息共享和部门间沟通协作。</w:t>
      </w:r>
    </w:p>
    <w:p w14:paraId="0C84D6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第四十九条 中国人民银行及其分支机构统筹开展金融消费者教育，引导、督促银行、支付机构开展金融知识普及宣传活动，协调推进金融知识纳入国民教育体系，组织开展消费者金融素养调查。</w:t>
      </w:r>
    </w:p>
    <w:p w14:paraId="5F2914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第五十条 中国人民银行及其分支机构会同有关部门构建监管执法合作机制，探索合作开展金融消费者权益保护监督检查、评估等具体工作。</w:t>
      </w:r>
    </w:p>
    <w:p w14:paraId="460474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第五十一条 中国人民银行及其分支机构牵头构建非诉第三方解决机制，鼓励、支持金融消费者权益保护社会组织依法履行职责，推动构建公正、高效、便捷的多元化金融消费纠纷解决体系。</w:t>
      </w:r>
    </w:p>
    <w:p w14:paraId="3401B1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第五十二条 中国人民银行及其分支机构协调推进相关普惠金融工作，建立健全普惠金融工作机制，指导、督促银行、支付机构落实普惠金融发展战略，组织开展职责范围内的普惠金融具体工作。</w:t>
      </w:r>
    </w:p>
    <w:p w14:paraId="400115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第五十三条 中国人民银行及其分支机构对金融消费者投诉信息进行汇总和分析，根据汇总和分析结果适时优化金融消费者权益保护监督管理方式、金融机构行为规范等。</w:t>
      </w:r>
    </w:p>
    <w:p w14:paraId="0494DE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第五十四条 中国人民银行及其分支机构可以采取下列措施，依法在职责范围内开展对银行、支付机构金融消费者权益保护工作的监督检查：</w:t>
      </w:r>
    </w:p>
    <w:p w14:paraId="5E33ED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（一）进入被监管机构进行检查。</w:t>
      </w:r>
    </w:p>
    <w:p w14:paraId="093DA7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（二）询问被监管机构的工作人员，要求其对有关检查事项</w:t>
      </w:r>
      <w:proofErr w:type="gramStart"/>
      <w:r>
        <w:rPr>
          <w:rFonts w:ascii="宋体" w:eastAsia="宋体" w:hAnsi="宋体" w:cs="宋体" w:hint="eastAsia"/>
          <w:sz w:val="24"/>
        </w:rPr>
        <w:t>作出</w:t>
      </w:r>
      <w:proofErr w:type="gramEnd"/>
      <w:r>
        <w:rPr>
          <w:rFonts w:ascii="宋体" w:eastAsia="宋体" w:hAnsi="宋体" w:cs="宋体" w:hint="eastAsia"/>
          <w:sz w:val="24"/>
        </w:rPr>
        <w:t>说明。</w:t>
      </w:r>
    </w:p>
    <w:p w14:paraId="1D3D80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（三）查阅、复制被监管机构与检查事项有关的文件、资料，对可能被转移、隐匿或者毁损的文件、资料予以登记保存。</w:t>
      </w:r>
    </w:p>
    <w:p w14:paraId="5B6A0C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（四）检查被监管机构的计算机网络与信息系统。</w:t>
      </w:r>
    </w:p>
    <w:p w14:paraId="0E5BE9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进行现场检查时，检查人员不得少于二人，并应当出示合法证件和检查通知书。</w:t>
      </w:r>
    </w:p>
    <w:p w14:paraId="772B93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银行、支付机构应当积极配合中国人民银行及其分支机构的现场检查和非现场检查，如实提供有关资料，不得拒绝、阻挠、逃避检查，不得谎报、隐匿、销毁相关证据材料。</w:t>
      </w:r>
    </w:p>
    <w:p w14:paraId="5DD4EE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第五十五条 银行、支付机构有侵害金融消费者合法权益行为的，中国人民银行及其分支机构可以对其采取下列措施：</w:t>
      </w:r>
    </w:p>
    <w:p w14:paraId="4CDB68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（一）要求提交书面说明或者承诺。</w:t>
      </w:r>
    </w:p>
    <w:p w14:paraId="183E17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（二）约见谈话。</w:t>
      </w:r>
    </w:p>
    <w:p w14:paraId="210B66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（三）责令限期整改。</w:t>
      </w:r>
    </w:p>
    <w:p w14:paraId="4D55BD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（四）视情将相关信息向其上级机构、行业监管部门反馈，在行业范围内发布，或者向社会公布。</w:t>
      </w:r>
    </w:p>
    <w:p w14:paraId="6D5DA3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（五）建议银行、支付机构对直接负责的董事、高级管理人员和其他直接责任人员给予处分。</w:t>
      </w:r>
    </w:p>
    <w:p w14:paraId="3C583D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（六）依法查处或者建议其他行政管理部门依法查处。</w:t>
      </w:r>
    </w:p>
    <w:p w14:paraId="203D2D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（七）中国人民银行职责范围内依法可以采取的其他措施。</w:t>
      </w:r>
    </w:p>
    <w:p w14:paraId="660EF4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第五十六条 中国人民银行及其分支机构组织开展银行、支付机构履行金融消费者权益保护义务情况的评估工作。</w:t>
      </w:r>
    </w:p>
    <w:p w14:paraId="66CEA4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评估工作以银行、支付机构自评估为基础。银行、支付机构应当按年度进行自评估，并于次年1月31日前向中国人民银行或其分支机构报送自评估报告。</w:t>
      </w:r>
    </w:p>
    <w:p w14:paraId="209A55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中国人民银行及其分支机构根据日常监督管理、投诉管理以及银行、支付机构自评估等情况进行非现场评估，必要时可以进行现场评估。</w:t>
      </w:r>
    </w:p>
    <w:p w14:paraId="5BC40A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第五十七条 中国人民银行及其分支机构可以根据具体情况开展金融消费者权益保护环境评估工作。</w:t>
      </w:r>
    </w:p>
    <w:p w14:paraId="0AD3C3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第五十八条 中国人民银行及其分支机构建立金融消费者权益保护案例库制度，按照预防为先、教育为主的原则向银行、支付机构和金融消费者进行风险提示。</w:t>
      </w:r>
    </w:p>
    <w:p w14:paraId="78FD91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第五十九条 中国人民银行及其分支机构对于涉及金融消费者权益保护的重大突发事件，应当按照有关规定做好相关应急处置工作。</w:t>
      </w:r>
    </w:p>
    <w:p w14:paraId="32D517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法律责任</w:t>
      </w:r>
    </w:p>
    <w:p w14:paraId="33F57B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第六十条 银行、支付机构有下列情形之一，侵害消费者金融信息依法得到保护的权利的，中国人民银行或其分支机构应当在职责范围内依照《中华人民共和国消费者权益保护法》第五十六条的规定予以处罚：</w:t>
      </w:r>
    </w:p>
    <w:p w14:paraId="6B8535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（一）未经金融消费者明示同意，收集、使用其金融信息的。</w:t>
      </w:r>
    </w:p>
    <w:p w14:paraId="705C19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（二）收集与业务无关的消费者金融信息，或者采取不正当方式收集消费者金融信息的。</w:t>
      </w:r>
    </w:p>
    <w:p w14:paraId="183FCE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（三）未公开收集、使用消费者金融信息的规则，未明示收集、使用消费者金融信息的目的、方式和范围的。</w:t>
      </w:r>
    </w:p>
    <w:p w14:paraId="62E428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（四）超出法律法规规定和双方约定的用途使用消费者金融信息的。</w:t>
      </w:r>
    </w:p>
    <w:p w14:paraId="65FB4D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（五）未建立以分级授权为核心的消费者金融信息使用管理制度，或者未严格落实信息使用授权审批程序的。</w:t>
      </w:r>
    </w:p>
    <w:p w14:paraId="74CC76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（六）未采取技术措施和其他必要措施，导致消费者金融信息遗失、毁损、泄露或者被篡改，或者非法向他人提供的。</w:t>
      </w:r>
    </w:p>
    <w:p w14:paraId="62EB5E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第六十一条 银行、支付机构有下列情形之一，对金融产品或者服务</w:t>
      </w:r>
      <w:proofErr w:type="gramStart"/>
      <w:r>
        <w:rPr>
          <w:rFonts w:ascii="宋体" w:eastAsia="宋体" w:hAnsi="宋体" w:cs="宋体" w:hint="eastAsia"/>
          <w:sz w:val="24"/>
        </w:rPr>
        <w:t>作出</w:t>
      </w:r>
      <w:proofErr w:type="gramEnd"/>
      <w:r>
        <w:rPr>
          <w:rFonts w:ascii="宋体" w:eastAsia="宋体" w:hAnsi="宋体" w:cs="宋体" w:hint="eastAsia"/>
          <w:sz w:val="24"/>
        </w:rPr>
        <w:t>虚假或者引人误解的宣传的，中国人民银行或其分支机构应当在职责范围内依照《中华人民共和国消费者权益保护法》第五十六条的规定予以处罚：</w:t>
      </w:r>
    </w:p>
    <w:p w14:paraId="7A87BA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（一）实际承担的义务低于在营销宣传活动中通过广告、资料或者说明等形式对金融消费者所承诺的标准的。</w:t>
      </w:r>
    </w:p>
    <w:p w14:paraId="440FC9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（二）引用不真实、不准确的数据和资料或者隐瞒限制条件等，对过往业绩或者产品收益进行夸大表述的。</w:t>
      </w:r>
    </w:p>
    <w:p w14:paraId="2CA27B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（三）利用金融管理部门对金融产品或者服务的审核或者备案程序，误导金融消费者认为金融管理部门已对该金融产品或者服务提供保证的。</w:t>
      </w:r>
    </w:p>
    <w:p w14:paraId="7066F3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（四）明示或者暗示保本、无风险或者保收益等，对非保本投资型金融产品的未来效果、收益或者相关情况</w:t>
      </w:r>
      <w:proofErr w:type="gramStart"/>
      <w:r>
        <w:rPr>
          <w:rFonts w:ascii="宋体" w:eastAsia="宋体" w:hAnsi="宋体" w:cs="宋体" w:hint="eastAsia"/>
          <w:sz w:val="24"/>
        </w:rPr>
        <w:t>作出</w:t>
      </w:r>
      <w:proofErr w:type="gramEnd"/>
      <w:r>
        <w:rPr>
          <w:rFonts w:ascii="宋体" w:eastAsia="宋体" w:hAnsi="宋体" w:cs="宋体" w:hint="eastAsia"/>
          <w:sz w:val="24"/>
        </w:rPr>
        <w:t>保证性承诺的。</w:t>
      </w:r>
    </w:p>
    <w:p w14:paraId="38A781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第六十二条 银行、支付机构违反本办法规定，有下列情形之一，有关法律、行政法规有处罚规定的，依照其规定给予处罚；有关法律、行政法规未作处罚规定的，中国人民银行或其分支机构应当根据情形单处或者并处警告、处以五千元以上三万元以下罚款：</w:t>
      </w:r>
    </w:p>
    <w:p w14:paraId="0D1E94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（一）未建立金融消费者权益保护专职部门或者指定牵头部门，或者金融消费者权益保护部门没有足够的人力、物力独立开展工作的。</w:t>
      </w:r>
    </w:p>
    <w:p w14:paraId="692112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（二）擅自代理金融消费者办理业务，擅自修改金融消费者的业务指令，或者强制搭售其他产品或者服务的。</w:t>
      </w:r>
    </w:p>
    <w:p w14:paraId="34CFA9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（三）未按要求向金融消费者披露与金融产品和服务有关的重要内容的。</w:t>
      </w:r>
    </w:p>
    <w:p w14:paraId="1DA33D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（四）利用技术手段、优势地位，强制或者变相强制金融消费者接受金融产品或者服务，或者排除、限制金融消费者接受同业机构提供的金融产品或者服务的。</w:t>
      </w:r>
    </w:p>
    <w:p w14:paraId="1A7914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（五）通过附加限制性条件的方式要求金融消费者购买、使用协议中未作明确要求的产品或者服务的。</w:t>
      </w:r>
    </w:p>
    <w:p w14:paraId="32148D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（六）未按要求使用格式条款的。</w:t>
      </w:r>
    </w:p>
    <w:p w14:paraId="598EE6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（七）出现侵害金融消费者合法权益重大事件未及时向中国人民银行或其分支机构报告的。</w:t>
      </w:r>
    </w:p>
    <w:p w14:paraId="5A28D2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（八）不配合中国人民银行及其分支机构开展金融消费者权益保护领域相关工作，或者未按照规定报送相关资料的。</w:t>
      </w:r>
    </w:p>
    <w:p w14:paraId="6B2932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（九）未按要求对金融消费者投诉进行正确分类，或者迟报、漏报、谎报、错报、瞒报投诉数据的。</w:t>
      </w:r>
    </w:p>
    <w:p w14:paraId="267C13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（十）收到中国人民银行分支机构转交的投诉后，未在规定期限内答复投诉人，或者未按要求向中国人民银行分支机构反馈投诉处理情况的。</w:t>
      </w:r>
    </w:p>
    <w:p w14:paraId="0112AE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（十一）拒绝、阻挠、逃避检查，或者谎报、隐匿、销毁相关证据材料的。</w:t>
      </w:r>
    </w:p>
    <w:p w14:paraId="44CB73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第六十三条 对银行、支付机构侵害金融消费者权益重大案件负有直接责任的董事、高级管理人员和其他直接责任人员，有关法律、行政法规有处罚规定的，依照其规定给予处罚；有关法律、行政法规未作处罚规定的，中国人民银行或其分支机构应当根据情形单处或者并处警告、处以五千元以上三万元以下罚款。</w:t>
      </w:r>
    </w:p>
    <w:p w14:paraId="4C1DFB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第六十四条 中国人民银行及其分支机构的工作人员在开展金融消费者权益保护工作过程中有下列情形之一的，依法给予处分；涉嫌构成犯罪的，移送司法机关依法追究刑事责任：</w:t>
      </w:r>
    </w:p>
    <w:p w14:paraId="3542E0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（一）违反规定对银行、支付机构进行检查的。</w:t>
      </w:r>
    </w:p>
    <w:p w14:paraId="619C5A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（二）泄露知悉的国家秘密或者商业秘密的。</w:t>
      </w:r>
    </w:p>
    <w:p w14:paraId="4644FF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（三）滥用职权、玩忽职守的其他行为。</w:t>
      </w:r>
    </w:p>
    <w:p w14:paraId="5FFD5D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附 则</w:t>
      </w:r>
    </w:p>
    <w:p w14:paraId="160910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第六十五条 商业银行理财子公司、金融资产管理公司、信托公司、汽车金融公司、消费金融公司以及征信机构、个人本外币兑换特许业务经营机构参照适用本办法。法律、行政法规另有规定的，从其规定。</w:t>
      </w:r>
    </w:p>
    <w:p w14:paraId="74B7FE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第六十六条 本办法中除“工作日”以外的“日”为自然日。</w:t>
      </w:r>
    </w:p>
    <w:p w14:paraId="51A8BC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第六十七条 本办法由中国人民银行负责解释。</w:t>
      </w:r>
    </w:p>
    <w:p w14:paraId="515EA051"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第六十八条 本办法自2020年11月1日起施行。《中国人民银行金融消费权益保护工作管理办法（试行）》（银办发〔2013〕107号文印发）与《中国人民银行金融消费者权益保护实施办法》（银发〔2016〕314号文印发）同时废止。</w:t>
      </w:r>
    </w:p>
    <w:p w14:paraId="36391998"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33.《中国人民银行行政处罚程序规定》</w:t>
      </w:r>
    </w:p>
    <w:p w14:paraId="4797B1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发文机构：中国人民银行</w:t>
      </w:r>
      <w:r>
        <w:rPr>
          <w:rFonts w:ascii="宋体" w:eastAsia="宋体" w:hAnsi="宋体" w:cs="宋体" w:hint="eastAsia"/>
          <w:sz w:val="24"/>
        </w:rPr>
        <w:tab/>
        <w:t xml:space="preserve">    文号：中国人民银行令〔2022〕第3号</w:t>
      </w:r>
    </w:p>
    <w:p w14:paraId="218976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319893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规范中国人民银行及其分支机构的行政处罚行为，维护当事人合法权益，根据《中华人民共和国中国人民银行法》《中华人民共和国商业银行法》《中华人民共和国行政处罚法》等有关法律、行政法规，制定本规定。</w:t>
      </w:r>
    </w:p>
    <w:p w14:paraId="457256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中国人民银行及其分支机构依法对管辖的法人、非法人组织和自然人违反相关法律、行政法规、中国人民银行规章的行为给予行政处罚的，依照本规定实施。</w:t>
      </w:r>
    </w:p>
    <w:p w14:paraId="4E5F2E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中国人民银行及其分支机构应当依照法律、行政法规、中国人民银行规章的规定，公正、公开、合理地实施行政处罚，坚持处罚与教育相结合，与违法行为的事实、性质、情节以及社会危害程度相当。</w:t>
      </w:r>
    </w:p>
    <w:p w14:paraId="34895C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中国人民银行及其分支机构实施行政处罚，实行分级管理、分工负责，执法检查、案件调查与案件审理、案件决定相分离。</w:t>
      </w:r>
    </w:p>
    <w:p w14:paraId="14A776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中国人民银行及其分支机构依法公开行政处罚决定信息。</w:t>
      </w:r>
    </w:p>
    <w:p w14:paraId="778390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除法律、行政法规或者中国人民银行规章另有规定外，中国人民银行及其分支机构在行政处罚案件立案、调查、审理、决定过程中形成的案卷信息不予公开。当事人及其代理人可以按照规定申请查阅相关案卷信息。</w:t>
      </w:r>
    </w:p>
    <w:p w14:paraId="0D3BDB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中国人民银行及其分支机构的工作人员对实施行政处罚过程中知悉的国家秘密、工作秘密、商业秘密、个人隐私和个人信息应当依法予以保密，不得违反规定对外提供。</w:t>
      </w:r>
    </w:p>
    <w:p w14:paraId="4C63CE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行政处罚决定信息公布之前，当事人、中国人民银行及其分支机构的工作人员、参与案件调查的辅助人员、提供意见的外部专家等对行政处罚情况负有保密义务，不得泄露与行政处罚有关的信息。</w:t>
      </w:r>
    </w:p>
    <w:p w14:paraId="2BF5E9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管 辖</w:t>
      </w:r>
    </w:p>
    <w:p w14:paraId="140BCE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第七条 中国人民银行负责对下列违法违规行为实施行政处罚：</w:t>
      </w:r>
    </w:p>
    <w:p w14:paraId="23EAFB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（一）法律、行政法规、中国人民银行规章规定由中国人民银行实施行政处罚的违法违规行为；</w:t>
      </w:r>
    </w:p>
    <w:p w14:paraId="08CE39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（二）以中国人民银行名义开展执法检查发现的违法违规行为；</w:t>
      </w:r>
    </w:p>
    <w:p w14:paraId="6A812E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（三）全国范围内有重大影响的违法违规行为；</w:t>
      </w:r>
    </w:p>
    <w:p w14:paraId="78E9A0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（四）中国人民银行认为应当由其直接实施行政处罚的其他违法违规行为。</w:t>
      </w:r>
    </w:p>
    <w:p w14:paraId="35C345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中国人民银行分支机构负责对下列违法违规行为实施行政处罚：</w:t>
      </w:r>
    </w:p>
    <w:p w14:paraId="1F57E9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（一）所监管的法人、非法人组织和自然人的违法违规行为；</w:t>
      </w:r>
    </w:p>
    <w:p w14:paraId="0A9B80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（二）发生在辖区内的违法违规行为；</w:t>
      </w:r>
    </w:p>
    <w:p w14:paraId="0AA763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（三）以本单位名义开展执法检查发现的违法违规行为；</w:t>
      </w:r>
    </w:p>
    <w:p w14:paraId="52AB7F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（四）中国人民银行授权其开展执法检查发现的违法违规行为；</w:t>
      </w:r>
    </w:p>
    <w:p w14:paraId="18543D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（五）中国人民银行指定其管辖的其他违法违规行为。</w:t>
      </w:r>
    </w:p>
    <w:p w14:paraId="72D8EA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当事人的违法违规行为涉及信息网络等因素，无法确定发生地的，原则上由当事人所在地的中国人民银行分支机构管辖。</w:t>
      </w:r>
    </w:p>
    <w:p w14:paraId="06986B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中国人民银行或其分支机构根据需要可以直接对下级行辖区内有重大影响、案情复杂的违法违规行为实施行政处罚。</w:t>
      </w:r>
    </w:p>
    <w:p w14:paraId="206AEC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中国人民银行分支机构认为应当由其实施行政处罚的违法违规行为情节严重、有重大影响的，可以请求上级行实施行政处罚。</w:t>
      </w:r>
    </w:p>
    <w:p w14:paraId="4108BA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中国人民银行根据实际情况，认为案件不适宜由相关中国人民银行分支机构负责实施行政处罚的，可以自行实施行政处罚，或者指定其上级行、其他同级中国人民银行分支机构负责实施行政处罚。</w:t>
      </w:r>
    </w:p>
    <w:p w14:paraId="06E477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中国人民银行根据履行法定职责的需要，可以决定由特定中国人民银行分支机构集中行使其他中国人民银行分支机构的部分或者全部管辖权，具体方式和集中管辖的案件范围由中国人民银行另行规定。</w:t>
      </w:r>
    </w:p>
    <w:p w14:paraId="05D136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第十二条 除法律、行政法规另有规定外，《中华人民共和国行政处罚法》第九条第三项、第四项所规定的行政处罚，以及其他涉及许可证件、资质等级、生产经营等行政处罚，由颁发该许可证件、授予该资质等级、准许生产经营的中国人民银行或其分支机构实施。</w:t>
      </w:r>
    </w:p>
    <w:p w14:paraId="462919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两个以上中国人民银行分支机构对同</w:t>
      </w:r>
      <w:proofErr w:type="gramStart"/>
      <w:r>
        <w:rPr>
          <w:rFonts w:ascii="宋体" w:eastAsia="宋体" w:hAnsi="宋体" w:cs="宋体" w:hint="eastAsia"/>
          <w:sz w:val="24"/>
        </w:rPr>
        <w:t>一违法</w:t>
      </w:r>
      <w:proofErr w:type="gramEnd"/>
      <w:r>
        <w:rPr>
          <w:rFonts w:ascii="宋体" w:eastAsia="宋体" w:hAnsi="宋体" w:cs="宋体" w:hint="eastAsia"/>
          <w:sz w:val="24"/>
        </w:rPr>
        <w:t>违规行为均有管辖权的，由最先立案的中国人民银行分支机构管辖。</w:t>
      </w:r>
    </w:p>
    <w:p w14:paraId="31C03B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中国人民银行分支机构对管辖权发生争议的，应当协商解决，协商不成的，逐级报请共同的上级行指定管辖；也可以由共同的上级行直接指定管辖。</w:t>
      </w:r>
    </w:p>
    <w:p w14:paraId="36AE780B"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作出</w:t>
      </w:r>
      <w:proofErr w:type="gramEnd"/>
      <w:r>
        <w:rPr>
          <w:rFonts w:ascii="宋体" w:eastAsia="宋体" w:hAnsi="宋体" w:cs="宋体" w:hint="eastAsia"/>
          <w:sz w:val="24"/>
        </w:rPr>
        <w:t>指定管辖决定的中国人民银行或其分支机构应当出具指定管辖通知书。</w:t>
      </w:r>
    </w:p>
    <w:p w14:paraId="5E401D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行政处罚委员会</w:t>
      </w:r>
    </w:p>
    <w:p w14:paraId="5CC254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中国人民银行及其分支机构设立行政处罚委员会，负责案件审理和审议决定行政处罚、决定涉及行政处罚的其他重大事项。</w:t>
      </w:r>
    </w:p>
    <w:p w14:paraId="2624EF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行政处罚委员会集体行使行政处罚权，接受上级行行政处罚委员会的指导和监督，其他部门和个人不得干涉行政处罚委员会依法独立行使职权。</w:t>
      </w:r>
    </w:p>
    <w:p w14:paraId="71FBA2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行政处罚委员会的组成人员、设立方式等事项由中国人民银行另行规定。</w:t>
      </w:r>
    </w:p>
    <w:p w14:paraId="5DA154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行政处罚委员会的主任由中国人民银行或其分支机构的行长（主任），或者其授权的副行长（副主任）担任，实行主任负责制；主任因故不能履行职责时，可以委托副主任代行主任职责。</w:t>
      </w:r>
    </w:p>
    <w:p w14:paraId="1135D3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行政处罚委员会履行下列职责：</w:t>
      </w:r>
    </w:p>
    <w:p w14:paraId="590E48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（一）审议行政处罚案件，</w:t>
      </w:r>
      <w:proofErr w:type="gramStart"/>
      <w:r>
        <w:rPr>
          <w:rFonts w:ascii="宋体" w:eastAsia="宋体" w:hAnsi="宋体" w:cs="宋体" w:hint="eastAsia"/>
          <w:sz w:val="24"/>
        </w:rPr>
        <w:t>作出</w:t>
      </w:r>
      <w:proofErr w:type="gramEnd"/>
      <w:r>
        <w:rPr>
          <w:rFonts w:ascii="宋体" w:eastAsia="宋体" w:hAnsi="宋体" w:cs="宋体" w:hint="eastAsia"/>
          <w:sz w:val="24"/>
        </w:rPr>
        <w:t>行政处罚决定；</w:t>
      </w:r>
    </w:p>
    <w:p w14:paraId="13F05C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（二）审议案件审理指导意见、本单位涉及行政处罚工作的重要管理制度等；</w:t>
      </w:r>
    </w:p>
    <w:p w14:paraId="071FDC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（三）对下级行行政处罚委员会进行指导和监督；</w:t>
      </w:r>
    </w:p>
    <w:p w14:paraId="6C58D0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（四）审议本单位与行政处罚工作相关的其他重大事项。</w:t>
      </w:r>
    </w:p>
    <w:p w14:paraId="264230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行政处罚委员会下设办公室，行政处罚委员会办公室设在中国人民银行及其分支机构的法律事务部门；暂未设立法律事务部门的中国人民银行分</w:t>
      </w:r>
      <w:r>
        <w:rPr>
          <w:rFonts w:ascii="宋体" w:eastAsia="宋体" w:hAnsi="宋体" w:cs="宋体" w:hint="eastAsia"/>
          <w:sz w:val="24"/>
        </w:rPr>
        <w:lastRenderedPageBreak/>
        <w:t>支机构，由具体承担法律事务工作的部门履行其职责。</w:t>
      </w:r>
    </w:p>
    <w:p w14:paraId="545B1F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行政处罚委员会办公室承担行政处罚委员会的日常工作，履行下列职责：</w:t>
      </w:r>
    </w:p>
    <w:p w14:paraId="46DFEE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（一）立案审查；</w:t>
      </w:r>
    </w:p>
    <w:p w14:paraId="17CA24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（二）进行法制审核，提出案件处理意见；</w:t>
      </w:r>
    </w:p>
    <w:p w14:paraId="40E3AA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（三）组织召开行政处罚委员会会议和组织书面审议；</w:t>
      </w:r>
    </w:p>
    <w:p w14:paraId="78FFDA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（四）听取当事人陈述、申辩，组织听证；</w:t>
      </w:r>
    </w:p>
    <w:p w14:paraId="0A5E79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（五）制作相关法律文书；</w:t>
      </w:r>
    </w:p>
    <w:p w14:paraId="656CBD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（六）督促行政处罚的执行或者申请人民法院强制执行；</w:t>
      </w:r>
    </w:p>
    <w:p w14:paraId="17BD10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（七）中国人民银行规定的其他职责。</w:t>
      </w:r>
    </w:p>
    <w:p w14:paraId="4B3079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行政处罚委员会采取集体审议的方式</w:t>
      </w:r>
      <w:proofErr w:type="gramStart"/>
      <w:r>
        <w:rPr>
          <w:rFonts w:ascii="宋体" w:eastAsia="宋体" w:hAnsi="宋体" w:cs="宋体" w:hint="eastAsia"/>
          <w:sz w:val="24"/>
        </w:rPr>
        <w:t>作出</w:t>
      </w:r>
      <w:proofErr w:type="gramEnd"/>
      <w:r>
        <w:rPr>
          <w:rFonts w:ascii="宋体" w:eastAsia="宋体" w:hAnsi="宋体" w:cs="宋体" w:hint="eastAsia"/>
          <w:sz w:val="24"/>
        </w:rPr>
        <w:t>行政处罚决定，可以根据案件具体情况采取会议审议和书面审议两种方式。具体审议程序由中国人民银行另行规定。</w:t>
      </w:r>
    </w:p>
    <w:p w14:paraId="1DC4C2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立案和调查</w:t>
      </w:r>
    </w:p>
    <w:p w14:paraId="20633E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除符合《中华人民共和国行政处罚法》第五十一条规定，依法适用简易程序</w:t>
      </w:r>
      <w:proofErr w:type="gramStart"/>
      <w:r>
        <w:rPr>
          <w:rFonts w:ascii="宋体" w:eastAsia="宋体" w:hAnsi="宋体" w:cs="宋体" w:hint="eastAsia"/>
          <w:sz w:val="24"/>
        </w:rPr>
        <w:t>作出</w:t>
      </w:r>
      <w:proofErr w:type="gramEnd"/>
      <w:r>
        <w:rPr>
          <w:rFonts w:ascii="宋体" w:eastAsia="宋体" w:hAnsi="宋体" w:cs="宋体" w:hint="eastAsia"/>
          <w:sz w:val="24"/>
        </w:rPr>
        <w:t>行政处罚外，中国人民银行及其分支机构执法职能部门根据下列情形，认为符合立案标准的，依法向本单位行政处罚委员会办公室申请立案：</w:t>
      </w:r>
    </w:p>
    <w:p w14:paraId="1A6AB7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（一）在现场检查、非现场检查及日常监管中发现当事人存在违法违规行为，或者有违法违规行为确切线索的；</w:t>
      </w:r>
    </w:p>
    <w:p w14:paraId="0B0F41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（二）对于公安机关、其他监管部门、行业自律组织等移送的违法违规线索，经初步核实认为当事人存在违法违规行为的；</w:t>
      </w:r>
    </w:p>
    <w:p w14:paraId="6350EA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（三）中国人民银行及其他分支机构发现违法违规行为，移送本单位管辖的；</w:t>
      </w:r>
    </w:p>
    <w:p w14:paraId="322FB5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（四）上级行指定本单位管辖的；</w:t>
      </w:r>
    </w:p>
    <w:p w14:paraId="6B59E6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（五）本单位对相关违法违规行为有管辖权的其他情形。</w:t>
      </w:r>
    </w:p>
    <w:p w14:paraId="72FCB8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中国人民银行及其分支机构立案后，认为需要对违法违规行为进</w:t>
      </w:r>
      <w:r>
        <w:rPr>
          <w:rFonts w:ascii="宋体" w:eastAsia="宋体" w:hAnsi="宋体" w:cs="宋体" w:hint="eastAsia"/>
          <w:sz w:val="24"/>
        </w:rPr>
        <w:lastRenderedPageBreak/>
        <w:t>一步调查，了解相关情况、补充证据材料的，可以对当事人开展案件调查。</w:t>
      </w:r>
    </w:p>
    <w:p w14:paraId="6434C1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中国人民银行及其分支机构开展案件调查的，应当向当事人送达案件调查通知书，告知案件调查的依据、内容、调查期限范围、调查开展时间、要求、调查人员名单等事项。</w:t>
      </w:r>
    </w:p>
    <w:p w14:paraId="56E373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案件调查程序参照《中国人民银行执法检查程序规定》简易现场检查程序进行；案件情况较为复杂、影响较大的，可以参照现场检查程序进行。</w:t>
      </w:r>
    </w:p>
    <w:p w14:paraId="6EDA75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调查人员应当按照《中华人民共和国行政处罚法》《中国人民银行执法检查程序规定》等规定全面、客观、公正地调查，充分收集证据材料。</w:t>
      </w:r>
    </w:p>
    <w:p w14:paraId="4DCCBB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中国人民银行及其分支机构根据案件调查工作需要，可以聘请注册会计师、资产评估人员、律师等专业人员，以及数据分析、信息技术等领域技术人员作为辅助人员协助案件调查，或者邀请上述人员出具专业意见。</w:t>
      </w:r>
    </w:p>
    <w:p w14:paraId="423374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当事人应当配合中国人民银行及其分支机构的案件调查，履行下列义务：</w:t>
      </w:r>
    </w:p>
    <w:p w14:paraId="4B0522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（一）不得阻碍、拒绝案件调查，不得提出不合理的要求；</w:t>
      </w:r>
    </w:p>
    <w:p w14:paraId="1EFFF0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（二）如实回答调查人员的询问，及时就相关事项进行说明；</w:t>
      </w:r>
    </w:p>
    <w:p w14:paraId="5BAB03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（三）按照要求及时提供案件调查所需的信息、电子数据、文件和资料等，并对所提供的信息、电子数据、文件和资料等的真实性、准确性、完整性负责。</w:t>
      </w:r>
    </w:p>
    <w:p w14:paraId="4AA452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案件审理</w:t>
      </w:r>
    </w:p>
    <w:p w14:paraId="1D0DEF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行政处罚委员会办公室根据相关证据材料，依法提出案件处理意见。</w:t>
      </w:r>
    </w:p>
    <w:p w14:paraId="3A9EF5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行政处罚委员会办公室提出案件处理意见后，经行政处罚委员会主任批准，组织召开行政处罚委员会会议或者组织书面审议。</w:t>
      </w:r>
    </w:p>
    <w:p w14:paraId="7F46F9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行政处罚委员会审议下列事项：</w:t>
      </w:r>
    </w:p>
    <w:p w14:paraId="60CE59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（一）本单位是否具有管辖权，是否超越法定权限；</w:t>
      </w:r>
    </w:p>
    <w:p w14:paraId="67579F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（二）违法违规事实是否清楚，证据是否合法、充分，定性是否准确；</w:t>
      </w:r>
    </w:p>
    <w:p w14:paraId="278A35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（三）执法检查、案件调查程序是否合法；</w:t>
      </w:r>
    </w:p>
    <w:p w14:paraId="7C4223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（四）适用法律、行政法规、中国人民银行规章是否正确，裁量基准运用是否适当；</w:t>
      </w:r>
    </w:p>
    <w:p w14:paraId="105E7D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（五）拟作出行政处罚的种类、金额是否适当，拟不予行政处罚或者减轻处罚的理由和依据是否充分。</w:t>
      </w:r>
    </w:p>
    <w:p w14:paraId="1401B4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行政处罚委员会审议案件时，可以听取与案件不存在利害关系的法官、律师、学者等外部专家的意见。</w:t>
      </w:r>
    </w:p>
    <w:p w14:paraId="2080F3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听取意见可以采取当面听取的方式，也可以邀请外部专家提供书面意见。</w:t>
      </w:r>
    </w:p>
    <w:p w14:paraId="0E190A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行政处罚委员会审议通过，拟作出行政处罚决定的，行政处罚委员会办公室制作行政处罚意见告知书，经行政处罚委员会主任或者其授权的副主任批准后，送达当事人。</w:t>
      </w:r>
    </w:p>
    <w:p w14:paraId="71BF60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行政处罚意见告知书应当载明违法违规行为的事实和证据，拟作出行政处罚的种类、金额、理由和依据，以及当事人依法享有提出陈述和申辩的权利；拟作出的行政处罚决定符合《中华人民共和国行政处罚法》第六十三条规定的听证情形的，应当告知当事人依法享有提出听证的权利。其中，“较大数额罚款”“没收较大数额违法所得、没收较大价值非法财物”，是指：</w:t>
      </w:r>
    </w:p>
    <w:p w14:paraId="55F0FF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（一）中国人民银行对法人、非法人组织拟作出罚款、没收违法所得、没收非法财物合计五百万元及以上的，对单一自然人合计二十万元以上的；</w:t>
      </w:r>
    </w:p>
    <w:p w14:paraId="1992FE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（二）中国人民银行副省级城市中心支行以上分支机构对法人、非法人组织拟作出罚款、没收违法所得、没收非法财物合计三百万元及以上的，对单一自然人合计十万元以上的；</w:t>
      </w:r>
    </w:p>
    <w:p w14:paraId="373734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（三）中国人民银行地市中心支行对法人、非法人组织拟作出罚款、没收违法所得、没收非法财物合计一百万元及以上的，对单一自然人合计五万元以上的。</w:t>
      </w:r>
    </w:p>
    <w:p w14:paraId="5BEAAB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案件调查人员、行政处罚委员会委员、行政处罚委员会办公室从事案件处理工作的人员与当事人存在利害关系，或者有其他可能影响案件公平审理的情形的，应当主动申请回避；应当回避而未主动申请回避，当事人申请回</w:t>
      </w:r>
      <w:r>
        <w:rPr>
          <w:rFonts w:ascii="宋体" w:eastAsia="宋体" w:hAnsi="宋体" w:cs="宋体" w:hint="eastAsia"/>
          <w:sz w:val="24"/>
        </w:rPr>
        <w:lastRenderedPageBreak/>
        <w:t>避且理由充分的，行政处罚委员会主任应当要求相关人员回避。</w:t>
      </w:r>
    </w:p>
    <w:p w14:paraId="54B7A6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当事人可以在中国人民银行及其分支机构立案后、送达行政处罚决定书前书面提出先行整改承诺申请，载明清晰、可查证的整改目标、整改措施和完成时间，或者消除损害、不良影响的措施等。中国人民银行认为当事人通过先行整改能够更好符合金融监管要求且</w:t>
      </w:r>
      <w:proofErr w:type="gramStart"/>
      <w:r>
        <w:rPr>
          <w:rFonts w:ascii="宋体" w:eastAsia="宋体" w:hAnsi="宋体" w:cs="宋体" w:hint="eastAsia"/>
          <w:sz w:val="24"/>
        </w:rPr>
        <w:t>不</w:t>
      </w:r>
      <w:proofErr w:type="gramEnd"/>
      <w:r>
        <w:rPr>
          <w:rFonts w:ascii="宋体" w:eastAsia="宋体" w:hAnsi="宋体" w:cs="宋体" w:hint="eastAsia"/>
          <w:sz w:val="24"/>
        </w:rPr>
        <w:t>立即实施行政处罚不会损害社会公共利益、他人合法权益的，可以决定中止审理、暂缓</w:t>
      </w:r>
      <w:proofErr w:type="gramStart"/>
      <w:r>
        <w:rPr>
          <w:rFonts w:ascii="宋体" w:eastAsia="宋体" w:hAnsi="宋体" w:cs="宋体" w:hint="eastAsia"/>
          <w:sz w:val="24"/>
        </w:rPr>
        <w:t>作出</w:t>
      </w:r>
      <w:proofErr w:type="gramEnd"/>
      <w:r>
        <w:rPr>
          <w:rFonts w:ascii="宋体" w:eastAsia="宋体" w:hAnsi="宋体" w:cs="宋体" w:hint="eastAsia"/>
          <w:sz w:val="24"/>
        </w:rPr>
        <w:t>行政处罚决定，督促当事人进行整改。当事人按承诺期限完成整改的，中国人民银行或其分支机构可以依法从轻、减轻处罚；到期未实质完成整改工作，或者没有合理理由拖延整改的，恢复审理，并依法从重处罚。</w:t>
      </w:r>
    </w:p>
    <w:p w14:paraId="247707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先行整改承诺主要适用于拟作出较大数额罚款、吊销相关许可证、责令停业整顿等重大行政处罚案件，且当事人不存在违法违规行为情节严重、社会影响恶劣等情形。</w:t>
      </w:r>
    </w:p>
    <w:p w14:paraId="056388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当事人在中国人民银行及其分支机构</w:t>
      </w:r>
      <w:proofErr w:type="gramStart"/>
      <w:r>
        <w:rPr>
          <w:rFonts w:ascii="宋体" w:eastAsia="宋体" w:hAnsi="宋体" w:cs="宋体" w:hint="eastAsia"/>
          <w:sz w:val="24"/>
        </w:rPr>
        <w:t>作出</w:t>
      </w:r>
      <w:proofErr w:type="gramEnd"/>
      <w:r>
        <w:rPr>
          <w:rFonts w:ascii="宋体" w:eastAsia="宋体" w:hAnsi="宋体" w:cs="宋体" w:hint="eastAsia"/>
          <w:sz w:val="24"/>
        </w:rPr>
        <w:t>行政处罚决定前发生金融风险事件，金融管理部门或者存款保险机构依法完成处置的，对当事人在金融风险事件处置完成前实施的违法违规行为，可以按照经批准的金融风险处置方案处理。</w:t>
      </w:r>
    </w:p>
    <w:p w14:paraId="5689DB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中国人民银行及其分支机构对于不适用《中华人民共和国行政处罚法》第五章第二节规定的简易程序，但事实清楚，当事人书面申请、自愿认错认罚，且相关违法违规行为有证据佐证的案件，可以适当简化案件审理程序，及时</w:t>
      </w:r>
      <w:proofErr w:type="gramStart"/>
      <w:r>
        <w:rPr>
          <w:rFonts w:ascii="宋体" w:eastAsia="宋体" w:hAnsi="宋体" w:cs="宋体" w:hint="eastAsia"/>
          <w:sz w:val="24"/>
        </w:rPr>
        <w:t>作出</w:t>
      </w:r>
      <w:proofErr w:type="gramEnd"/>
      <w:r>
        <w:rPr>
          <w:rFonts w:ascii="宋体" w:eastAsia="宋体" w:hAnsi="宋体" w:cs="宋体" w:hint="eastAsia"/>
          <w:sz w:val="24"/>
        </w:rPr>
        <w:t>行政处罚决定。</w:t>
      </w:r>
    </w:p>
    <w:p w14:paraId="01BB3A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陈述、申辩和听证</w:t>
      </w:r>
    </w:p>
    <w:p w14:paraId="06C315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当事人要求陈述和申辩的，应当自收到行政处罚意见告知书之日起五日内将陈述和申辩的书面材料提交至制作行政处罚意见告知书的中国人民银行或其分支机构。</w:t>
      </w:r>
    </w:p>
    <w:p w14:paraId="050DA8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当事人收到行政处罚意见告知书后，可以书面提出放弃陈述和申辩权利；当事人逾期未提交陈述和申辩的书面材料，且没有合理理由的，视为放弃陈述和申辩权利。</w:t>
      </w:r>
    </w:p>
    <w:p w14:paraId="780F5C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第三十四条 当事人根据《中华人民共和国行政处罚法》第六十三条规定要求听证的，应当自收到行政处罚意见告知书之日起五日内，向制作行政处罚意见告知书的中国人民银行或其分支机构提交听证申请书，说明听证的要求和理由；当事人对违法违规事实有异议，或者主张应当从轻、减轻、免除行政处罚的，应当同时提交相关证据材料。</w:t>
      </w:r>
    </w:p>
    <w:p w14:paraId="004E23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当事人收到行政处罚意见告知书后，可以书面提出放弃听证权利；当事人逾期不提出听证申请，且没有合理理由的，视为放弃听证权利。</w:t>
      </w:r>
    </w:p>
    <w:p w14:paraId="50BF48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当事人申请听证的，中国人民银行或其分支机构应当自收到听证申请之日起三十日内组织听证，并在召开听证会七日前，通知当事人及有关人员举行听证的时间、地点。</w:t>
      </w:r>
    </w:p>
    <w:p w14:paraId="5545CF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除涉及国家秘密、商业秘密或者个人隐私等依法予以保密的情形外，听证应当公开进行。</w:t>
      </w:r>
    </w:p>
    <w:p w14:paraId="722F76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听证由行政处罚委员会办公室未参与本案案件处理、案件调查的人员担任听证主持人，两名正式工作人员担任听证员，也可以由行政处罚委员会主任指定未参与本案案件处理、案件调查的正式工作人员担任听证主持人。</w:t>
      </w:r>
    </w:p>
    <w:p w14:paraId="21D279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当事人认为听证主持人、听证员与本案有直接利害关系的，有权申请回避。听证主持人、听证员是否回避，由行政处罚委员会主任决定。</w:t>
      </w:r>
    </w:p>
    <w:p w14:paraId="229928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举行听证时，由负责执法检查或者案件调查的执法职能部门说明拟作出行政处罚的事实、证据和行政处罚建议；当事人及其代理人可以进行申辩和质证，并可以出示无违法违规事实、违法违规事实较轻或者应当从轻、减轻、免除行政处罚的证据材料。</w:t>
      </w:r>
    </w:p>
    <w:p w14:paraId="68B409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听证应当由听证主持人指定专人记录并制作听证笔录，听证笔录的内容包括：举行听证的时间、地点、参加听证的人员、听证事项、听证参与人的意见。</w:t>
      </w:r>
    </w:p>
    <w:p w14:paraId="5DE2F9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听证笔录应当交当事人或其代理人确认并签字或者盖章。当事人或其代理人拒绝签字或者盖章的，由听证主持人在听证笔录中注明。</w:t>
      </w:r>
    </w:p>
    <w:p w14:paraId="6799C9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听证结束后，听证主持人和听证员应当制作听证报告，提出处</w:t>
      </w:r>
      <w:r>
        <w:rPr>
          <w:rFonts w:ascii="宋体" w:eastAsia="宋体" w:hAnsi="宋体" w:cs="宋体" w:hint="eastAsia"/>
          <w:sz w:val="24"/>
        </w:rPr>
        <w:lastRenderedPageBreak/>
        <w:t>理意见，并将听证报告、听证笔录及听证取得的证据，一并报行政处罚委员会办公室。</w:t>
      </w:r>
    </w:p>
    <w:p w14:paraId="11C73D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听证申请人提出延期申请且有合理理由，或者因不可抗力，导致听证无法如期举行的，中国人民银行或其分支机构行政处罚委员会办公室可以决定延期举行听证，并告知听证申请人。</w:t>
      </w:r>
    </w:p>
    <w:p w14:paraId="239231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听证开始前或者在听证过程中，听证申请人有下列情形的，视为放弃听证权利，不得再次就同一行政处罚事项提出听证申请：</w:t>
      </w:r>
    </w:p>
    <w:p w14:paraId="3A739B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（一）撤回听证申请；</w:t>
      </w:r>
    </w:p>
    <w:p w14:paraId="00110A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（二）无正当理由拒不参加听证；</w:t>
      </w:r>
    </w:p>
    <w:p w14:paraId="28D878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（三）听证过程中严重扰乱听证秩序，或者未经听证主持人允许中途退场。</w:t>
      </w:r>
    </w:p>
    <w:p w14:paraId="13823D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听证申请人可以在听证前书面提出撤回听证申请，也可以在听证过程中书面或者口头提出撤回听证申请。</w:t>
      </w:r>
    </w:p>
    <w:p w14:paraId="068AAA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中国人民银行及其分支机构应当充分听取当事人的意见，不得因当事人进行陈述、申辩或者提出听证而加重处罚。</w:t>
      </w:r>
    </w:p>
    <w:p w14:paraId="10BB20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处罚决定</w:t>
      </w:r>
    </w:p>
    <w:p w14:paraId="75EB01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行政处罚委员会办公室应当根据案件审议情况，结合当事人的陈述和申辩意见、听证情况制作行政处罚决定书，经行政处罚委员会主任批准后，送达当事人。</w:t>
      </w:r>
    </w:p>
    <w:p w14:paraId="53AC6B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行政处罚决定书应当载明下列事项：</w:t>
      </w:r>
    </w:p>
    <w:p w14:paraId="18A0CC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（一）当事人的姓名或者名称、地址；</w:t>
      </w:r>
    </w:p>
    <w:p w14:paraId="6BDF5B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（二）违法违规事实和证据；</w:t>
      </w:r>
    </w:p>
    <w:p w14:paraId="72C340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（三）行政处罚的种类和依据；</w:t>
      </w:r>
    </w:p>
    <w:p w14:paraId="477E5D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（四）行政处罚的履行方式和期限；</w:t>
      </w:r>
    </w:p>
    <w:p w14:paraId="55D93C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（五）不服行政处罚决定，申请行政复议或者提起行政诉讼的途径和期限；</w:t>
      </w:r>
    </w:p>
    <w:p w14:paraId="09ED22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（六）</w:t>
      </w:r>
      <w:proofErr w:type="gramStart"/>
      <w:r>
        <w:rPr>
          <w:rFonts w:ascii="宋体" w:eastAsia="宋体" w:hAnsi="宋体" w:cs="宋体" w:hint="eastAsia"/>
          <w:sz w:val="24"/>
        </w:rPr>
        <w:t>作出</w:t>
      </w:r>
      <w:proofErr w:type="gramEnd"/>
      <w:r>
        <w:rPr>
          <w:rFonts w:ascii="宋体" w:eastAsia="宋体" w:hAnsi="宋体" w:cs="宋体" w:hint="eastAsia"/>
          <w:sz w:val="24"/>
        </w:rPr>
        <w:t>行政处罚决定的中国人民银行或其分支机构的名称、印章和</w:t>
      </w:r>
      <w:proofErr w:type="gramStart"/>
      <w:r>
        <w:rPr>
          <w:rFonts w:ascii="宋体" w:eastAsia="宋体" w:hAnsi="宋体" w:cs="宋体" w:hint="eastAsia"/>
          <w:sz w:val="24"/>
        </w:rPr>
        <w:t>作出</w:t>
      </w:r>
      <w:proofErr w:type="gramEnd"/>
      <w:r>
        <w:rPr>
          <w:rFonts w:ascii="宋体" w:eastAsia="宋体" w:hAnsi="宋体" w:cs="宋体" w:hint="eastAsia"/>
          <w:sz w:val="24"/>
        </w:rPr>
        <w:t>决定的日期。</w:t>
      </w:r>
    </w:p>
    <w:p w14:paraId="693E94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当事人提出陈述和申辩意见或者进行听证的，行政处罚决定书中还应当说明是否采纳当事人的意见及理由。</w:t>
      </w:r>
    </w:p>
    <w:p w14:paraId="20CDEA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当事人的违法违规行为涉嫌犯罪，依法需要追究刑事责任的，中国人民银行及其分支机构应当按照《行政执法机关移送涉嫌犯罪案件的规定》，及时向公安机关移送。</w:t>
      </w:r>
    </w:p>
    <w:p w14:paraId="169EBE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中国人民银行及其分支机构在行政处罚过程中发现当事人或其工作人员存在被监察对象涉嫌违反党纪、职务违法或者职务犯罪等问题线索的，应当及时向纪检监察机关移送。</w:t>
      </w:r>
    </w:p>
    <w:p w14:paraId="630CBB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中国人民银行及其分支机构应当在行政处罚决定</w:t>
      </w:r>
      <w:proofErr w:type="gramStart"/>
      <w:r>
        <w:rPr>
          <w:rFonts w:ascii="宋体" w:eastAsia="宋体" w:hAnsi="宋体" w:cs="宋体" w:hint="eastAsia"/>
          <w:sz w:val="24"/>
        </w:rPr>
        <w:t>书制作</w:t>
      </w:r>
      <w:proofErr w:type="gramEnd"/>
      <w:r>
        <w:rPr>
          <w:rFonts w:ascii="宋体" w:eastAsia="宋体" w:hAnsi="宋体" w:cs="宋体" w:hint="eastAsia"/>
          <w:sz w:val="24"/>
        </w:rPr>
        <w:t>完成后七日内送达当事人。</w:t>
      </w:r>
    </w:p>
    <w:p w14:paraId="7A93B5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中国人民银行及其分支机构可以采取下列方式送达行政处罚意见告知书、行政处罚决定书等文书：</w:t>
      </w:r>
    </w:p>
    <w:p w14:paraId="0FA676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（一）在中国人民银行及其分支机构办公场所当面送达当事人；</w:t>
      </w:r>
    </w:p>
    <w:p w14:paraId="001E8F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（二）派两名以上正式工作人员赴当事人身份证件载明的住址，或者当事人确认的其他地址送达当事人；</w:t>
      </w:r>
    </w:p>
    <w:p w14:paraId="2F6D8B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（三）根据当事人确认的通讯地址、联系方式等信息邮寄送达，采取邮寄送达的，邮件签收视为送达，邮件因地址错误、拒收等原因被退回的，邮件退回之日视为送达；</w:t>
      </w:r>
    </w:p>
    <w:p w14:paraId="1896C6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（四）经当事人同意，使用电子邮件、信息化系统等电子送达方式送达当事人；</w:t>
      </w:r>
    </w:p>
    <w:p w14:paraId="6B37BF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（五）采取前述方式向当事人委托的代收人送达；</w:t>
      </w:r>
    </w:p>
    <w:p w14:paraId="54C508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（六）无法通过前述方式送达的，中国人民银行及其分支机构可以公告送达，公告期为三十日，公告期满，视为送达。</w:t>
      </w:r>
    </w:p>
    <w:p w14:paraId="25F0E7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中国人民银行及其分支机构可以委托其他中国人民银行分支机构采取前款第一项、第二项、第五项规定的方式代为送达。</w:t>
      </w:r>
    </w:p>
    <w:p w14:paraId="25FFA9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中国人民银行及其分支机构</w:t>
      </w:r>
      <w:proofErr w:type="gramStart"/>
      <w:r>
        <w:rPr>
          <w:rFonts w:ascii="宋体" w:eastAsia="宋体" w:hAnsi="宋体" w:cs="宋体" w:hint="eastAsia"/>
          <w:sz w:val="24"/>
        </w:rPr>
        <w:t>作出</w:t>
      </w:r>
      <w:proofErr w:type="gramEnd"/>
      <w:r>
        <w:rPr>
          <w:rFonts w:ascii="宋体" w:eastAsia="宋体" w:hAnsi="宋体" w:cs="宋体" w:hint="eastAsia"/>
          <w:sz w:val="24"/>
        </w:rPr>
        <w:t>罚款、没收违法所得行政处罚决定的，当事人应当自收到行政处罚决定书之日起十五日内按照行政处罚决定书载明的方式缴纳罚款、违法所得。</w:t>
      </w:r>
    </w:p>
    <w:p w14:paraId="5C1B30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当事人根据《中华人民共和国行政处罚法》第六十六条的规定，申请延期或者分期缴纳罚款的，应当自收到行政处罚决定书之日起十五日内向</w:t>
      </w:r>
      <w:proofErr w:type="gramStart"/>
      <w:r>
        <w:rPr>
          <w:rFonts w:ascii="宋体" w:eastAsia="宋体" w:hAnsi="宋体" w:cs="宋体" w:hint="eastAsia"/>
          <w:sz w:val="24"/>
        </w:rPr>
        <w:t>作出</w:t>
      </w:r>
      <w:proofErr w:type="gramEnd"/>
      <w:r>
        <w:rPr>
          <w:rFonts w:ascii="宋体" w:eastAsia="宋体" w:hAnsi="宋体" w:cs="宋体" w:hint="eastAsia"/>
          <w:sz w:val="24"/>
        </w:rPr>
        <w:t>行政处罚决定的中国人民银行或其分支机构提出书面申请，并提交相关证明材料。</w:t>
      </w:r>
    </w:p>
    <w:p w14:paraId="1A11FC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中国人民银行及其分支机构应当</w:t>
      </w:r>
      <w:proofErr w:type="gramStart"/>
      <w:r>
        <w:rPr>
          <w:rFonts w:ascii="宋体" w:eastAsia="宋体" w:hAnsi="宋体" w:cs="宋体" w:hint="eastAsia"/>
          <w:sz w:val="24"/>
        </w:rPr>
        <w:t>自行政</w:t>
      </w:r>
      <w:proofErr w:type="gramEnd"/>
      <w:r>
        <w:rPr>
          <w:rFonts w:ascii="宋体" w:eastAsia="宋体" w:hAnsi="宋体" w:cs="宋体" w:hint="eastAsia"/>
          <w:sz w:val="24"/>
        </w:rPr>
        <w:t>处罚决定</w:t>
      </w:r>
      <w:proofErr w:type="gramStart"/>
      <w:r>
        <w:rPr>
          <w:rFonts w:ascii="宋体" w:eastAsia="宋体" w:hAnsi="宋体" w:cs="宋体" w:hint="eastAsia"/>
          <w:sz w:val="24"/>
        </w:rPr>
        <w:t>作出</w:t>
      </w:r>
      <w:proofErr w:type="gramEnd"/>
      <w:r>
        <w:rPr>
          <w:rFonts w:ascii="宋体" w:eastAsia="宋体" w:hAnsi="宋体" w:cs="宋体" w:hint="eastAsia"/>
          <w:sz w:val="24"/>
        </w:rPr>
        <w:t>之日起七日内依据中国人民银行的相关规定公开行政处罚决定信息。</w:t>
      </w:r>
    </w:p>
    <w:p w14:paraId="3F16D2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第四十九条 当事人逾期不履行行政处罚决定的，中国人民银行及其分支机构可以根据《中华人民共和国行政处罚法》第七十二条的规定，采取相关措施。</w:t>
      </w:r>
    </w:p>
    <w:p w14:paraId="699E58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第五十条 当事人对行政处罚决定不服的，可以依法申请行政复议或者提起行政诉讼。</w:t>
      </w:r>
    </w:p>
    <w:p w14:paraId="7AB5EB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第五十一条 中国人民银行及其分支机构应当</w:t>
      </w:r>
      <w:proofErr w:type="gramStart"/>
      <w:r>
        <w:rPr>
          <w:rFonts w:ascii="宋体" w:eastAsia="宋体" w:hAnsi="宋体" w:cs="宋体" w:hint="eastAsia"/>
          <w:sz w:val="24"/>
        </w:rPr>
        <w:t>自行政</w:t>
      </w:r>
      <w:proofErr w:type="gramEnd"/>
      <w:r>
        <w:rPr>
          <w:rFonts w:ascii="宋体" w:eastAsia="宋体" w:hAnsi="宋体" w:cs="宋体" w:hint="eastAsia"/>
          <w:sz w:val="24"/>
        </w:rPr>
        <w:t>处罚案件立案之日起九十日内</w:t>
      </w:r>
      <w:proofErr w:type="gramStart"/>
      <w:r>
        <w:rPr>
          <w:rFonts w:ascii="宋体" w:eastAsia="宋体" w:hAnsi="宋体" w:cs="宋体" w:hint="eastAsia"/>
          <w:sz w:val="24"/>
        </w:rPr>
        <w:t>作出</w:t>
      </w:r>
      <w:proofErr w:type="gramEnd"/>
      <w:r>
        <w:rPr>
          <w:rFonts w:ascii="宋体" w:eastAsia="宋体" w:hAnsi="宋体" w:cs="宋体" w:hint="eastAsia"/>
          <w:sz w:val="24"/>
        </w:rPr>
        <w:t>行政处罚决定，下列程序所需必要时间不计</w:t>
      </w:r>
      <w:proofErr w:type="gramStart"/>
      <w:r>
        <w:rPr>
          <w:rFonts w:ascii="宋体" w:eastAsia="宋体" w:hAnsi="宋体" w:cs="宋体" w:hint="eastAsia"/>
          <w:sz w:val="24"/>
        </w:rPr>
        <w:t>入行政</w:t>
      </w:r>
      <w:proofErr w:type="gramEnd"/>
      <w:r>
        <w:rPr>
          <w:rFonts w:ascii="宋体" w:eastAsia="宋体" w:hAnsi="宋体" w:cs="宋体" w:hint="eastAsia"/>
          <w:sz w:val="24"/>
        </w:rPr>
        <w:t>处罚办理期限：</w:t>
      </w:r>
    </w:p>
    <w:p w14:paraId="30243E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（一）行政处罚立案后，根据本规定对当事人开展案件调查的；</w:t>
      </w:r>
    </w:p>
    <w:p w14:paraId="7986B6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（二）根据当事人申请组织听证，或者相关证据需要进行检验、鉴定的；</w:t>
      </w:r>
    </w:p>
    <w:p w14:paraId="40065D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（三）通过公告方式送达行政处罚意见告知书的；</w:t>
      </w:r>
    </w:p>
    <w:p w14:paraId="4F4713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（四）中国人民银行及其分支机构决定中止审理的。</w:t>
      </w:r>
    </w:p>
    <w:p w14:paraId="74CE4C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中国人民银行及其分支机构在九十日内确实无法</w:t>
      </w:r>
      <w:proofErr w:type="gramStart"/>
      <w:r>
        <w:rPr>
          <w:rFonts w:ascii="宋体" w:eastAsia="宋体" w:hAnsi="宋体" w:cs="宋体" w:hint="eastAsia"/>
          <w:sz w:val="24"/>
        </w:rPr>
        <w:t>作出</w:t>
      </w:r>
      <w:proofErr w:type="gramEnd"/>
      <w:r>
        <w:rPr>
          <w:rFonts w:ascii="宋体" w:eastAsia="宋体" w:hAnsi="宋体" w:cs="宋体" w:hint="eastAsia"/>
          <w:sz w:val="24"/>
        </w:rPr>
        <w:t>行政处罚决定的，经行政处罚委员会主任或者其授权的副主任批准，可以延长九十日。</w:t>
      </w:r>
    </w:p>
    <w:p w14:paraId="2969EA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第五十二条 中国人民银行及其分支机构在</w:t>
      </w:r>
      <w:proofErr w:type="gramStart"/>
      <w:r>
        <w:rPr>
          <w:rFonts w:ascii="宋体" w:eastAsia="宋体" w:hAnsi="宋体" w:cs="宋体" w:hint="eastAsia"/>
          <w:sz w:val="24"/>
        </w:rPr>
        <w:t>作出</w:t>
      </w:r>
      <w:proofErr w:type="gramEnd"/>
      <w:r>
        <w:rPr>
          <w:rFonts w:ascii="宋体" w:eastAsia="宋体" w:hAnsi="宋体" w:cs="宋体" w:hint="eastAsia"/>
          <w:sz w:val="24"/>
        </w:rPr>
        <w:t>行政处罚决定前，有下列情形之一的，经行政处罚委员会主任或者其授权的副主任批准，可以</w:t>
      </w:r>
      <w:proofErr w:type="gramStart"/>
      <w:r>
        <w:rPr>
          <w:rFonts w:ascii="宋体" w:eastAsia="宋体" w:hAnsi="宋体" w:cs="宋体" w:hint="eastAsia"/>
          <w:sz w:val="24"/>
        </w:rPr>
        <w:t>作出</w:t>
      </w:r>
      <w:proofErr w:type="gramEnd"/>
      <w:r>
        <w:rPr>
          <w:rFonts w:ascii="宋体" w:eastAsia="宋体" w:hAnsi="宋体" w:cs="宋体" w:hint="eastAsia"/>
          <w:sz w:val="24"/>
        </w:rPr>
        <w:t>中止审理的决定：</w:t>
      </w:r>
    </w:p>
    <w:p w14:paraId="5F4A99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（一）当事人因涉嫌违法违规被其他行政机关调查，或者被司法机关侦查，尚未结案，对该行政处罚案件影响重大的；</w:t>
      </w:r>
    </w:p>
    <w:p w14:paraId="4BDFFD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（二）当事人被依法接管或者采取其他金融风险处置措施，接管期限尚未届满或者金融风险处置尚未完成的；</w:t>
      </w:r>
    </w:p>
    <w:p w14:paraId="6AFF3C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（三）行政处罚决定必须以相关诉讼的审理结果为依据，而相关诉讼未审结的；</w:t>
      </w:r>
    </w:p>
    <w:p w14:paraId="5CC490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（四）对有关法律、行政法规、国务院决定、规章的规定，需要进一步明确具体含义，中国人民银行或其分支机构请求有关机关</w:t>
      </w:r>
      <w:proofErr w:type="gramStart"/>
      <w:r>
        <w:rPr>
          <w:rFonts w:ascii="宋体" w:eastAsia="宋体" w:hAnsi="宋体" w:cs="宋体" w:hint="eastAsia"/>
          <w:sz w:val="24"/>
        </w:rPr>
        <w:t>作出</w:t>
      </w:r>
      <w:proofErr w:type="gramEnd"/>
      <w:r>
        <w:rPr>
          <w:rFonts w:ascii="宋体" w:eastAsia="宋体" w:hAnsi="宋体" w:cs="宋体" w:hint="eastAsia"/>
          <w:sz w:val="24"/>
        </w:rPr>
        <w:t>解释的；</w:t>
      </w:r>
    </w:p>
    <w:p w14:paraId="7BE28D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（五）当事人按照本规定第三十条的规定，向中国人民银行或其分支机构提出先行整改承诺申请，中国人民银行经审核同意的。</w:t>
      </w:r>
    </w:p>
    <w:p w14:paraId="3D55D2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相关情形消失后，中国人民银行及其分支机构应当及时恢复审理，</w:t>
      </w:r>
      <w:proofErr w:type="gramStart"/>
      <w:r>
        <w:rPr>
          <w:rFonts w:ascii="宋体" w:eastAsia="宋体" w:hAnsi="宋体" w:cs="宋体" w:hint="eastAsia"/>
          <w:sz w:val="24"/>
        </w:rPr>
        <w:t>作出</w:t>
      </w:r>
      <w:proofErr w:type="gramEnd"/>
      <w:r>
        <w:rPr>
          <w:rFonts w:ascii="宋体" w:eastAsia="宋体" w:hAnsi="宋体" w:cs="宋体" w:hint="eastAsia"/>
          <w:sz w:val="24"/>
        </w:rPr>
        <w:t>行政处罚决定。</w:t>
      </w:r>
    </w:p>
    <w:p w14:paraId="208878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第八章 附 则</w:t>
      </w:r>
    </w:p>
    <w:p w14:paraId="2E7CFF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第五十三条 当事人违反本规定，拒绝、阻碍中国人民银行或其分支机构的案件调查，拒绝提供信息、电子数据、文件和资料等或者提供虚假信息、电子数据、文件和资料等的，有关法律、行政法规和中国人民银行规章有处罚规定的，依照其规定给予处罚；有关法律、行政法规和中国人民银行规章未作处罚规定的，由中国人民银行或其分支机构给予警告，并处十万元以下罚款，视情况给予通报批评。</w:t>
      </w:r>
    </w:p>
    <w:p w14:paraId="0C718B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第五十四条 中国人民银行分支机构包括中国人民银行上海总部，各分行、营业管理部、中心支行和支行。</w:t>
      </w:r>
    </w:p>
    <w:p w14:paraId="7AFB8D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第五十五条 中国人民银行可以依法与其他监管部门建立执法合作机制，相关办法由中国人民银行会同相关监管部门另行制定。</w:t>
      </w:r>
    </w:p>
    <w:p w14:paraId="1F7716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第五十六条 国家外汇管理局及其分支机构实施行政处罚的程序规定，由国家外汇管理局另行制定。</w:t>
      </w:r>
    </w:p>
    <w:p w14:paraId="36A5AD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国家外汇管理局可以参照实施本规定第五十一条、第五十二条的相关规定。</w:t>
      </w:r>
    </w:p>
    <w:p w14:paraId="0CF8DC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第五十七条 本规定中“五日”“七日”均以工作日计算，不含法定节假日。</w:t>
      </w:r>
    </w:p>
    <w:p w14:paraId="423761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第五十八条 本规定由中国人民银行负责解释。</w:t>
      </w:r>
    </w:p>
    <w:p w14:paraId="61A6EDC3"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第五十九条 本规定自2022年6月1日起施行。《中国人民银行行政处罚程序规定》（中国人民银行令〔2001〕第3号发布）同时废止。</w:t>
      </w:r>
    </w:p>
    <w:p w14:paraId="5BFC35DE"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34.《中央企业合规管理办法》</w:t>
      </w:r>
      <w:r>
        <w:rPr>
          <w:rFonts w:ascii="宋体" w:eastAsia="宋体" w:hAnsi="宋体" w:cs="宋体" w:hint="eastAsia"/>
          <w:b/>
          <w:bCs/>
          <w:sz w:val="24"/>
        </w:rPr>
        <w:tab/>
      </w:r>
    </w:p>
    <w:p w14:paraId="75AB72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发文机构：国务院国有资产监督管理委员会        </w:t>
      </w:r>
    </w:p>
    <w:p w14:paraId="4D4C8F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文号：国务院国有资产监督管理委员会令第42号</w:t>
      </w:r>
    </w:p>
    <w:p w14:paraId="0D2EA1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50FC43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为深入贯彻习近平法治思想，落实全面依法治国战略部署，深化</w:t>
      </w:r>
      <w:proofErr w:type="gramStart"/>
      <w:r>
        <w:rPr>
          <w:rFonts w:ascii="宋体" w:eastAsia="宋体" w:hAnsi="宋体" w:cs="宋体" w:hint="eastAsia"/>
          <w:sz w:val="24"/>
        </w:rPr>
        <w:t>法治央企建设</w:t>
      </w:r>
      <w:proofErr w:type="gramEnd"/>
      <w:r>
        <w:rPr>
          <w:rFonts w:ascii="宋体" w:eastAsia="宋体" w:hAnsi="宋体" w:cs="宋体" w:hint="eastAsia"/>
          <w:sz w:val="24"/>
        </w:rPr>
        <w:t>，推动中央企业加强合</w:t>
      </w:r>
      <w:proofErr w:type="gramStart"/>
      <w:r>
        <w:rPr>
          <w:rFonts w:ascii="宋体" w:eastAsia="宋体" w:hAnsi="宋体" w:cs="宋体" w:hint="eastAsia"/>
          <w:sz w:val="24"/>
        </w:rPr>
        <w:t>规</w:t>
      </w:r>
      <w:proofErr w:type="gramEnd"/>
      <w:r>
        <w:rPr>
          <w:rFonts w:ascii="宋体" w:eastAsia="宋体" w:hAnsi="宋体" w:cs="宋体" w:hint="eastAsia"/>
          <w:sz w:val="24"/>
        </w:rPr>
        <w:t>管理，切实防控风险，有力保障深化改革与高质量发展，根据《中华人民共和国公司法》《中华人民共和国企业国有资产法》等有关法律法规，制定本办法。</w:t>
      </w:r>
    </w:p>
    <w:p w14:paraId="78C222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本办法适用于国务院国有资产监督管理委员会（以下简称国资委）根据国务院授权履行出资人职责的中央企业。</w:t>
      </w:r>
    </w:p>
    <w:p w14:paraId="4AA911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本办法所称合</w:t>
      </w:r>
      <w:proofErr w:type="gramStart"/>
      <w:r>
        <w:rPr>
          <w:rFonts w:ascii="宋体" w:eastAsia="宋体" w:hAnsi="宋体" w:cs="宋体" w:hint="eastAsia"/>
          <w:sz w:val="24"/>
        </w:rPr>
        <w:t>规</w:t>
      </w:r>
      <w:proofErr w:type="gramEnd"/>
      <w:r>
        <w:rPr>
          <w:rFonts w:ascii="宋体" w:eastAsia="宋体" w:hAnsi="宋体" w:cs="宋体" w:hint="eastAsia"/>
          <w:sz w:val="24"/>
        </w:rPr>
        <w:t>，是指企业经营管理行为和员工履职行为符合国家法律法规、监管规定、行业准则和国际条约、规则，以及公司章程、相关规章制度等要求。</w:t>
      </w:r>
    </w:p>
    <w:p w14:paraId="530F29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本办法所称合</w:t>
      </w:r>
      <w:proofErr w:type="gramStart"/>
      <w:r>
        <w:rPr>
          <w:rFonts w:ascii="宋体" w:eastAsia="宋体" w:hAnsi="宋体" w:cs="宋体" w:hint="eastAsia"/>
          <w:sz w:val="24"/>
        </w:rPr>
        <w:t>规</w:t>
      </w:r>
      <w:proofErr w:type="gramEnd"/>
      <w:r>
        <w:rPr>
          <w:rFonts w:ascii="宋体" w:eastAsia="宋体" w:hAnsi="宋体" w:cs="宋体" w:hint="eastAsia"/>
          <w:sz w:val="24"/>
        </w:rPr>
        <w:t>风险，是指企业及其员工在经营管理过程中因违规行为引发法律责任、造成经济或者声誉损失以及其他负面影响的可能性。</w:t>
      </w:r>
    </w:p>
    <w:p w14:paraId="07C124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本办法所称合</w:t>
      </w:r>
      <w:proofErr w:type="gramStart"/>
      <w:r>
        <w:rPr>
          <w:rFonts w:ascii="宋体" w:eastAsia="宋体" w:hAnsi="宋体" w:cs="宋体" w:hint="eastAsia"/>
          <w:sz w:val="24"/>
        </w:rPr>
        <w:t>规</w:t>
      </w:r>
      <w:proofErr w:type="gramEnd"/>
      <w:r>
        <w:rPr>
          <w:rFonts w:ascii="宋体" w:eastAsia="宋体" w:hAnsi="宋体" w:cs="宋体" w:hint="eastAsia"/>
          <w:sz w:val="24"/>
        </w:rPr>
        <w:t>管理，是指企业以有效防控合</w:t>
      </w:r>
      <w:proofErr w:type="gramStart"/>
      <w:r>
        <w:rPr>
          <w:rFonts w:ascii="宋体" w:eastAsia="宋体" w:hAnsi="宋体" w:cs="宋体" w:hint="eastAsia"/>
          <w:sz w:val="24"/>
        </w:rPr>
        <w:t>规</w:t>
      </w:r>
      <w:proofErr w:type="gramEnd"/>
      <w:r>
        <w:rPr>
          <w:rFonts w:ascii="宋体" w:eastAsia="宋体" w:hAnsi="宋体" w:cs="宋体" w:hint="eastAsia"/>
          <w:sz w:val="24"/>
        </w:rPr>
        <w:t>风险为目的，以提升依法合</w:t>
      </w:r>
      <w:proofErr w:type="gramStart"/>
      <w:r>
        <w:rPr>
          <w:rFonts w:ascii="宋体" w:eastAsia="宋体" w:hAnsi="宋体" w:cs="宋体" w:hint="eastAsia"/>
          <w:sz w:val="24"/>
        </w:rPr>
        <w:t>规</w:t>
      </w:r>
      <w:proofErr w:type="gramEnd"/>
      <w:r>
        <w:rPr>
          <w:rFonts w:ascii="宋体" w:eastAsia="宋体" w:hAnsi="宋体" w:cs="宋体" w:hint="eastAsia"/>
          <w:sz w:val="24"/>
        </w:rPr>
        <w:t>经营管理水平为导向，以企业经营管理行为和员工履职行为为对象，开展的包括建立合规制度、完善运行机制、培育合</w:t>
      </w:r>
      <w:proofErr w:type="gramStart"/>
      <w:r>
        <w:rPr>
          <w:rFonts w:ascii="宋体" w:eastAsia="宋体" w:hAnsi="宋体" w:cs="宋体" w:hint="eastAsia"/>
          <w:sz w:val="24"/>
        </w:rPr>
        <w:t>规</w:t>
      </w:r>
      <w:proofErr w:type="gramEnd"/>
      <w:r>
        <w:rPr>
          <w:rFonts w:ascii="宋体" w:eastAsia="宋体" w:hAnsi="宋体" w:cs="宋体" w:hint="eastAsia"/>
          <w:sz w:val="24"/>
        </w:rPr>
        <w:t>文化、强化监督问责等有组织、有计划的管理活动。</w:t>
      </w:r>
    </w:p>
    <w:p w14:paraId="178F2D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国资委负责指导、监督中央企业合</w:t>
      </w:r>
      <w:proofErr w:type="gramStart"/>
      <w:r>
        <w:rPr>
          <w:rFonts w:ascii="宋体" w:eastAsia="宋体" w:hAnsi="宋体" w:cs="宋体" w:hint="eastAsia"/>
          <w:sz w:val="24"/>
        </w:rPr>
        <w:t>规</w:t>
      </w:r>
      <w:proofErr w:type="gramEnd"/>
      <w:r>
        <w:rPr>
          <w:rFonts w:ascii="宋体" w:eastAsia="宋体" w:hAnsi="宋体" w:cs="宋体" w:hint="eastAsia"/>
          <w:sz w:val="24"/>
        </w:rPr>
        <w:t>管理工作，对合</w:t>
      </w:r>
      <w:proofErr w:type="gramStart"/>
      <w:r>
        <w:rPr>
          <w:rFonts w:ascii="宋体" w:eastAsia="宋体" w:hAnsi="宋体" w:cs="宋体" w:hint="eastAsia"/>
          <w:sz w:val="24"/>
        </w:rPr>
        <w:t>规</w:t>
      </w:r>
      <w:proofErr w:type="gramEnd"/>
      <w:r>
        <w:rPr>
          <w:rFonts w:ascii="宋体" w:eastAsia="宋体" w:hAnsi="宋体" w:cs="宋体" w:hint="eastAsia"/>
          <w:sz w:val="24"/>
        </w:rPr>
        <w:t>管理体系建设情况及其有效性进行考核评价，依据相关规定对违规行为开展责任追究。</w:t>
      </w:r>
    </w:p>
    <w:p w14:paraId="6AC6F5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中央企业合</w:t>
      </w:r>
      <w:proofErr w:type="gramStart"/>
      <w:r>
        <w:rPr>
          <w:rFonts w:ascii="宋体" w:eastAsia="宋体" w:hAnsi="宋体" w:cs="宋体" w:hint="eastAsia"/>
          <w:sz w:val="24"/>
        </w:rPr>
        <w:t>规</w:t>
      </w:r>
      <w:proofErr w:type="gramEnd"/>
      <w:r>
        <w:rPr>
          <w:rFonts w:ascii="宋体" w:eastAsia="宋体" w:hAnsi="宋体" w:cs="宋体" w:hint="eastAsia"/>
          <w:sz w:val="24"/>
        </w:rPr>
        <w:t>管理工作应当遵循以下原则：</w:t>
      </w:r>
    </w:p>
    <w:p w14:paraId="6DBFF5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（一）坚持党的领导。充分发挥企业党委（党组）领导作用，落实全面依法治国战略部署有关要求，把党的领导贯穿合</w:t>
      </w:r>
      <w:proofErr w:type="gramStart"/>
      <w:r>
        <w:rPr>
          <w:rFonts w:ascii="宋体" w:eastAsia="宋体" w:hAnsi="宋体" w:cs="宋体" w:hint="eastAsia"/>
          <w:sz w:val="24"/>
        </w:rPr>
        <w:t>规</w:t>
      </w:r>
      <w:proofErr w:type="gramEnd"/>
      <w:r>
        <w:rPr>
          <w:rFonts w:ascii="宋体" w:eastAsia="宋体" w:hAnsi="宋体" w:cs="宋体" w:hint="eastAsia"/>
          <w:sz w:val="24"/>
        </w:rPr>
        <w:t>管理全过程。</w:t>
      </w:r>
    </w:p>
    <w:p w14:paraId="782DE4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（二）坚持全面覆盖。将合</w:t>
      </w:r>
      <w:proofErr w:type="gramStart"/>
      <w:r>
        <w:rPr>
          <w:rFonts w:ascii="宋体" w:eastAsia="宋体" w:hAnsi="宋体" w:cs="宋体" w:hint="eastAsia"/>
          <w:sz w:val="24"/>
        </w:rPr>
        <w:t>规</w:t>
      </w:r>
      <w:proofErr w:type="gramEnd"/>
      <w:r>
        <w:rPr>
          <w:rFonts w:ascii="宋体" w:eastAsia="宋体" w:hAnsi="宋体" w:cs="宋体" w:hint="eastAsia"/>
          <w:sz w:val="24"/>
        </w:rPr>
        <w:t>要求嵌入经营管理各领域各环节，贯穿决策、</w:t>
      </w:r>
      <w:r>
        <w:rPr>
          <w:rFonts w:ascii="宋体" w:eastAsia="宋体" w:hAnsi="宋体" w:cs="宋体" w:hint="eastAsia"/>
          <w:sz w:val="24"/>
        </w:rPr>
        <w:lastRenderedPageBreak/>
        <w:t>执行、监督全过程，落实到各部门、各单位和全体员工，实现多方联动、上下贯通。</w:t>
      </w:r>
    </w:p>
    <w:p w14:paraId="13A096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（三）坚持权责清晰。按照“管业务必须管合</w:t>
      </w:r>
      <w:proofErr w:type="gramStart"/>
      <w:r>
        <w:rPr>
          <w:rFonts w:ascii="宋体" w:eastAsia="宋体" w:hAnsi="宋体" w:cs="宋体" w:hint="eastAsia"/>
          <w:sz w:val="24"/>
        </w:rPr>
        <w:t>规</w:t>
      </w:r>
      <w:proofErr w:type="gramEnd"/>
      <w:r>
        <w:rPr>
          <w:rFonts w:ascii="宋体" w:eastAsia="宋体" w:hAnsi="宋体" w:cs="宋体" w:hint="eastAsia"/>
          <w:sz w:val="24"/>
        </w:rPr>
        <w:t>”要求，明确业务及职能部门、合</w:t>
      </w:r>
      <w:proofErr w:type="gramStart"/>
      <w:r>
        <w:rPr>
          <w:rFonts w:ascii="宋体" w:eastAsia="宋体" w:hAnsi="宋体" w:cs="宋体" w:hint="eastAsia"/>
          <w:sz w:val="24"/>
        </w:rPr>
        <w:t>规</w:t>
      </w:r>
      <w:proofErr w:type="gramEnd"/>
      <w:r>
        <w:rPr>
          <w:rFonts w:ascii="宋体" w:eastAsia="宋体" w:hAnsi="宋体" w:cs="宋体" w:hint="eastAsia"/>
          <w:sz w:val="24"/>
        </w:rPr>
        <w:t>管理部门和监督部门职责，严格落实员工合</w:t>
      </w:r>
      <w:proofErr w:type="gramStart"/>
      <w:r>
        <w:rPr>
          <w:rFonts w:ascii="宋体" w:eastAsia="宋体" w:hAnsi="宋体" w:cs="宋体" w:hint="eastAsia"/>
          <w:sz w:val="24"/>
        </w:rPr>
        <w:t>规</w:t>
      </w:r>
      <w:proofErr w:type="gramEnd"/>
      <w:r>
        <w:rPr>
          <w:rFonts w:ascii="宋体" w:eastAsia="宋体" w:hAnsi="宋体" w:cs="宋体" w:hint="eastAsia"/>
          <w:sz w:val="24"/>
        </w:rPr>
        <w:t>责任，对违规行为严肃问责。</w:t>
      </w:r>
    </w:p>
    <w:p w14:paraId="12B46D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（四）坚持务实高效。建立健全符合企业实际的合</w:t>
      </w:r>
      <w:proofErr w:type="gramStart"/>
      <w:r>
        <w:rPr>
          <w:rFonts w:ascii="宋体" w:eastAsia="宋体" w:hAnsi="宋体" w:cs="宋体" w:hint="eastAsia"/>
          <w:sz w:val="24"/>
        </w:rPr>
        <w:t>规</w:t>
      </w:r>
      <w:proofErr w:type="gramEnd"/>
      <w:r>
        <w:rPr>
          <w:rFonts w:ascii="宋体" w:eastAsia="宋体" w:hAnsi="宋体" w:cs="宋体" w:hint="eastAsia"/>
          <w:sz w:val="24"/>
        </w:rPr>
        <w:t>管理体系，突出对重点领域、关键环节和重要人员的管理，充分利用大数据等信息化手段，切实提高管理效能。</w:t>
      </w:r>
    </w:p>
    <w:p w14:paraId="2EE28E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中央企业应当在机构、人员、经费、技术等方面为合</w:t>
      </w:r>
      <w:proofErr w:type="gramStart"/>
      <w:r>
        <w:rPr>
          <w:rFonts w:ascii="宋体" w:eastAsia="宋体" w:hAnsi="宋体" w:cs="宋体" w:hint="eastAsia"/>
          <w:sz w:val="24"/>
        </w:rPr>
        <w:t>规</w:t>
      </w:r>
      <w:proofErr w:type="gramEnd"/>
      <w:r>
        <w:rPr>
          <w:rFonts w:ascii="宋体" w:eastAsia="宋体" w:hAnsi="宋体" w:cs="宋体" w:hint="eastAsia"/>
          <w:sz w:val="24"/>
        </w:rPr>
        <w:t>管理工作提供必要条件，保障相关工作有序开展。</w:t>
      </w:r>
    </w:p>
    <w:p w14:paraId="44900F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组织和职责</w:t>
      </w:r>
    </w:p>
    <w:p w14:paraId="65AD94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中央企业党委（党组）发挥把方向、管大局、促落实的领导作用，推动合</w:t>
      </w:r>
      <w:proofErr w:type="gramStart"/>
      <w:r>
        <w:rPr>
          <w:rFonts w:ascii="宋体" w:eastAsia="宋体" w:hAnsi="宋体" w:cs="宋体" w:hint="eastAsia"/>
          <w:sz w:val="24"/>
        </w:rPr>
        <w:t>规</w:t>
      </w:r>
      <w:proofErr w:type="gramEnd"/>
      <w:r>
        <w:rPr>
          <w:rFonts w:ascii="宋体" w:eastAsia="宋体" w:hAnsi="宋体" w:cs="宋体" w:hint="eastAsia"/>
          <w:sz w:val="24"/>
        </w:rPr>
        <w:t>要求在本企业得到严格遵循和落实，不断提升依法合</w:t>
      </w:r>
      <w:proofErr w:type="gramStart"/>
      <w:r>
        <w:rPr>
          <w:rFonts w:ascii="宋体" w:eastAsia="宋体" w:hAnsi="宋体" w:cs="宋体" w:hint="eastAsia"/>
          <w:sz w:val="24"/>
        </w:rPr>
        <w:t>规</w:t>
      </w:r>
      <w:proofErr w:type="gramEnd"/>
      <w:r>
        <w:rPr>
          <w:rFonts w:ascii="宋体" w:eastAsia="宋体" w:hAnsi="宋体" w:cs="宋体" w:hint="eastAsia"/>
          <w:sz w:val="24"/>
        </w:rPr>
        <w:t>经营管理水平。</w:t>
      </w:r>
    </w:p>
    <w:p w14:paraId="4F16B3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中央企业应当严格遵守党内法规制度，企业党建工作机构在党委（党组）领导下，按照有关规定履行相应职责，推动相关党内法规制度有效贯彻落实。</w:t>
      </w:r>
    </w:p>
    <w:p w14:paraId="34E8C0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中央企业董事会发挥定战略、作决策、防风险作用，主要履行以下职责：</w:t>
      </w:r>
    </w:p>
    <w:p w14:paraId="602245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（一）审议批准合</w:t>
      </w:r>
      <w:proofErr w:type="gramStart"/>
      <w:r>
        <w:rPr>
          <w:rFonts w:ascii="宋体" w:eastAsia="宋体" w:hAnsi="宋体" w:cs="宋体" w:hint="eastAsia"/>
          <w:sz w:val="24"/>
        </w:rPr>
        <w:t>规</w:t>
      </w:r>
      <w:proofErr w:type="gramEnd"/>
      <w:r>
        <w:rPr>
          <w:rFonts w:ascii="宋体" w:eastAsia="宋体" w:hAnsi="宋体" w:cs="宋体" w:hint="eastAsia"/>
          <w:sz w:val="24"/>
        </w:rPr>
        <w:t>管理基本制度、体系建设方案和年度报告等。</w:t>
      </w:r>
    </w:p>
    <w:p w14:paraId="1DD921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（二）研究决定合</w:t>
      </w:r>
      <w:proofErr w:type="gramStart"/>
      <w:r>
        <w:rPr>
          <w:rFonts w:ascii="宋体" w:eastAsia="宋体" w:hAnsi="宋体" w:cs="宋体" w:hint="eastAsia"/>
          <w:sz w:val="24"/>
        </w:rPr>
        <w:t>规</w:t>
      </w:r>
      <w:proofErr w:type="gramEnd"/>
      <w:r>
        <w:rPr>
          <w:rFonts w:ascii="宋体" w:eastAsia="宋体" w:hAnsi="宋体" w:cs="宋体" w:hint="eastAsia"/>
          <w:sz w:val="24"/>
        </w:rPr>
        <w:t>管理重大事项。</w:t>
      </w:r>
    </w:p>
    <w:p w14:paraId="2DD973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（三）推动完善合</w:t>
      </w:r>
      <w:proofErr w:type="gramStart"/>
      <w:r>
        <w:rPr>
          <w:rFonts w:ascii="宋体" w:eastAsia="宋体" w:hAnsi="宋体" w:cs="宋体" w:hint="eastAsia"/>
          <w:sz w:val="24"/>
        </w:rPr>
        <w:t>规</w:t>
      </w:r>
      <w:proofErr w:type="gramEnd"/>
      <w:r>
        <w:rPr>
          <w:rFonts w:ascii="宋体" w:eastAsia="宋体" w:hAnsi="宋体" w:cs="宋体" w:hint="eastAsia"/>
          <w:sz w:val="24"/>
        </w:rPr>
        <w:t>管理体系并对其有效性进行评价。</w:t>
      </w:r>
    </w:p>
    <w:p w14:paraId="0A4297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（四）决定合</w:t>
      </w:r>
      <w:proofErr w:type="gramStart"/>
      <w:r>
        <w:rPr>
          <w:rFonts w:ascii="宋体" w:eastAsia="宋体" w:hAnsi="宋体" w:cs="宋体" w:hint="eastAsia"/>
          <w:sz w:val="24"/>
        </w:rPr>
        <w:t>规</w:t>
      </w:r>
      <w:proofErr w:type="gramEnd"/>
      <w:r>
        <w:rPr>
          <w:rFonts w:ascii="宋体" w:eastAsia="宋体" w:hAnsi="宋体" w:cs="宋体" w:hint="eastAsia"/>
          <w:sz w:val="24"/>
        </w:rPr>
        <w:t>管理部门设置及职责。</w:t>
      </w:r>
    </w:p>
    <w:p w14:paraId="37B37D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中央企业经理</w:t>
      </w:r>
      <w:proofErr w:type="gramStart"/>
      <w:r>
        <w:rPr>
          <w:rFonts w:ascii="宋体" w:eastAsia="宋体" w:hAnsi="宋体" w:cs="宋体" w:hint="eastAsia"/>
          <w:sz w:val="24"/>
        </w:rPr>
        <w:t>层发挥谋</w:t>
      </w:r>
      <w:proofErr w:type="gramEnd"/>
      <w:r>
        <w:rPr>
          <w:rFonts w:ascii="宋体" w:eastAsia="宋体" w:hAnsi="宋体" w:cs="宋体" w:hint="eastAsia"/>
          <w:sz w:val="24"/>
        </w:rPr>
        <w:t>经营、抓落实、强管理作用，主要履行以下职责：</w:t>
      </w:r>
    </w:p>
    <w:p w14:paraId="7BE656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（一）拟订合</w:t>
      </w:r>
      <w:proofErr w:type="gramStart"/>
      <w:r>
        <w:rPr>
          <w:rFonts w:ascii="宋体" w:eastAsia="宋体" w:hAnsi="宋体" w:cs="宋体" w:hint="eastAsia"/>
          <w:sz w:val="24"/>
        </w:rPr>
        <w:t>规</w:t>
      </w:r>
      <w:proofErr w:type="gramEnd"/>
      <w:r>
        <w:rPr>
          <w:rFonts w:ascii="宋体" w:eastAsia="宋体" w:hAnsi="宋体" w:cs="宋体" w:hint="eastAsia"/>
          <w:sz w:val="24"/>
        </w:rPr>
        <w:t>管理体系建设方案，经董事会批准后组织实施。</w:t>
      </w:r>
    </w:p>
    <w:p w14:paraId="4E9F0E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（二）拟订合</w:t>
      </w:r>
      <w:proofErr w:type="gramStart"/>
      <w:r>
        <w:rPr>
          <w:rFonts w:ascii="宋体" w:eastAsia="宋体" w:hAnsi="宋体" w:cs="宋体" w:hint="eastAsia"/>
          <w:sz w:val="24"/>
        </w:rPr>
        <w:t>规</w:t>
      </w:r>
      <w:proofErr w:type="gramEnd"/>
      <w:r>
        <w:rPr>
          <w:rFonts w:ascii="宋体" w:eastAsia="宋体" w:hAnsi="宋体" w:cs="宋体" w:hint="eastAsia"/>
          <w:sz w:val="24"/>
        </w:rPr>
        <w:t>管理基本制度，批准年度计划等，组织制定合</w:t>
      </w:r>
      <w:proofErr w:type="gramStart"/>
      <w:r>
        <w:rPr>
          <w:rFonts w:ascii="宋体" w:eastAsia="宋体" w:hAnsi="宋体" w:cs="宋体" w:hint="eastAsia"/>
          <w:sz w:val="24"/>
        </w:rPr>
        <w:t>规</w:t>
      </w:r>
      <w:proofErr w:type="gramEnd"/>
      <w:r>
        <w:rPr>
          <w:rFonts w:ascii="宋体" w:eastAsia="宋体" w:hAnsi="宋体" w:cs="宋体" w:hint="eastAsia"/>
          <w:sz w:val="24"/>
        </w:rPr>
        <w:t>管理具体制</w:t>
      </w:r>
      <w:r>
        <w:rPr>
          <w:rFonts w:ascii="宋体" w:eastAsia="宋体" w:hAnsi="宋体" w:cs="宋体" w:hint="eastAsia"/>
          <w:sz w:val="24"/>
        </w:rPr>
        <w:lastRenderedPageBreak/>
        <w:t>度。</w:t>
      </w:r>
    </w:p>
    <w:p w14:paraId="46FE7F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（三）组织应对重大合</w:t>
      </w:r>
      <w:proofErr w:type="gramStart"/>
      <w:r>
        <w:rPr>
          <w:rFonts w:ascii="宋体" w:eastAsia="宋体" w:hAnsi="宋体" w:cs="宋体" w:hint="eastAsia"/>
          <w:sz w:val="24"/>
        </w:rPr>
        <w:t>规</w:t>
      </w:r>
      <w:proofErr w:type="gramEnd"/>
      <w:r>
        <w:rPr>
          <w:rFonts w:ascii="宋体" w:eastAsia="宋体" w:hAnsi="宋体" w:cs="宋体" w:hint="eastAsia"/>
          <w:sz w:val="24"/>
        </w:rPr>
        <w:t>风险事件。</w:t>
      </w:r>
    </w:p>
    <w:p w14:paraId="2C7425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（四）指导监督各部门和所属单位合</w:t>
      </w:r>
      <w:proofErr w:type="gramStart"/>
      <w:r>
        <w:rPr>
          <w:rFonts w:ascii="宋体" w:eastAsia="宋体" w:hAnsi="宋体" w:cs="宋体" w:hint="eastAsia"/>
          <w:sz w:val="24"/>
        </w:rPr>
        <w:t>规</w:t>
      </w:r>
      <w:proofErr w:type="gramEnd"/>
      <w:r>
        <w:rPr>
          <w:rFonts w:ascii="宋体" w:eastAsia="宋体" w:hAnsi="宋体" w:cs="宋体" w:hint="eastAsia"/>
          <w:sz w:val="24"/>
        </w:rPr>
        <w:t>管理工作。</w:t>
      </w:r>
    </w:p>
    <w:p w14:paraId="7ED349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中央企业主要负责人作为推进法治建设第一责任人，应当切实履行依法合</w:t>
      </w:r>
      <w:proofErr w:type="gramStart"/>
      <w:r>
        <w:rPr>
          <w:rFonts w:ascii="宋体" w:eastAsia="宋体" w:hAnsi="宋体" w:cs="宋体" w:hint="eastAsia"/>
          <w:sz w:val="24"/>
        </w:rPr>
        <w:t>规</w:t>
      </w:r>
      <w:proofErr w:type="gramEnd"/>
      <w:r>
        <w:rPr>
          <w:rFonts w:ascii="宋体" w:eastAsia="宋体" w:hAnsi="宋体" w:cs="宋体" w:hint="eastAsia"/>
          <w:sz w:val="24"/>
        </w:rPr>
        <w:t>经营管理重要组织者、推动者和实践者的职责，积极推进合</w:t>
      </w:r>
      <w:proofErr w:type="gramStart"/>
      <w:r>
        <w:rPr>
          <w:rFonts w:ascii="宋体" w:eastAsia="宋体" w:hAnsi="宋体" w:cs="宋体" w:hint="eastAsia"/>
          <w:sz w:val="24"/>
        </w:rPr>
        <w:t>规</w:t>
      </w:r>
      <w:proofErr w:type="gramEnd"/>
      <w:r>
        <w:rPr>
          <w:rFonts w:ascii="宋体" w:eastAsia="宋体" w:hAnsi="宋体" w:cs="宋体" w:hint="eastAsia"/>
          <w:sz w:val="24"/>
        </w:rPr>
        <w:t>管理各项工作。</w:t>
      </w:r>
    </w:p>
    <w:p w14:paraId="0AA67C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中央企业设立合</w:t>
      </w:r>
      <w:proofErr w:type="gramStart"/>
      <w:r>
        <w:rPr>
          <w:rFonts w:ascii="宋体" w:eastAsia="宋体" w:hAnsi="宋体" w:cs="宋体" w:hint="eastAsia"/>
          <w:sz w:val="24"/>
        </w:rPr>
        <w:t>规</w:t>
      </w:r>
      <w:proofErr w:type="gramEnd"/>
      <w:r>
        <w:rPr>
          <w:rFonts w:ascii="宋体" w:eastAsia="宋体" w:hAnsi="宋体" w:cs="宋体" w:hint="eastAsia"/>
          <w:sz w:val="24"/>
        </w:rPr>
        <w:t>委员会，可以与法治建设领导机构等合署办公，统筹协调合</w:t>
      </w:r>
      <w:proofErr w:type="gramStart"/>
      <w:r>
        <w:rPr>
          <w:rFonts w:ascii="宋体" w:eastAsia="宋体" w:hAnsi="宋体" w:cs="宋体" w:hint="eastAsia"/>
          <w:sz w:val="24"/>
        </w:rPr>
        <w:t>规</w:t>
      </w:r>
      <w:proofErr w:type="gramEnd"/>
      <w:r>
        <w:rPr>
          <w:rFonts w:ascii="宋体" w:eastAsia="宋体" w:hAnsi="宋体" w:cs="宋体" w:hint="eastAsia"/>
          <w:sz w:val="24"/>
        </w:rPr>
        <w:t>管理工作，定期召开会议，研究解决重点难点问题。</w:t>
      </w:r>
    </w:p>
    <w:p w14:paraId="2FF769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中央企业应当结合实际设立首席合</w:t>
      </w:r>
      <w:proofErr w:type="gramStart"/>
      <w:r>
        <w:rPr>
          <w:rFonts w:ascii="宋体" w:eastAsia="宋体" w:hAnsi="宋体" w:cs="宋体" w:hint="eastAsia"/>
          <w:sz w:val="24"/>
        </w:rPr>
        <w:t>规</w:t>
      </w:r>
      <w:proofErr w:type="gramEnd"/>
      <w:r>
        <w:rPr>
          <w:rFonts w:ascii="宋体" w:eastAsia="宋体" w:hAnsi="宋体" w:cs="宋体" w:hint="eastAsia"/>
          <w:sz w:val="24"/>
        </w:rPr>
        <w:t>官，</w:t>
      </w:r>
      <w:proofErr w:type="gramStart"/>
      <w:r>
        <w:rPr>
          <w:rFonts w:ascii="宋体" w:eastAsia="宋体" w:hAnsi="宋体" w:cs="宋体" w:hint="eastAsia"/>
          <w:sz w:val="24"/>
        </w:rPr>
        <w:t>不</w:t>
      </w:r>
      <w:proofErr w:type="gramEnd"/>
      <w:r>
        <w:rPr>
          <w:rFonts w:ascii="宋体" w:eastAsia="宋体" w:hAnsi="宋体" w:cs="宋体" w:hint="eastAsia"/>
          <w:sz w:val="24"/>
        </w:rPr>
        <w:t>新增领导岗位和</w:t>
      </w:r>
      <w:proofErr w:type="gramStart"/>
      <w:r>
        <w:rPr>
          <w:rFonts w:ascii="宋体" w:eastAsia="宋体" w:hAnsi="宋体" w:cs="宋体" w:hint="eastAsia"/>
          <w:sz w:val="24"/>
        </w:rPr>
        <w:t>职数</w:t>
      </w:r>
      <w:proofErr w:type="gramEnd"/>
      <w:r>
        <w:rPr>
          <w:rFonts w:ascii="宋体" w:eastAsia="宋体" w:hAnsi="宋体" w:cs="宋体" w:hint="eastAsia"/>
          <w:sz w:val="24"/>
        </w:rPr>
        <w:t>，由总法律顾问兼任，对企业主要负责人负责，领导合</w:t>
      </w:r>
      <w:proofErr w:type="gramStart"/>
      <w:r>
        <w:rPr>
          <w:rFonts w:ascii="宋体" w:eastAsia="宋体" w:hAnsi="宋体" w:cs="宋体" w:hint="eastAsia"/>
          <w:sz w:val="24"/>
        </w:rPr>
        <w:t>规</w:t>
      </w:r>
      <w:proofErr w:type="gramEnd"/>
      <w:r>
        <w:rPr>
          <w:rFonts w:ascii="宋体" w:eastAsia="宋体" w:hAnsi="宋体" w:cs="宋体" w:hint="eastAsia"/>
          <w:sz w:val="24"/>
        </w:rPr>
        <w:t>管理部门组织开展相关工作，指导所属单位加强合</w:t>
      </w:r>
      <w:proofErr w:type="gramStart"/>
      <w:r>
        <w:rPr>
          <w:rFonts w:ascii="宋体" w:eastAsia="宋体" w:hAnsi="宋体" w:cs="宋体" w:hint="eastAsia"/>
          <w:sz w:val="24"/>
        </w:rPr>
        <w:t>规</w:t>
      </w:r>
      <w:proofErr w:type="gramEnd"/>
      <w:r>
        <w:rPr>
          <w:rFonts w:ascii="宋体" w:eastAsia="宋体" w:hAnsi="宋体" w:cs="宋体" w:hint="eastAsia"/>
          <w:sz w:val="24"/>
        </w:rPr>
        <w:t>管理。</w:t>
      </w:r>
    </w:p>
    <w:p w14:paraId="419342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中央企业业务及职能部门承担合</w:t>
      </w:r>
      <w:proofErr w:type="gramStart"/>
      <w:r>
        <w:rPr>
          <w:rFonts w:ascii="宋体" w:eastAsia="宋体" w:hAnsi="宋体" w:cs="宋体" w:hint="eastAsia"/>
          <w:sz w:val="24"/>
        </w:rPr>
        <w:t>规</w:t>
      </w:r>
      <w:proofErr w:type="gramEnd"/>
      <w:r>
        <w:rPr>
          <w:rFonts w:ascii="宋体" w:eastAsia="宋体" w:hAnsi="宋体" w:cs="宋体" w:hint="eastAsia"/>
          <w:sz w:val="24"/>
        </w:rPr>
        <w:t>管理主体责任，主要履行以下职责：</w:t>
      </w:r>
    </w:p>
    <w:p w14:paraId="497396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（一）建立健全本部门业务合</w:t>
      </w:r>
      <w:proofErr w:type="gramStart"/>
      <w:r>
        <w:rPr>
          <w:rFonts w:ascii="宋体" w:eastAsia="宋体" w:hAnsi="宋体" w:cs="宋体" w:hint="eastAsia"/>
          <w:sz w:val="24"/>
        </w:rPr>
        <w:t>规</w:t>
      </w:r>
      <w:proofErr w:type="gramEnd"/>
      <w:r>
        <w:rPr>
          <w:rFonts w:ascii="宋体" w:eastAsia="宋体" w:hAnsi="宋体" w:cs="宋体" w:hint="eastAsia"/>
          <w:sz w:val="24"/>
        </w:rPr>
        <w:t>管理制度和流程，开展合</w:t>
      </w:r>
      <w:proofErr w:type="gramStart"/>
      <w:r>
        <w:rPr>
          <w:rFonts w:ascii="宋体" w:eastAsia="宋体" w:hAnsi="宋体" w:cs="宋体" w:hint="eastAsia"/>
          <w:sz w:val="24"/>
        </w:rPr>
        <w:t>规</w:t>
      </w:r>
      <w:proofErr w:type="gramEnd"/>
      <w:r>
        <w:rPr>
          <w:rFonts w:ascii="宋体" w:eastAsia="宋体" w:hAnsi="宋体" w:cs="宋体" w:hint="eastAsia"/>
          <w:sz w:val="24"/>
        </w:rPr>
        <w:t>风险识别评估，编制风险清单和应对预案。</w:t>
      </w:r>
    </w:p>
    <w:p w14:paraId="726C86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（二）定期梳理重点岗位合</w:t>
      </w:r>
      <w:proofErr w:type="gramStart"/>
      <w:r>
        <w:rPr>
          <w:rFonts w:ascii="宋体" w:eastAsia="宋体" w:hAnsi="宋体" w:cs="宋体" w:hint="eastAsia"/>
          <w:sz w:val="24"/>
        </w:rPr>
        <w:t>规</w:t>
      </w:r>
      <w:proofErr w:type="gramEnd"/>
      <w:r>
        <w:rPr>
          <w:rFonts w:ascii="宋体" w:eastAsia="宋体" w:hAnsi="宋体" w:cs="宋体" w:hint="eastAsia"/>
          <w:sz w:val="24"/>
        </w:rPr>
        <w:t>风险，将合</w:t>
      </w:r>
      <w:proofErr w:type="gramStart"/>
      <w:r>
        <w:rPr>
          <w:rFonts w:ascii="宋体" w:eastAsia="宋体" w:hAnsi="宋体" w:cs="宋体" w:hint="eastAsia"/>
          <w:sz w:val="24"/>
        </w:rPr>
        <w:t>规</w:t>
      </w:r>
      <w:proofErr w:type="gramEnd"/>
      <w:r>
        <w:rPr>
          <w:rFonts w:ascii="宋体" w:eastAsia="宋体" w:hAnsi="宋体" w:cs="宋体" w:hint="eastAsia"/>
          <w:sz w:val="24"/>
        </w:rPr>
        <w:t>要求纳入岗位职责。</w:t>
      </w:r>
    </w:p>
    <w:p w14:paraId="4865ED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（三）负责本部门经营管理行为的合</w:t>
      </w:r>
      <w:proofErr w:type="gramStart"/>
      <w:r>
        <w:rPr>
          <w:rFonts w:ascii="宋体" w:eastAsia="宋体" w:hAnsi="宋体" w:cs="宋体" w:hint="eastAsia"/>
          <w:sz w:val="24"/>
        </w:rPr>
        <w:t>规</w:t>
      </w:r>
      <w:proofErr w:type="gramEnd"/>
      <w:r>
        <w:rPr>
          <w:rFonts w:ascii="宋体" w:eastAsia="宋体" w:hAnsi="宋体" w:cs="宋体" w:hint="eastAsia"/>
          <w:sz w:val="24"/>
        </w:rPr>
        <w:t>审查。</w:t>
      </w:r>
    </w:p>
    <w:p w14:paraId="094517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（四）及时报告合</w:t>
      </w:r>
      <w:proofErr w:type="gramStart"/>
      <w:r>
        <w:rPr>
          <w:rFonts w:ascii="宋体" w:eastAsia="宋体" w:hAnsi="宋体" w:cs="宋体" w:hint="eastAsia"/>
          <w:sz w:val="24"/>
        </w:rPr>
        <w:t>规</w:t>
      </w:r>
      <w:proofErr w:type="gramEnd"/>
      <w:r>
        <w:rPr>
          <w:rFonts w:ascii="宋体" w:eastAsia="宋体" w:hAnsi="宋体" w:cs="宋体" w:hint="eastAsia"/>
          <w:sz w:val="24"/>
        </w:rPr>
        <w:t>风险，组织或者配合开展应对处置。</w:t>
      </w:r>
    </w:p>
    <w:p w14:paraId="3A9A87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（五）组织或者配合开展违规问题调查和整改。</w:t>
      </w:r>
    </w:p>
    <w:p w14:paraId="5546BC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中央企业应当在业务及职能部门设置合</w:t>
      </w:r>
      <w:proofErr w:type="gramStart"/>
      <w:r>
        <w:rPr>
          <w:rFonts w:ascii="宋体" w:eastAsia="宋体" w:hAnsi="宋体" w:cs="宋体" w:hint="eastAsia"/>
          <w:sz w:val="24"/>
        </w:rPr>
        <w:t>规</w:t>
      </w:r>
      <w:proofErr w:type="gramEnd"/>
      <w:r>
        <w:rPr>
          <w:rFonts w:ascii="宋体" w:eastAsia="宋体" w:hAnsi="宋体" w:cs="宋体" w:hint="eastAsia"/>
          <w:sz w:val="24"/>
        </w:rPr>
        <w:t>管理员，由业务骨干担任，接受合</w:t>
      </w:r>
      <w:proofErr w:type="gramStart"/>
      <w:r>
        <w:rPr>
          <w:rFonts w:ascii="宋体" w:eastAsia="宋体" w:hAnsi="宋体" w:cs="宋体" w:hint="eastAsia"/>
          <w:sz w:val="24"/>
        </w:rPr>
        <w:t>规</w:t>
      </w:r>
      <w:proofErr w:type="gramEnd"/>
      <w:r>
        <w:rPr>
          <w:rFonts w:ascii="宋体" w:eastAsia="宋体" w:hAnsi="宋体" w:cs="宋体" w:hint="eastAsia"/>
          <w:sz w:val="24"/>
        </w:rPr>
        <w:t>管理部门业务指导和培训。</w:t>
      </w:r>
    </w:p>
    <w:p w14:paraId="15C772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中央企业合</w:t>
      </w:r>
      <w:proofErr w:type="gramStart"/>
      <w:r>
        <w:rPr>
          <w:rFonts w:ascii="宋体" w:eastAsia="宋体" w:hAnsi="宋体" w:cs="宋体" w:hint="eastAsia"/>
          <w:sz w:val="24"/>
        </w:rPr>
        <w:t>规</w:t>
      </w:r>
      <w:proofErr w:type="gramEnd"/>
      <w:r>
        <w:rPr>
          <w:rFonts w:ascii="宋体" w:eastAsia="宋体" w:hAnsi="宋体" w:cs="宋体" w:hint="eastAsia"/>
          <w:sz w:val="24"/>
        </w:rPr>
        <w:t>管理部门牵头负责本企业合</w:t>
      </w:r>
      <w:proofErr w:type="gramStart"/>
      <w:r>
        <w:rPr>
          <w:rFonts w:ascii="宋体" w:eastAsia="宋体" w:hAnsi="宋体" w:cs="宋体" w:hint="eastAsia"/>
          <w:sz w:val="24"/>
        </w:rPr>
        <w:t>规</w:t>
      </w:r>
      <w:proofErr w:type="gramEnd"/>
      <w:r>
        <w:rPr>
          <w:rFonts w:ascii="宋体" w:eastAsia="宋体" w:hAnsi="宋体" w:cs="宋体" w:hint="eastAsia"/>
          <w:sz w:val="24"/>
        </w:rPr>
        <w:t>管理工作，主要履行以下职责：</w:t>
      </w:r>
    </w:p>
    <w:p w14:paraId="1F881A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（一）组织起草合</w:t>
      </w:r>
      <w:proofErr w:type="gramStart"/>
      <w:r>
        <w:rPr>
          <w:rFonts w:ascii="宋体" w:eastAsia="宋体" w:hAnsi="宋体" w:cs="宋体" w:hint="eastAsia"/>
          <w:sz w:val="24"/>
        </w:rPr>
        <w:t>规</w:t>
      </w:r>
      <w:proofErr w:type="gramEnd"/>
      <w:r>
        <w:rPr>
          <w:rFonts w:ascii="宋体" w:eastAsia="宋体" w:hAnsi="宋体" w:cs="宋体" w:hint="eastAsia"/>
          <w:sz w:val="24"/>
        </w:rPr>
        <w:t>管理基本制度、具体制度、年度计划和工作报告等。</w:t>
      </w:r>
    </w:p>
    <w:p w14:paraId="43778D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（二）负责规章制度、经济合同、重大决策合</w:t>
      </w:r>
      <w:proofErr w:type="gramStart"/>
      <w:r>
        <w:rPr>
          <w:rFonts w:ascii="宋体" w:eastAsia="宋体" w:hAnsi="宋体" w:cs="宋体" w:hint="eastAsia"/>
          <w:sz w:val="24"/>
        </w:rPr>
        <w:t>规</w:t>
      </w:r>
      <w:proofErr w:type="gramEnd"/>
      <w:r>
        <w:rPr>
          <w:rFonts w:ascii="宋体" w:eastAsia="宋体" w:hAnsi="宋体" w:cs="宋体" w:hint="eastAsia"/>
          <w:sz w:val="24"/>
        </w:rPr>
        <w:t>审查。</w:t>
      </w:r>
    </w:p>
    <w:p w14:paraId="5C7FE9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（三）组织开展合</w:t>
      </w:r>
      <w:proofErr w:type="gramStart"/>
      <w:r>
        <w:rPr>
          <w:rFonts w:ascii="宋体" w:eastAsia="宋体" w:hAnsi="宋体" w:cs="宋体" w:hint="eastAsia"/>
          <w:sz w:val="24"/>
        </w:rPr>
        <w:t>规</w:t>
      </w:r>
      <w:proofErr w:type="gramEnd"/>
      <w:r>
        <w:rPr>
          <w:rFonts w:ascii="宋体" w:eastAsia="宋体" w:hAnsi="宋体" w:cs="宋体" w:hint="eastAsia"/>
          <w:sz w:val="24"/>
        </w:rPr>
        <w:t>风险识别、预警和应对处置，根据董事会授权开展合</w:t>
      </w:r>
      <w:proofErr w:type="gramStart"/>
      <w:r>
        <w:rPr>
          <w:rFonts w:ascii="宋体" w:eastAsia="宋体" w:hAnsi="宋体" w:cs="宋体" w:hint="eastAsia"/>
          <w:sz w:val="24"/>
        </w:rPr>
        <w:t>规</w:t>
      </w:r>
      <w:proofErr w:type="gramEnd"/>
      <w:r>
        <w:rPr>
          <w:rFonts w:ascii="宋体" w:eastAsia="宋体" w:hAnsi="宋体" w:cs="宋体" w:hint="eastAsia"/>
          <w:sz w:val="24"/>
        </w:rPr>
        <w:t>管理体系有效性评价。</w:t>
      </w:r>
    </w:p>
    <w:p w14:paraId="322D68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（四）受理职责范围内的违规举报，提出分类处置意见，组织或者参与对违规行为的调查。</w:t>
      </w:r>
    </w:p>
    <w:p w14:paraId="130E0B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（五）组织或者协助业务及职能部门开展合</w:t>
      </w:r>
      <w:proofErr w:type="gramStart"/>
      <w:r>
        <w:rPr>
          <w:rFonts w:ascii="宋体" w:eastAsia="宋体" w:hAnsi="宋体" w:cs="宋体" w:hint="eastAsia"/>
          <w:sz w:val="24"/>
        </w:rPr>
        <w:t>规</w:t>
      </w:r>
      <w:proofErr w:type="gramEnd"/>
      <w:r>
        <w:rPr>
          <w:rFonts w:ascii="宋体" w:eastAsia="宋体" w:hAnsi="宋体" w:cs="宋体" w:hint="eastAsia"/>
          <w:sz w:val="24"/>
        </w:rPr>
        <w:t>培训，受理合</w:t>
      </w:r>
      <w:proofErr w:type="gramStart"/>
      <w:r>
        <w:rPr>
          <w:rFonts w:ascii="宋体" w:eastAsia="宋体" w:hAnsi="宋体" w:cs="宋体" w:hint="eastAsia"/>
          <w:sz w:val="24"/>
        </w:rPr>
        <w:t>规</w:t>
      </w:r>
      <w:proofErr w:type="gramEnd"/>
      <w:r>
        <w:rPr>
          <w:rFonts w:ascii="宋体" w:eastAsia="宋体" w:hAnsi="宋体" w:cs="宋体" w:hint="eastAsia"/>
          <w:sz w:val="24"/>
        </w:rPr>
        <w:t>咨询，推进合</w:t>
      </w:r>
      <w:proofErr w:type="gramStart"/>
      <w:r>
        <w:rPr>
          <w:rFonts w:ascii="宋体" w:eastAsia="宋体" w:hAnsi="宋体" w:cs="宋体" w:hint="eastAsia"/>
          <w:sz w:val="24"/>
        </w:rPr>
        <w:t>规</w:t>
      </w:r>
      <w:proofErr w:type="gramEnd"/>
      <w:r>
        <w:rPr>
          <w:rFonts w:ascii="宋体" w:eastAsia="宋体" w:hAnsi="宋体" w:cs="宋体" w:hint="eastAsia"/>
          <w:sz w:val="24"/>
        </w:rPr>
        <w:t>管理信息化建设。</w:t>
      </w:r>
    </w:p>
    <w:p w14:paraId="1CCDBF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中央企业应当配备与经营规模、业务范围、风险水平相适应的专职合</w:t>
      </w:r>
      <w:proofErr w:type="gramStart"/>
      <w:r>
        <w:rPr>
          <w:rFonts w:ascii="宋体" w:eastAsia="宋体" w:hAnsi="宋体" w:cs="宋体" w:hint="eastAsia"/>
          <w:sz w:val="24"/>
        </w:rPr>
        <w:t>规</w:t>
      </w:r>
      <w:proofErr w:type="gramEnd"/>
      <w:r>
        <w:rPr>
          <w:rFonts w:ascii="宋体" w:eastAsia="宋体" w:hAnsi="宋体" w:cs="宋体" w:hint="eastAsia"/>
          <w:sz w:val="24"/>
        </w:rPr>
        <w:t>管理人员，加强业务培训，提升专业化水平。</w:t>
      </w:r>
    </w:p>
    <w:p w14:paraId="1C3EAB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中央企业纪检监察机构和审计、巡视巡察、监督追责等部门依据有关规定，在职权范围内对合</w:t>
      </w:r>
      <w:proofErr w:type="gramStart"/>
      <w:r>
        <w:rPr>
          <w:rFonts w:ascii="宋体" w:eastAsia="宋体" w:hAnsi="宋体" w:cs="宋体" w:hint="eastAsia"/>
          <w:sz w:val="24"/>
        </w:rPr>
        <w:t>规</w:t>
      </w:r>
      <w:proofErr w:type="gramEnd"/>
      <w:r>
        <w:rPr>
          <w:rFonts w:ascii="宋体" w:eastAsia="宋体" w:hAnsi="宋体" w:cs="宋体" w:hint="eastAsia"/>
          <w:sz w:val="24"/>
        </w:rPr>
        <w:t>要求落实情况进行监督，对违规行为进行调查，按照规定开展责任追究。</w:t>
      </w:r>
    </w:p>
    <w:p w14:paraId="2B57AF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制度建设</w:t>
      </w:r>
    </w:p>
    <w:p w14:paraId="5DF923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中央企业应当建立健全合</w:t>
      </w:r>
      <w:proofErr w:type="gramStart"/>
      <w:r>
        <w:rPr>
          <w:rFonts w:ascii="宋体" w:eastAsia="宋体" w:hAnsi="宋体" w:cs="宋体" w:hint="eastAsia"/>
          <w:sz w:val="24"/>
        </w:rPr>
        <w:t>规</w:t>
      </w:r>
      <w:proofErr w:type="gramEnd"/>
      <w:r>
        <w:rPr>
          <w:rFonts w:ascii="宋体" w:eastAsia="宋体" w:hAnsi="宋体" w:cs="宋体" w:hint="eastAsia"/>
          <w:sz w:val="24"/>
        </w:rPr>
        <w:t>管理制度，根据适用范围、效力层级等，构建分级分类的合</w:t>
      </w:r>
      <w:proofErr w:type="gramStart"/>
      <w:r>
        <w:rPr>
          <w:rFonts w:ascii="宋体" w:eastAsia="宋体" w:hAnsi="宋体" w:cs="宋体" w:hint="eastAsia"/>
          <w:sz w:val="24"/>
        </w:rPr>
        <w:t>规</w:t>
      </w:r>
      <w:proofErr w:type="gramEnd"/>
      <w:r>
        <w:rPr>
          <w:rFonts w:ascii="宋体" w:eastAsia="宋体" w:hAnsi="宋体" w:cs="宋体" w:hint="eastAsia"/>
          <w:sz w:val="24"/>
        </w:rPr>
        <w:t>管理制度体系。</w:t>
      </w:r>
    </w:p>
    <w:p w14:paraId="39D4D7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中央企业应当制定合</w:t>
      </w:r>
      <w:proofErr w:type="gramStart"/>
      <w:r>
        <w:rPr>
          <w:rFonts w:ascii="宋体" w:eastAsia="宋体" w:hAnsi="宋体" w:cs="宋体" w:hint="eastAsia"/>
          <w:sz w:val="24"/>
        </w:rPr>
        <w:t>规</w:t>
      </w:r>
      <w:proofErr w:type="gramEnd"/>
      <w:r>
        <w:rPr>
          <w:rFonts w:ascii="宋体" w:eastAsia="宋体" w:hAnsi="宋体" w:cs="宋体" w:hint="eastAsia"/>
          <w:sz w:val="24"/>
        </w:rPr>
        <w:t>管理基本制度，明确总体目标、机构职责、运行机制、考核评价、监督问责等内容。</w:t>
      </w:r>
    </w:p>
    <w:p w14:paraId="35677A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中央企业应当针对反垄断、反商业贿赂、生态环保、安全生产、劳动用工、税务管理、数据保护等重点领域，以及合</w:t>
      </w:r>
      <w:proofErr w:type="gramStart"/>
      <w:r>
        <w:rPr>
          <w:rFonts w:ascii="宋体" w:eastAsia="宋体" w:hAnsi="宋体" w:cs="宋体" w:hint="eastAsia"/>
          <w:sz w:val="24"/>
        </w:rPr>
        <w:t>规</w:t>
      </w:r>
      <w:proofErr w:type="gramEnd"/>
      <w:r>
        <w:rPr>
          <w:rFonts w:ascii="宋体" w:eastAsia="宋体" w:hAnsi="宋体" w:cs="宋体" w:hint="eastAsia"/>
          <w:sz w:val="24"/>
        </w:rPr>
        <w:t>风险较高的业务，制定合</w:t>
      </w:r>
      <w:proofErr w:type="gramStart"/>
      <w:r>
        <w:rPr>
          <w:rFonts w:ascii="宋体" w:eastAsia="宋体" w:hAnsi="宋体" w:cs="宋体" w:hint="eastAsia"/>
          <w:sz w:val="24"/>
        </w:rPr>
        <w:t>规</w:t>
      </w:r>
      <w:proofErr w:type="gramEnd"/>
      <w:r>
        <w:rPr>
          <w:rFonts w:ascii="宋体" w:eastAsia="宋体" w:hAnsi="宋体" w:cs="宋体" w:hint="eastAsia"/>
          <w:sz w:val="24"/>
        </w:rPr>
        <w:t>管理具体制度或者专项指南。</w:t>
      </w:r>
    </w:p>
    <w:p w14:paraId="5DC83F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中央企业应当针对涉外业务重要领域，根据所在国家（地区）法律法规等，结合实际制定专项合</w:t>
      </w:r>
      <w:proofErr w:type="gramStart"/>
      <w:r>
        <w:rPr>
          <w:rFonts w:ascii="宋体" w:eastAsia="宋体" w:hAnsi="宋体" w:cs="宋体" w:hint="eastAsia"/>
          <w:sz w:val="24"/>
        </w:rPr>
        <w:t>规</w:t>
      </w:r>
      <w:proofErr w:type="gramEnd"/>
      <w:r>
        <w:rPr>
          <w:rFonts w:ascii="宋体" w:eastAsia="宋体" w:hAnsi="宋体" w:cs="宋体" w:hint="eastAsia"/>
          <w:sz w:val="24"/>
        </w:rPr>
        <w:t>管理制度。</w:t>
      </w:r>
    </w:p>
    <w:p w14:paraId="664997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中央企业应当根据法律法规、监管政策等变化情况，及时对规章制度进行修订完善，对执行落实情况进行检查。</w:t>
      </w:r>
    </w:p>
    <w:p w14:paraId="303C73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运行机制</w:t>
      </w:r>
    </w:p>
    <w:p w14:paraId="1A363B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第二十条 中央企业应当建立合</w:t>
      </w:r>
      <w:proofErr w:type="gramStart"/>
      <w:r>
        <w:rPr>
          <w:rFonts w:ascii="宋体" w:eastAsia="宋体" w:hAnsi="宋体" w:cs="宋体" w:hint="eastAsia"/>
          <w:sz w:val="24"/>
        </w:rPr>
        <w:t>规</w:t>
      </w:r>
      <w:proofErr w:type="gramEnd"/>
      <w:r>
        <w:rPr>
          <w:rFonts w:ascii="宋体" w:eastAsia="宋体" w:hAnsi="宋体" w:cs="宋体" w:hint="eastAsia"/>
          <w:sz w:val="24"/>
        </w:rPr>
        <w:t>风险识别评估预警机制，全面梳理经营管理活动中的合</w:t>
      </w:r>
      <w:proofErr w:type="gramStart"/>
      <w:r>
        <w:rPr>
          <w:rFonts w:ascii="宋体" w:eastAsia="宋体" w:hAnsi="宋体" w:cs="宋体" w:hint="eastAsia"/>
          <w:sz w:val="24"/>
        </w:rPr>
        <w:t>规</w:t>
      </w:r>
      <w:proofErr w:type="gramEnd"/>
      <w:r>
        <w:rPr>
          <w:rFonts w:ascii="宋体" w:eastAsia="宋体" w:hAnsi="宋体" w:cs="宋体" w:hint="eastAsia"/>
          <w:sz w:val="24"/>
        </w:rPr>
        <w:t>风险，建立并定期更新合</w:t>
      </w:r>
      <w:proofErr w:type="gramStart"/>
      <w:r>
        <w:rPr>
          <w:rFonts w:ascii="宋体" w:eastAsia="宋体" w:hAnsi="宋体" w:cs="宋体" w:hint="eastAsia"/>
          <w:sz w:val="24"/>
        </w:rPr>
        <w:t>规</w:t>
      </w:r>
      <w:proofErr w:type="gramEnd"/>
      <w:r>
        <w:rPr>
          <w:rFonts w:ascii="宋体" w:eastAsia="宋体" w:hAnsi="宋体" w:cs="宋体" w:hint="eastAsia"/>
          <w:sz w:val="24"/>
        </w:rPr>
        <w:t>风险数据库，对风险发生的可能性、影响程度、潜在后果等进行分析，对典型性、普遍性或者可能产生严重后果的风险及时预警。</w:t>
      </w:r>
    </w:p>
    <w:p w14:paraId="2D8FE9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中央企业应当将合</w:t>
      </w:r>
      <w:proofErr w:type="gramStart"/>
      <w:r>
        <w:rPr>
          <w:rFonts w:ascii="宋体" w:eastAsia="宋体" w:hAnsi="宋体" w:cs="宋体" w:hint="eastAsia"/>
          <w:sz w:val="24"/>
        </w:rPr>
        <w:t>规</w:t>
      </w:r>
      <w:proofErr w:type="gramEnd"/>
      <w:r>
        <w:rPr>
          <w:rFonts w:ascii="宋体" w:eastAsia="宋体" w:hAnsi="宋体" w:cs="宋体" w:hint="eastAsia"/>
          <w:sz w:val="24"/>
        </w:rPr>
        <w:t>审查作为必经程序嵌入经营管理流程，重大决策事项的合</w:t>
      </w:r>
      <w:proofErr w:type="gramStart"/>
      <w:r>
        <w:rPr>
          <w:rFonts w:ascii="宋体" w:eastAsia="宋体" w:hAnsi="宋体" w:cs="宋体" w:hint="eastAsia"/>
          <w:sz w:val="24"/>
        </w:rPr>
        <w:t>规</w:t>
      </w:r>
      <w:proofErr w:type="gramEnd"/>
      <w:r>
        <w:rPr>
          <w:rFonts w:ascii="宋体" w:eastAsia="宋体" w:hAnsi="宋体" w:cs="宋体" w:hint="eastAsia"/>
          <w:sz w:val="24"/>
        </w:rPr>
        <w:t>审查意见应当由首席合</w:t>
      </w:r>
      <w:proofErr w:type="gramStart"/>
      <w:r>
        <w:rPr>
          <w:rFonts w:ascii="宋体" w:eastAsia="宋体" w:hAnsi="宋体" w:cs="宋体" w:hint="eastAsia"/>
          <w:sz w:val="24"/>
        </w:rPr>
        <w:t>规</w:t>
      </w:r>
      <w:proofErr w:type="gramEnd"/>
      <w:r>
        <w:rPr>
          <w:rFonts w:ascii="宋体" w:eastAsia="宋体" w:hAnsi="宋体" w:cs="宋体" w:hint="eastAsia"/>
          <w:sz w:val="24"/>
        </w:rPr>
        <w:t>官签字，对决策事项的合</w:t>
      </w:r>
      <w:proofErr w:type="gramStart"/>
      <w:r>
        <w:rPr>
          <w:rFonts w:ascii="宋体" w:eastAsia="宋体" w:hAnsi="宋体" w:cs="宋体" w:hint="eastAsia"/>
          <w:sz w:val="24"/>
        </w:rPr>
        <w:t>规</w:t>
      </w:r>
      <w:proofErr w:type="gramEnd"/>
      <w:r>
        <w:rPr>
          <w:rFonts w:ascii="宋体" w:eastAsia="宋体" w:hAnsi="宋体" w:cs="宋体" w:hint="eastAsia"/>
          <w:sz w:val="24"/>
        </w:rPr>
        <w:t>性提出明确意见。业务及职能部门、合</w:t>
      </w:r>
      <w:proofErr w:type="gramStart"/>
      <w:r>
        <w:rPr>
          <w:rFonts w:ascii="宋体" w:eastAsia="宋体" w:hAnsi="宋体" w:cs="宋体" w:hint="eastAsia"/>
          <w:sz w:val="24"/>
        </w:rPr>
        <w:t>规</w:t>
      </w:r>
      <w:proofErr w:type="gramEnd"/>
      <w:r>
        <w:rPr>
          <w:rFonts w:ascii="宋体" w:eastAsia="宋体" w:hAnsi="宋体" w:cs="宋体" w:hint="eastAsia"/>
          <w:sz w:val="24"/>
        </w:rPr>
        <w:t>管理部门依据职责权限完善审查标准、流程、重点等，定期对审查情况开展后评估。</w:t>
      </w:r>
    </w:p>
    <w:p w14:paraId="050C0B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中央企业发生合</w:t>
      </w:r>
      <w:proofErr w:type="gramStart"/>
      <w:r>
        <w:rPr>
          <w:rFonts w:ascii="宋体" w:eastAsia="宋体" w:hAnsi="宋体" w:cs="宋体" w:hint="eastAsia"/>
          <w:sz w:val="24"/>
        </w:rPr>
        <w:t>规</w:t>
      </w:r>
      <w:proofErr w:type="gramEnd"/>
      <w:r>
        <w:rPr>
          <w:rFonts w:ascii="宋体" w:eastAsia="宋体" w:hAnsi="宋体" w:cs="宋体" w:hint="eastAsia"/>
          <w:sz w:val="24"/>
        </w:rPr>
        <w:t>风险，相关业务及职能部门应当及时采取应对措施，并按照规定向合</w:t>
      </w:r>
      <w:proofErr w:type="gramStart"/>
      <w:r>
        <w:rPr>
          <w:rFonts w:ascii="宋体" w:eastAsia="宋体" w:hAnsi="宋体" w:cs="宋体" w:hint="eastAsia"/>
          <w:sz w:val="24"/>
        </w:rPr>
        <w:t>规</w:t>
      </w:r>
      <w:proofErr w:type="gramEnd"/>
      <w:r>
        <w:rPr>
          <w:rFonts w:ascii="宋体" w:eastAsia="宋体" w:hAnsi="宋体" w:cs="宋体" w:hint="eastAsia"/>
          <w:sz w:val="24"/>
        </w:rPr>
        <w:t>管理部门报告。</w:t>
      </w:r>
    </w:p>
    <w:p w14:paraId="3A2A67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中央企业因违规行为引发重大法律纠纷案件、重大行政处罚、刑事案件，或者被国际组织制裁等重大合</w:t>
      </w:r>
      <w:proofErr w:type="gramStart"/>
      <w:r>
        <w:rPr>
          <w:rFonts w:ascii="宋体" w:eastAsia="宋体" w:hAnsi="宋体" w:cs="宋体" w:hint="eastAsia"/>
          <w:sz w:val="24"/>
        </w:rPr>
        <w:t>规</w:t>
      </w:r>
      <w:proofErr w:type="gramEnd"/>
      <w:r>
        <w:rPr>
          <w:rFonts w:ascii="宋体" w:eastAsia="宋体" w:hAnsi="宋体" w:cs="宋体" w:hint="eastAsia"/>
          <w:sz w:val="24"/>
        </w:rPr>
        <w:t>风险事件，造成或者可能造成企业重大资产损失或者严重不良影响的，应当由首席合</w:t>
      </w:r>
      <w:proofErr w:type="gramStart"/>
      <w:r>
        <w:rPr>
          <w:rFonts w:ascii="宋体" w:eastAsia="宋体" w:hAnsi="宋体" w:cs="宋体" w:hint="eastAsia"/>
          <w:sz w:val="24"/>
        </w:rPr>
        <w:t>规</w:t>
      </w:r>
      <w:proofErr w:type="gramEnd"/>
      <w:r>
        <w:rPr>
          <w:rFonts w:ascii="宋体" w:eastAsia="宋体" w:hAnsi="宋体" w:cs="宋体" w:hint="eastAsia"/>
          <w:sz w:val="24"/>
        </w:rPr>
        <w:t>官牵头，合</w:t>
      </w:r>
      <w:proofErr w:type="gramStart"/>
      <w:r>
        <w:rPr>
          <w:rFonts w:ascii="宋体" w:eastAsia="宋体" w:hAnsi="宋体" w:cs="宋体" w:hint="eastAsia"/>
          <w:sz w:val="24"/>
        </w:rPr>
        <w:t>规</w:t>
      </w:r>
      <w:proofErr w:type="gramEnd"/>
      <w:r>
        <w:rPr>
          <w:rFonts w:ascii="宋体" w:eastAsia="宋体" w:hAnsi="宋体" w:cs="宋体" w:hint="eastAsia"/>
          <w:sz w:val="24"/>
        </w:rPr>
        <w:t>管理部门统筹协调，相关部门协同配合，及时采取措施妥善应对。</w:t>
      </w:r>
    </w:p>
    <w:p w14:paraId="07CE11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中央企业发生重大合</w:t>
      </w:r>
      <w:proofErr w:type="gramStart"/>
      <w:r>
        <w:rPr>
          <w:rFonts w:ascii="宋体" w:eastAsia="宋体" w:hAnsi="宋体" w:cs="宋体" w:hint="eastAsia"/>
          <w:sz w:val="24"/>
        </w:rPr>
        <w:t>规</w:t>
      </w:r>
      <w:proofErr w:type="gramEnd"/>
      <w:r>
        <w:rPr>
          <w:rFonts w:ascii="宋体" w:eastAsia="宋体" w:hAnsi="宋体" w:cs="宋体" w:hint="eastAsia"/>
          <w:sz w:val="24"/>
        </w:rPr>
        <w:t>风险事件，应当按照相关规定及时向国资委报告。</w:t>
      </w:r>
    </w:p>
    <w:p w14:paraId="0786B8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中央企业应当建立违规问题整改机制，通过健全规章制度、优化业务流程等，堵塞管理漏洞，提升依法合</w:t>
      </w:r>
      <w:proofErr w:type="gramStart"/>
      <w:r>
        <w:rPr>
          <w:rFonts w:ascii="宋体" w:eastAsia="宋体" w:hAnsi="宋体" w:cs="宋体" w:hint="eastAsia"/>
          <w:sz w:val="24"/>
        </w:rPr>
        <w:t>规</w:t>
      </w:r>
      <w:proofErr w:type="gramEnd"/>
      <w:r>
        <w:rPr>
          <w:rFonts w:ascii="宋体" w:eastAsia="宋体" w:hAnsi="宋体" w:cs="宋体" w:hint="eastAsia"/>
          <w:sz w:val="24"/>
        </w:rPr>
        <w:t>经营管理水平。</w:t>
      </w:r>
    </w:p>
    <w:p w14:paraId="566132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中央企业应当设立违规举报平台,公布举报电话、邮箱或者信箱，相关部门按照职责权限受理违规举报，并就举报问题进行调查和处理，对造成资产损失或者严重不良后果的，移交责任追究部门；对涉嫌违纪违法的，按照规定移交纪检监察等相关部门或者机构。</w:t>
      </w:r>
    </w:p>
    <w:p w14:paraId="69D9AD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中央企业应当对举报人的身份和举报事项严格保密，对举报属实的举报人可以给予适当奖励。任何单位和个人不得以任何形式对举报人进行打击报复。</w:t>
      </w:r>
    </w:p>
    <w:p w14:paraId="5EE344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中央企业应当完善违规行为追责问</w:t>
      </w:r>
      <w:proofErr w:type="gramStart"/>
      <w:r>
        <w:rPr>
          <w:rFonts w:ascii="宋体" w:eastAsia="宋体" w:hAnsi="宋体" w:cs="宋体" w:hint="eastAsia"/>
          <w:sz w:val="24"/>
        </w:rPr>
        <w:t>责</w:t>
      </w:r>
      <w:proofErr w:type="gramEnd"/>
      <w:r>
        <w:rPr>
          <w:rFonts w:ascii="宋体" w:eastAsia="宋体" w:hAnsi="宋体" w:cs="宋体" w:hint="eastAsia"/>
          <w:sz w:val="24"/>
        </w:rPr>
        <w:t>机制，明确责任范围，细化问责标准，针对问题和线索及时开展调查，按照有关规定严肃追究违规人员责任。</w:t>
      </w:r>
    </w:p>
    <w:p w14:paraId="4FC1F3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中央企业应当建立所属单位经营管理和员工履职违规行为记录制度，将违规行为性质、发生次数、危害程度等作为考核评价、职级评定等工作的重要依据。</w:t>
      </w:r>
    </w:p>
    <w:p w14:paraId="5EA883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中央企业应当结合实际建立健全合</w:t>
      </w:r>
      <w:proofErr w:type="gramStart"/>
      <w:r>
        <w:rPr>
          <w:rFonts w:ascii="宋体" w:eastAsia="宋体" w:hAnsi="宋体" w:cs="宋体" w:hint="eastAsia"/>
          <w:sz w:val="24"/>
        </w:rPr>
        <w:t>规</w:t>
      </w:r>
      <w:proofErr w:type="gramEnd"/>
      <w:r>
        <w:rPr>
          <w:rFonts w:ascii="宋体" w:eastAsia="宋体" w:hAnsi="宋体" w:cs="宋体" w:hint="eastAsia"/>
          <w:sz w:val="24"/>
        </w:rPr>
        <w:t>管理与法</w:t>
      </w:r>
      <w:proofErr w:type="gramStart"/>
      <w:r>
        <w:rPr>
          <w:rFonts w:ascii="宋体" w:eastAsia="宋体" w:hAnsi="宋体" w:cs="宋体" w:hint="eastAsia"/>
          <w:sz w:val="24"/>
        </w:rPr>
        <w:t>务</w:t>
      </w:r>
      <w:proofErr w:type="gramEnd"/>
      <w:r>
        <w:rPr>
          <w:rFonts w:ascii="宋体" w:eastAsia="宋体" w:hAnsi="宋体" w:cs="宋体" w:hint="eastAsia"/>
          <w:sz w:val="24"/>
        </w:rPr>
        <w:t>管理、内部控制、风险管理等协同运作机制，加强统筹协调，避免交叉重复，提高管理效能。</w:t>
      </w:r>
    </w:p>
    <w:p w14:paraId="01BBFB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中央企业应当定期开展合</w:t>
      </w:r>
      <w:proofErr w:type="gramStart"/>
      <w:r>
        <w:rPr>
          <w:rFonts w:ascii="宋体" w:eastAsia="宋体" w:hAnsi="宋体" w:cs="宋体" w:hint="eastAsia"/>
          <w:sz w:val="24"/>
        </w:rPr>
        <w:t>规</w:t>
      </w:r>
      <w:proofErr w:type="gramEnd"/>
      <w:r>
        <w:rPr>
          <w:rFonts w:ascii="宋体" w:eastAsia="宋体" w:hAnsi="宋体" w:cs="宋体" w:hint="eastAsia"/>
          <w:sz w:val="24"/>
        </w:rPr>
        <w:t>管理体系有效性评价，针对重点业务合</w:t>
      </w:r>
      <w:proofErr w:type="gramStart"/>
      <w:r>
        <w:rPr>
          <w:rFonts w:ascii="宋体" w:eastAsia="宋体" w:hAnsi="宋体" w:cs="宋体" w:hint="eastAsia"/>
          <w:sz w:val="24"/>
        </w:rPr>
        <w:t>规</w:t>
      </w:r>
      <w:proofErr w:type="gramEnd"/>
      <w:r>
        <w:rPr>
          <w:rFonts w:ascii="宋体" w:eastAsia="宋体" w:hAnsi="宋体" w:cs="宋体" w:hint="eastAsia"/>
          <w:sz w:val="24"/>
        </w:rPr>
        <w:t>管理情况适时开展专项评价，强化评价结果运用。</w:t>
      </w:r>
    </w:p>
    <w:p w14:paraId="23994A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中央企业应当将合</w:t>
      </w:r>
      <w:proofErr w:type="gramStart"/>
      <w:r>
        <w:rPr>
          <w:rFonts w:ascii="宋体" w:eastAsia="宋体" w:hAnsi="宋体" w:cs="宋体" w:hint="eastAsia"/>
          <w:sz w:val="24"/>
        </w:rPr>
        <w:t>规</w:t>
      </w:r>
      <w:proofErr w:type="gramEnd"/>
      <w:r>
        <w:rPr>
          <w:rFonts w:ascii="宋体" w:eastAsia="宋体" w:hAnsi="宋体" w:cs="宋体" w:hint="eastAsia"/>
          <w:sz w:val="24"/>
        </w:rPr>
        <w:t>管理作为法治建设重要内容，纳入对所属单位的考核评价。</w:t>
      </w:r>
    </w:p>
    <w:p w14:paraId="4AB9C1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合</w:t>
      </w:r>
      <w:proofErr w:type="gramStart"/>
      <w:r>
        <w:rPr>
          <w:rFonts w:ascii="宋体" w:eastAsia="宋体" w:hAnsi="宋体" w:cs="宋体" w:hint="eastAsia"/>
          <w:sz w:val="24"/>
        </w:rPr>
        <w:t>规</w:t>
      </w:r>
      <w:proofErr w:type="gramEnd"/>
      <w:r>
        <w:rPr>
          <w:rFonts w:ascii="宋体" w:eastAsia="宋体" w:hAnsi="宋体" w:cs="宋体" w:hint="eastAsia"/>
          <w:sz w:val="24"/>
        </w:rPr>
        <w:t>文化</w:t>
      </w:r>
    </w:p>
    <w:p w14:paraId="53382C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中央企业应当将合</w:t>
      </w:r>
      <w:proofErr w:type="gramStart"/>
      <w:r>
        <w:rPr>
          <w:rFonts w:ascii="宋体" w:eastAsia="宋体" w:hAnsi="宋体" w:cs="宋体" w:hint="eastAsia"/>
          <w:sz w:val="24"/>
        </w:rPr>
        <w:t>规</w:t>
      </w:r>
      <w:proofErr w:type="gramEnd"/>
      <w:r>
        <w:rPr>
          <w:rFonts w:ascii="宋体" w:eastAsia="宋体" w:hAnsi="宋体" w:cs="宋体" w:hint="eastAsia"/>
          <w:sz w:val="24"/>
        </w:rPr>
        <w:t>管理纳入党委（党组）法治专题学习，推动企业领导人员强化合</w:t>
      </w:r>
      <w:proofErr w:type="gramStart"/>
      <w:r>
        <w:rPr>
          <w:rFonts w:ascii="宋体" w:eastAsia="宋体" w:hAnsi="宋体" w:cs="宋体" w:hint="eastAsia"/>
          <w:sz w:val="24"/>
        </w:rPr>
        <w:t>规</w:t>
      </w:r>
      <w:proofErr w:type="gramEnd"/>
      <w:r>
        <w:rPr>
          <w:rFonts w:ascii="宋体" w:eastAsia="宋体" w:hAnsi="宋体" w:cs="宋体" w:hint="eastAsia"/>
          <w:sz w:val="24"/>
        </w:rPr>
        <w:t>意识，带头依法依规开展经营管理活动。</w:t>
      </w:r>
    </w:p>
    <w:p w14:paraId="2D1268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中央企业应当建立常态化合</w:t>
      </w:r>
      <w:proofErr w:type="gramStart"/>
      <w:r>
        <w:rPr>
          <w:rFonts w:ascii="宋体" w:eastAsia="宋体" w:hAnsi="宋体" w:cs="宋体" w:hint="eastAsia"/>
          <w:sz w:val="24"/>
        </w:rPr>
        <w:t>规</w:t>
      </w:r>
      <w:proofErr w:type="gramEnd"/>
      <w:r>
        <w:rPr>
          <w:rFonts w:ascii="宋体" w:eastAsia="宋体" w:hAnsi="宋体" w:cs="宋体" w:hint="eastAsia"/>
          <w:sz w:val="24"/>
        </w:rPr>
        <w:t>培训机制，制定年度培训计划，将合</w:t>
      </w:r>
      <w:proofErr w:type="gramStart"/>
      <w:r>
        <w:rPr>
          <w:rFonts w:ascii="宋体" w:eastAsia="宋体" w:hAnsi="宋体" w:cs="宋体" w:hint="eastAsia"/>
          <w:sz w:val="24"/>
        </w:rPr>
        <w:t>规</w:t>
      </w:r>
      <w:proofErr w:type="gramEnd"/>
      <w:r>
        <w:rPr>
          <w:rFonts w:ascii="宋体" w:eastAsia="宋体" w:hAnsi="宋体" w:cs="宋体" w:hint="eastAsia"/>
          <w:sz w:val="24"/>
        </w:rPr>
        <w:t>管理作为管理人员、重点岗位人员和新入职人员培训必修内容。</w:t>
      </w:r>
    </w:p>
    <w:p w14:paraId="363FEE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中央企业应当加强合</w:t>
      </w:r>
      <w:proofErr w:type="gramStart"/>
      <w:r>
        <w:rPr>
          <w:rFonts w:ascii="宋体" w:eastAsia="宋体" w:hAnsi="宋体" w:cs="宋体" w:hint="eastAsia"/>
          <w:sz w:val="24"/>
        </w:rPr>
        <w:t>规</w:t>
      </w:r>
      <w:proofErr w:type="gramEnd"/>
      <w:r>
        <w:rPr>
          <w:rFonts w:ascii="宋体" w:eastAsia="宋体" w:hAnsi="宋体" w:cs="宋体" w:hint="eastAsia"/>
          <w:sz w:val="24"/>
        </w:rPr>
        <w:t>宣传教育，及时发布合</w:t>
      </w:r>
      <w:proofErr w:type="gramStart"/>
      <w:r>
        <w:rPr>
          <w:rFonts w:ascii="宋体" w:eastAsia="宋体" w:hAnsi="宋体" w:cs="宋体" w:hint="eastAsia"/>
          <w:sz w:val="24"/>
        </w:rPr>
        <w:t>规</w:t>
      </w:r>
      <w:proofErr w:type="gramEnd"/>
      <w:r>
        <w:rPr>
          <w:rFonts w:ascii="宋体" w:eastAsia="宋体" w:hAnsi="宋体" w:cs="宋体" w:hint="eastAsia"/>
          <w:sz w:val="24"/>
        </w:rPr>
        <w:t>手册，组织签订合</w:t>
      </w:r>
      <w:proofErr w:type="gramStart"/>
      <w:r>
        <w:rPr>
          <w:rFonts w:ascii="宋体" w:eastAsia="宋体" w:hAnsi="宋体" w:cs="宋体" w:hint="eastAsia"/>
          <w:sz w:val="24"/>
        </w:rPr>
        <w:t>规</w:t>
      </w:r>
      <w:proofErr w:type="gramEnd"/>
      <w:r>
        <w:rPr>
          <w:rFonts w:ascii="宋体" w:eastAsia="宋体" w:hAnsi="宋体" w:cs="宋体" w:hint="eastAsia"/>
          <w:sz w:val="24"/>
        </w:rPr>
        <w:t>承诺，强化全员守法诚信、合</w:t>
      </w:r>
      <w:proofErr w:type="gramStart"/>
      <w:r>
        <w:rPr>
          <w:rFonts w:ascii="宋体" w:eastAsia="宋体" w:hAnsi="宋体" w:cs="宋体" w:hint="eastAsia"/>
          <w:sz w:val="24"/>
        </w:rPr>
        <w:t>规</w:t>
      </w:r>
      <w:proofErr w:type="gramEnd"/>
      <w:r>
        <w:rPr>
          <w:rFonts w:ascii="宋体" w:eastAsia="宋体" w:hAnsi="宋体" w:cs="宋体" w:hint="eastAsia"/>
          <w:sz w:val="24"/>
        </w:rPr>
        <w:t>经营意识。</w:t>
      </w:r>
    </w:p>
    <w:p w14:paraId="4DB496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中央企业应当引导全体员工自觉</w:t>
      </w:r>
      <w:proofErr w:type="gramStart"/>
      <w:r>
        <w:rPr>
          <w:rFonts w:ascii="宋体" w:eastAsia="宋体" w:hAnsi="宋体" w:cs="宋体" w:hint="eastAsia"/>
          <w:sz w:val="24"/>
        </w:rPr>
        <w:t>践行</w:t>
      </w:r>
      <w:proofErr w:type="gramEnd"/>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理念，遵守合</w:t>
      </w:r>
      <w:proofErr w:type="gramStart"/>
      <w:r>
        <w:rPr>
          <w:rFonts w:ascii="宋体" w:eastAsia="宋体" w:hAnsi="宋体" w:cs="宋体" w:hint="eastAsia"/>
          <w:sz w:val="24"/>
        </w:rPr>
        <w:t>规</w:t>
      </w:r>
      <w:proofErr w:type="gramEnd"/>
      <w:r>
        <w:rPr>
          <w:rFonts w:ascii="宋体" w:eastAsia="宋体" w:hAnsi="宋体" w:cs="宋体" w:hint="eastAsia"/>
          <w:sz w:val="24"/>
        </w:rPr>
        <w:t>要求，接受合</w:t>
      </w:r>
      <w:proofErr w:type="gramStart"/>
      <w:r>
        <w:rPr>
          <w:rFonts w:ascii="宋体" w:eastAsia="宋体" w:hAnsi="宋体" w:cs="宋体" w:hint="eastAsia"/>
          <w:sz w:val="24"/>
        </w:rPr>
        <w:t>规</w:t>
      </w:r>
      <w:proofErr w:type="gramEnd"/>
      <w:r>
        <w:rPr>
          <w:rFonts w:ascii="宋体" w:eastAsia="宋体" w:hAnsi="宋体" w:cs="宋体" w:hint="eastAsia"/>
          <w:sz w:val="24"/>
        </w:rPr>
        <w:t>培训，对自身行为合</w:t>
      </w:r>
      <w:proofErr w:type="gramStart"/>
      <w:r>
        <w:rPr>
          <w:rFonts w:ascii="宋体" w:eastAsia="宋体" w:hAnsi="宋体" w:cs="宋体" w:hint="eastAsia"/>
          <w:sz w:val="24"/>
        </w:rPr>
        <w:t>规</w:t>
      </w:r>
      <w:proofErr w:type="gramEnd"/>
      <w:r>
        <w:rPr>
          <w:rFonts w:ascii="宋体" w:eastAsia="宋体" w:hAnsi="宋体" w:cs="宋体" w:hint="eastAsia"/>
          <w:sz w:val="24"/>
        </w:rPr>
        <w:t>性负责，培育具有企业特色的合</w:t>
      </w:r>
      <w:proofErr w:type="gramStart"/>
      <w:r>
        <w:rPr>
          <w:rFonts w:ascii="宋体" w:eastAsia="宋体" w:hAnsi="宋体" w:cs="宋体" w:hint="eastAsia"/>
          <w:sz w:val="24"/>
        </w:rPr>
        <w:t>规</w:t>
      </w:r>
      <w:proofErr w:type="gramEnd"/>
      <w:r>
        <w:rPr>
          <w:rFonts w:ascii="宋体" w:eastAsia="宋体" w:hAnsi="宋体" w:cs="宋体" w:hint="eastAsia"/>
          <w:sz w:val="24"/>
        </w:rPr>
        <w:t>文化。</w:t>
      </w:r>
    </w:p>
    <w:p w14:paraId="240DE1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信息化建设</w:t>
      </w:r>
    </w:p>
    <w:p w14:paraId="43A027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中央企业应当加强合</w:t>
      </w:r>
      <w:proofErr w:type="gramStart"/>
      <w:r>
        <w:rPr>
          <w:rFonts w:ascii="宋体" w:eastAsia="宋体" w:hAnsi="宋体" w:cs="宋体" w:hint="eastAsia"/>
          <w:sz w:val="24"/>
        </w:rPr>
        <w:t>规</w:t>
      </w:r>
      <w:proofErr w:type="gramEnd"/>
      <w:r>
        <w:rPr>
          <w:rFonts w:ascii="宋体" w:eastAsia="宋体" w:hAnsi="宋体" w:cs="宋体" w:hint="eastAsia"/>
          <w:sz w:val="24"/>
        </w:rPr>
        <w:t>管理信息化建设，结合实际将合规制度、典型案例、合</w:t>
      </w:r>
      <w:proofErr w:type="gramStart"/>
      <w:r>
        <w:rPr>
          <w:rFonts w:ascii="宋体" w:eastAsia="宋体" w:hAnsi="宋体" w:cs="宋体" w:hint="eastAsia"/>
          <w:sz w:val="24"/>
        </w:rPr>
        <w:t>规</w:t>
      </w:r>
      <w:proofErr w:type="gramEnd"/>
      <w:r>
        <w:rPr>
          <w:rFonts w:ascii="宋体" w:eastAsia="宋体" w:hAnsi="宋体" w:cs="宋体" w:hint="eastAsia"/>
          <w:sz w:val="24"/>
        </w:rPr>
        <w:t>培训、违规行为记录等纳入信息系统。</w:t>
      </w:r>
    </w:p>
    <w:p w14:paraId="72151F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中央企业应当定期梳理业务流程，查找合</w:t>
      </w:r>
      <w:proofErr w:type="gramStart"/>
      <w:r>
        <w:rPr>
          <w:rFonts w:ascii="宋体" w:eastAsia="宋体" w:hAnsi="宋体" w:cs="宋体" w:hint="eastAsia"/>
          <w:sz w:val="24"/>
        </w:rPr>
        <w:t>规</w:t>
      </w:r>
      <w:proofErr w:type="gramEnd"/>
      <w:r>
        <w:rPr>
          <w:rFonts w:ascii="宋体" w:eastAsia="宋体" w:hAnsi="宋体" w:cs="宋体" w:hint="eastAsia"/>
          <w:sz w:val="24"/>
        </w:rPr>
        <w:t>风险点，运用信息化手段将合</w:t>
      </w:r>
      <w:proofErr w:type="gramStart"/>
      <w:r>
        <w:rPr>
          <w:rFonts w:ascii="宋体" w:eastAsia="宋体" w:hAnsi="宋体" w:cs="宋体" w:hint="eastAsia"/>
          <w:sz w:val="24"/>
        </w:rPr>
        <w:t>规</w:t>
      </w:r>
      <w:proofErr w:type="gramEnd"/>
      <w:r>
        <w:rPr>
          <w:rFonts w:ascii="宋体" w:eastAsia="宋体" w:hAnsi="宋体" w:cs="宋体" w:hint="eastAsia"/>
          <w:sz w:val="24"/>
        </w:rPr>
        <w:t>要求和防控措施嵌入流程，针对关键节点加强合</w:t>
      </w:r>
      <w:proofErr w:type="gramStart"/>
      <w:r>
        <w:rPr>
          <w:rFonts w:ascii="宋体" w:eastAsia="宋体" w:hAnsi="宋体" w:cs="宋体" w:hint="eastAsia"/>
          <w:sz w:val="24"/>
        </w:rPr>
        <w:t>规</w:t>
      </w:r>
      <w:proofErr w:type="gramEnd"/>
      <w:r>
        <w:rPr>
          <w:rFonts w:ascii="宋体" w:eastAsia="宋体" w:hAnsi="宋体" w:cs="宋体" w:hint="eastAsia"/>
          <w:sz w:val="24"/>
        </w:rPr>
        <w:t>审查，强化过程管控。</w:t>
      </w:r>
    </w:p>
    <w:p w14:paraId="2F5992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中央企业应当加强合</w:t>
      </w:r>
      <w:proofErr w:type="gramStart"/>
      <w:r>
        <w:rPr>
          <w:rFonts w:ascii="宋体" w:eastAsia="宋体" w:hAnsi="宋体" w:cs="宋体" w:hint="eastAsia"/>
          <w:sz w:val="24"/>
        </w:rPr>
        <w:t>规</w:t>
      </w:r>
      <w:proofErr w:type="gramEnd"/>
      <w:r>
        <w:rPr>
          <w:rFonts w:ascii="宋体" w:eastAsia="宋体" w:hAnsi="宋体" w:cs="宋体" w:hint="eastAsia"/>
          <w:sz w:val="24"/>
        </w:rPr>
        <w:t>管理信息系统与财务、投资、采购等其他信息系统的互联互通，实现数据共用共享。</w:t>
      </w:r>
    </w:p>
    <w:p w14:paraId="1A5C0F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第三十六条 中央企业应当利用大数据等技术，加强对重点领域、关键节点的实时动态监测，实现合</w:t>
      </w:r>
      <w:proofErr w:type="gramStart"/>
      <w:r>
        <w:rPr>
          <w:rFonts w:ascii="宋体" w:eastAsia="宋体" w:hAnsi="宋体" w:cs="宋体" w:hint="eastAsia"/>
          <w:sz w:val="24"/>
        </w:rPr>
        <w:t>规</w:t>
      </w:r>
      <w:proofErr w:type="gramEnd"/>
      <w:r>
        <w:rPr>
          <w:rFonts w:ascii="宋体" w:eastAsia="宋体" w:hAnsi="宋体" w:cs="宋体" w:hint="eastAsia"/>
          <w:sz w:val="24"/>
        </w:rPr>
        <w:t>风险即时预警、快速处置。</w:t>
      </w:r>
    </w:p>
    <w:p w14:paraId="58C68F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监督问责</w:t>
      </w:r>
    </w:p>
    <w:p w14:paraId="547329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中央企业违反本办法规定，因合</w:t>
      </w:r>
      <w:proofErr w:type="gramStart"/>
      <w:r>
        <w:rPr>
          <w:rFonts w:ascii="宋体" w:eastAsia="宋体" w:hAnsi="宋体" w:cs="宋体" w:hint="eastAsia"/>
          <w:sz w:val="24"/>
        </w:rPr>
        <w:t>规</w:t>
      </w:r>
      <w:proofErr w:type="gramEnd"/>
      <w:r>
        <w:rPr>
          <w:rFonts w:ascii="宋体" w:eastAsia="宋体" w:hAnsi="宋体" w:cs="宋体" w:hint="eastAsia"/>
          <w:sz w:val="24"/>
        </w:rPr>
        <w:t>管理不到位引发违规行为的，国资委可以约谈相关企业并责成整改；造成损失或者不良影响的，国资委根据相关规定开展责任追究。</w:t>
      </w:r>
    </w:p>
    <w:p w14:paraId="60FE83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中央企业应当对在履职过程中因故意或者重大过失应当发现而未发现违规问题，或者发现违规问题存在失职渎职行为，给企业造成损失或者不良影响的单位和人员开展责任追究。</w:t>
      </w:r>
    </w:p>
    <w:p w14:paraId="1F16FA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第八章 附则</w:t>
      </w:r>
    </w:p>
    <w:p w14:paraId="4F901D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中央企业应当根据本办法，结合实际制定完善合</w:t>
      </w:r>
      <w:proofErr w:type="gramStart"/>
      <w:r>
        <w:rPr>
          <w:rFonts w:ascii="宋体" w:eastAsia="宋体" w:hAnsi="宋体" w:cs="宋体" w:hint="eastAsia"/>
          <w:sz w:val="24"/>
        </w:rPr>
        <w:t>规</w:t>
      </w:r>
      <w:proofErr w:type="gramEnd"/>
      <w:r>
        <w:rPr>
          <w:rFonts w:ascii="宋体" w:eastAsia="宋体" w:hAnsi="宋体" w:cs="宋体" w:hint="eastAsia"/>
          <w:sz w:val="24"/>
        </w:rPr>
        <w:t>管理制度，推动所属单位建立健全合</w:t>
      </w:r>
      <w:proofErr w:type="gramStart"/>
      <w:r>
        <w:rPr>
          <w:rFonts w:ascii="宋体" w:eastAsia="宋体" w:hAnsi="宋体" w:cs="宋体" w:hint="eastAsia"/>
          <w:sz w:val="24"/>
        </w:rPr>
        <w:t>规</w:t>
      </w:r>
      <w:proofErr w:type="gramEnd"/>
      <w:r>
        <w:rPr>
          <w:rFonts w:ascii="宋体" w:eastAsia="宋体" w:hAnsi="宋体" w:cs="宋体" w:hint="eastAsia"/>
          <w:sz w:val="24"/>
        </w:rPr>
        <w:t>管理体系。</w:t>
      </w:r>
    </w:p>
    <w:p w14:paraId="66C1DA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地方国有资产监督管理机构参照本办法，指导所出资企业加强合</w:t>
      </w:r>
      <w:proofErr w:type="gramStart"/>
      <w:r>
        <w:rPr>
          <w:rFonts w:ascii="宋体" w:eastAsia="宋体" w:hAnsi="宋体" w:cs="宋体" w:hint="eastAsia"/>
          <w:sz w:val="24"/>
        </w:rPr>
        <w:t>规</w:t>
      </w:r>
      <w:proofErr w:type="gramEnd"/>
      <w:r>
        <w:rPr>
          <w:rFonts w:ascii="宋体" w:eastAsia="宋体" w:hAnsi="宋体" w:cs="宋体" w:hint="eastAsia"/>
          <w:sz w:val="24"/>
        </w:rPr>
        <w:t>管理工作。</w:t>
      </w:r>
    </w:p>
    <w:p w14:paraId="35F8DE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本办法由国资委负责解释。</w:t>
      </w:r>
    </w:p>
    <w:p w14:paraId="277294B7"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第四十二条 本办法自2022年10月1日起施行。</w:t>
      </w:r>
    </w:p>
    <w:p w14:paraId="71C0000D"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35.《企业集团财务公司管理办法》</w:t>
      </w:r>
    </w:p>
    <w:p w14:paraId="6DCEEF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发文机构：中国银行保险监督管理委员会(已撤销)</w:t>
      </w:r>
      <w:r>
        <w:rPr>
          <w:rFonts w:ascii="宋体" w:eastAsia="宋体" w:hAnsi="宋体" w:cs="宋体" w:hint="eastAsia"/>
          <w:sz w:val="24"/>
        </w:rPr>
        <w:tab/>
      </w:r>
    </w:p>
    <w:p w14:paraId="36BA86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文号：中国银行保险监督管理委员会令2022年第6号</w:t>
      </w:r>
      <w:r>
        <w:rPr>
          <w:rFonts w:ascii="宋体" w:eastAsia="宋体" w:hAnsi="宋体" w:cs="宋体" w:hint="eastAsia"/>
          <w:sz w:val="24"/>
        </w:rPr>
        <w:tab/>
      </w:r>
    </w:p>
    <w:p w14:paraId="2CBF73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47B9C1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为规范企业集团财务公司（以下简称财务公司）行为，防范金融风险，促进财务公司稳健经营和健康发展，依据《中华人民共和国公司法》《中华人民共和国银行业监督管理法》等法律法规，制定本办法。</w:t>
      </w:r>
    </w:p>
    <w:p w14:paraId="3C4EA6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本办法所称财务公司，是指以加强企业集团资金集中管理和提高企业集团资金使用效率为目的，依托企业集团、服务企业集团，为企业集团成员单位（以下简称成员单位）提供金融服务的非银行金融机构。</w:t>
      </w:r>
    </w:p>
    <w:p w14:paraId="3062FC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外资跨国集团或外资投资性公司为其在中国境内的成员单位提供金融服务而设立的外资财务公司适用本办法的相关规定。</w:t>
      </w:r>
    </w:p>
    <w:p w14:paraId="6083E3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本办法所称企业集团是指在中华人民共和国境内依法登记，以资本为联结纽带、以母子公司为主体、以集团章程为共同行为规范，由母公司、子公司、参股公司及其他成员企业或机构共同组成的企业法人联合体。</w:t>
      </w:r>
    </w:p>
    <w:p w14:paraId="3ECC7A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成员单位包括：母公司及其作为控股股东的公司（以下简称控股公司）；母公司、控股公司单独或者共同、直接或者间接持股20%以上的公司，或者直接持股不足20%但处于最大股东地位的公司；母公司、控股公司下属的事业单位法人或者社会团体法人。</w:t>
      </w:r>
    </w:p>
    <w:p w14:paraId="458E0E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外资跨国集团是指在中华人民共和国境外依法登记的跨国企业集团。所称外资投资性公司是指外资跨国集团在中国境内独资设立的从事直接投资的公司。外资跨国集团或外资投资性公司适用本办法中对母公司的相关规定。</w:t>
      </w:r>
    </w:p>
    <w:p w14:paraId="75D54D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财务公司应当依法合</w:t>
      </w:r>
      <w:proofErr w:type="gramStart"/>
      <w:r>
        <w:rPr>
          <w:rFonts w:ascii="宋体" w:eastAsia="宋体" w:hAnsi="宋体" w:cs="宋体" w:hint="eastAsia"/>
          <w:sz w:val="24"/>
        </w:rPr>
        <w:t>规</w:t>
      </w:r>
      <w:proofErr w:type="gramEnd"/>
      <w:r>
        <w:rPr>
          <w:rFonts w:ascii="宋体" w:eastAsia="宋体" w:hAnsi="宋体" w:cs="宋体" w:hint="eastAsia"/>
          <w:sz w:val="24"/>
        </w:rPr>
        <w:t>经营，不得损害国家和社会公共利益。</w:t>
      </w:r>
    </w:p>
    <w:p w14:paraId="130535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财务公司依法接受中国银行保险监督管理委员会（以下简称银保监会）及其派出机构的监督管理。</w:t>
      </w:r>
    </w:p>
    <w:p w14:paraId="49CF7A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第二章 机构设立及变更</w:t>
      </w:r>
    </w:p>
    <w:p w14:paraId="379397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设立财务公司，应当</w:t>
      </w:r>
      <w:proofErr w:type="gramStart"/>
      <w:r>
        <w:rPr>
          <w:rFonts w:ascii="宋体" w:eastAsia="宋体" w:hAnsi="宋体" w:cs="宋体" w:hint="eastAsia"/>
          <w:sz w:val="24"/>
        </w:rPr>
        <w:t>报经银保</w:t>
      </w:r>
      <w:proofErr w:type="gramEnd"/>
      <w:r>
        <w:rPr>
          <w:rFonts w:ascii="宋体" w:eastAsia="宋体" w:hAnsi="宋体" w:cs="宋体" w:hint="eastAsia"/>
          <w:sz w:val="24"/>
        </w:rPr>
        <w:t>监会批准。一家企业集团只能设立一家财务公司。</w:t>
      </w:r>
    </w:p>
    <w:p w14:paraId="341553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财务公司名称中应标明“财务有限公司”或“财务有限责任公司”字样，包含其所属企业集团的全称或者简称。未经银保监会批准，任何单位不得在其名称中使用“财务公司”等字样。</w:t>
      </w:r>
    </w:p>
    <w:p w14:paraId="312CDC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设立财务公司法人机构应当具备下列条件：</w:t>
      </w:r>
    </w:p>
    <w:p w14:paraId="210585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（一）确属集中管理企业集团资金的需要，经合理预测能够达到一定的业务规模；</w:t>
      </w:r>
    </w:p>
    <w:p w14:paraId="6BD8A8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（二）有符合《中华人民共和国公司法》和银保监会规定的公司章程；</w:t>
      </w:r>
    </w:p>
    <w:p w14:paraId="71D29C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（三）有符合规定条件的出资人；</w:t>
      </w:r>
    </w:p>
    <w:p w14:paraId="37B84A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（四）注册资本为一次性实缴货币资本，最低限额为10亿元人民币或等值的可自由兑换货币，银保监会根据财务公司的发展情况和审慎监管的需要，可以调整财务公司注册资本金的最低限额；</w:t>
      </w:r>
    </w:p>
    <w:p w14:paraId="340188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（五）有符合任职资格条件的董事、高级管理人员，并且在风险管理、资金管理、信贷管理、结算等关键岗位上至少各有1名具有3年以上相关金融从业经验的人员；</w:t>
      </w:r>
    </w:p>
    <w:p w14:paraId="39CBF7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（六）财务公司从业人员中从事金融或财务工作3年以上的人员应当不低于总人数的三分之二、5年以上的人员应当不低于总人数的三分之一，且至少引进1名具有5年以上银行业从业经验的高级管理人员；</w:t>
      </w:r>
    </w:p>
    <w:p w14:paraId="60D30D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（七）建立了有效的公司治理、内部控制和风险管理体系；</w:t>
      </w:r>
    </w:p>
    <w:p w14:paraId="1BCA8F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（八）建立了与业务经营和监管要求相适应的信息科技体系，具有支撑业务经营的必要、安全且合</w:t>
      </w:r>
      <w:proofErr w:type="gramStart"/>
      <w:r>
        <w:rPr>
          <w:rFonts w:ascii="宋体" w:eastAsia="宋体" w:hAnsi="宋体" w:cs="宋体" w:hint="eastAsia"/>
          <w:sz w:val="24"/>
        </w:rPr>
        <w:t>规</w:t>
      </w:r>
      <w:proofErr w:type="gramEnd"/>
      <w:r>
        <w:rPr>
          <w:rFonts w:ascii="宋体" w:eastAsia="宋体" w:hAnsi="宋体" w:cs="宋体" w:hint="eastAsia"/>
          <w:sz w:val="24"/>
        </w:rPr>
        <w:t>的信息管理系统，具备保障业务持续运营的技术与措施；</w:t>
      </w:r>
    </w:p>
    <w:p w14:paraId="44E457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（九）有与业务经营相适应的营业场所、安全防范措施和其他设施；</w:t>
      </w:r>
    </w:p>
    <w:p w14:paraId="06F5A1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（十）银保监会规章规定的其他审慎性条件。</w:t>
      </w:r>
    </w:p>
    <w:p w14:paraId="184E03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第八条 财务公司的出资人主要应为企业集团成员单位，也可包括成员单位以外的具有丰富行业管理经验的投资者，成员单位以外的单个投资者及其关联方（非成员单位）向财务公司投资入股比例不得超过20%。</w:t>
      </w:r>
    </w:p>
    <w:p w14:paraId="03F1DB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申请设立财务公司的企业集团应当具备下列条件：</w:t>
      </w:r>
    </w:p>
    <w:p w14:paraId="708CEA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（一）符合国家政策并拥有核心主业。</w:t>
      </w:r>
    </w:p>
    <w:p w14:paraId="68FAFD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（二）具备2年以上企业集团内部财务和资金集中管理经验。</w:t>
      </w:r>
    </w:p>
    <w:p w14:paraId="7FDF44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（三）最近1个会计年度末，总资产不低于300亿元人民币或等值的可自由兑换货币，净资产不低于总资产的30%；作为财务公司控股股东的，最近1个会计年度末净资产不低于总资产的40%。</w:t>
      </w:r>
    </w:p>
    <w:p w14:paraId="33602A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财务状况良好，最近2个会计年度营业收入总额每年不低于200亿元人民币或等值的可自由兑换货币，税前利润总额每年不低于10亿元人民币或等值的可自由兑换货币；作为财务公司控股股东的，还应满足最近3个会计年度连续盈利。</w:t>
      </w:r>
    </w:p>
    <w:p w14:paraId="0B4FD2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（五）现金流量稳定并具有较大规模，最近2个会计年度末的货币资金余额不低于50亿元人民币或等值的可自由兑换货币。</w:t>
      </w:r>
    </w:p>
    <w:p w14:paraId="1057EA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权益性投资余额原则上不得超过本企业净资产的50%（含本次投资金额）；作为财务公司控股股东的，权益性投资余额原则上不得超过本企业净资产的40%（含本次投资金额）；国务院规定的投资公司和控股公司除外。</w:t>
      </w:r>
    </w:p>
    <w:p w14:paraId="17C388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（七）正常经营的成员单位数量不低于50家，确需通过财务公司提供资金集中管理和服务。</w:t>
      </w:r>
    </w:p>
    <w:p w14:paraId="4362EB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（八）母公司具有良好的公司治理结构或有效的组织管理方式，无不当关联交易。</w:t>
      </w:r>
    </w:p>
    <w:p w14:paraId="44FAD3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（九）母公司有良好的社会声誉、诚信记录和纳税记录，最近2年内无重大违法违规行为。</w:t>
      </w:r>
    </w:p>
    <w:p w14:paraId="659982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（十）母公司最近1个会计年度末的实收资本不低于50亿元人民币或等值的可自由兑换货币。</w:t>
      </w:r>
    </w:p>
    <w:p w14:paraId="4D3052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（十一）母公司入股资金为自有资金，不得以委托资金、债务资金等非自有资金入股。</w:t>
      </w:r>
    </w:p>
    <w:p w14:paraId="51EBF8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（十二）银保监会规章规定的其他审慎性条件。</w:t>
      </w:r>
    </w:p>
    <w:p w14:paraId="64ABB1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外资跨国集团可直接设立财务公司，也可通过其在中国境内设立的外资投资性公司设立财务公司。</w:t>
      </w:r>
    </w:p>
    <w:p w14:paraId="29D50C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外资跨国集团直接设立财务公司的，外资跨国集团适用本办法第九条第（</w:t>
      </w:r>
      <w:proofErr w:type="gramStart"/>
      <w:r>
        <w:rPr>
          <w:rFonts w:ascii="宋体" w:eastAsia="宋体" w:hAnsi="宋体" w:cs="宋体" w:hint="eastAsia"/>
          <w:sz w:val="24"/>
        </w:rPr>
        <w:t>一</w:t>
      </w:r>
      <w:proofErr w:type="gramEnd"/>
      <w:r>
        <w:rPr>
          <w:rFonts w:ascii="宋体" w:eastAsia="宋体" w:hAnsi="宋体" w:cs="宋体" w:hint="eastAsia"/>
          <w:sz w:val="24"/>
        </w:rPr>
        <w:t>）（二）（八）（九）（十）（十一）项的规定；其在中国境内投资企业合并口径的收入、利润等指标适用本办法第九条第（四）（五）（六）（七）项的规定，同时应满足最近1个会计年度末的净资产不低于120亿元人民币或等值的可自由兑换货币，净资产不低于总资产的40%。</w:t>
      </w:r>
    </w:p>
    <w:p w14:paraId="6D463C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通过外资投资性公司设立财务公司的，外资投资性公司适用本办法第九条除第（三）项的规定，同时其最近1个会计年度末净资产不低于120亿元人民币或等值的可自由兑换货币，净资产不低于总资产的40%。</w:t>
      </w:r>
    </w:p>
    <w:p w14:paraId="3A9148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成员单位作为财务公司出资人，应当具备下列条件：</w:t>
      </w:r>
    </w:p>
    <w:p w14:paraId="72A1D5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（一）依法设立，具有法人资格。</w:t>
      </w:r>
    </w:p>
    <w:p w14:paraId="45766C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（二）具有良好的公司治理结构或有效的组织管理方式。</w:t>
      </w:r>
    </w:p>
    <w:p w14:paraId="6B2C2C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（三）具有良好的社会声誉、诚信记录和纳税记录。</w:t>
      </w:r>
    </w:p>
    <w:p w14:paraId="18B072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（四）经营管理良好，最近2年无重大违法违规行为。</w:t>
      </w:r>
    </w:p>
    <w:p w14:paraId="442318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（五）财务状况良好，最近2个会计年度连续盈利；作为财务公司控股股东的，最近3个会计年度连续盈利。</w:t>
      </w:r>
    </w:p>
    <w:p w14:paraId="117BD3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（六）最近1个会计年度末净资产不低于总资产的30%；作为财务公司控股股东的，最近1个会计年度末净资产不低于总资产的40%。</w:t>
      </w:r>
    </w:p>
    <w:p w14:paraId="566DE3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（七）入股资金为自有资金，不得以委托资金、债务资金等非自有资金入股。</w:t>
      </w:r>
    </w:p>
    <w:p w14:paraId="50CE53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（八）权益性投资余额原则上不得超过本企业净资产的50%（含本次投资金额）；作为财务公司控股股东的，权益性投资余额原则上不得超过本企业净资产</w:t>
      </w:r>
      <w:r>
        <w:rPr>
          <w:rFonts w:ascii="宋体" w:eastAsia="宋体" w:hAnsi="宋体" w:cs="宋体" w:hint="eastAsia"/>
          <w:sz w:val="24"/>
        </w:rPr>
        <w:lastRenderedPageBreak/>
        <w:t>的40%（含本次投资金额）；国务院规定的投资公司和控股公司除外。</w:t>
      </w:r>
    </w:p>
    <w:p w14:paraId="1665D2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（九）该项投资符合国家法律法规规定。</w:t>
      </w:r>
    </w:p>
    <w:p w14:paraId="5B468E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（十）银保监会规章规定的其他审慎性条件。</w:t>
      </w:r>
    </w:p>
    <w:p w14:paraId="3CDB0A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成员单位以外的投资者作为财务公司出资人，应为境内外法人金融机构，并具备下列条件：</w:t>
      </w:r>
    </w:p>
    <w:p w14:paraId="3A38A4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（一）依法设立，具有法人资格；</w:t>
      </w:r>
    </w:p>
    <w:p w14:paraId="2A19C4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（二）有3年以上资金集中管理经验；</w:t>
      </w:r>
    </w:p>
    <w:p w14:paraId="398798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（三）资信良好，最近2年未受到境内外监管机构的重大处罚；</w:t>
      </w:r>
    </w:p>
    <w:p w14:paraId="21F498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（四）具有良好的公司治理、内部控制机制和健全的风险管理体系；</w:t>
      </w:r>
    </w:p>
    <w:p w14:paraId="3F804F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（五）满足所在国家或地区监管当局的审慎监管要求；</w:t>
      </w:r>
    </w:p>
    <w:p w14:paraId="3885DC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（六）财务状况良好，最近2个会计年度连续盈利；</w:t>
      </w:r>
    </w:p>
    <w:p w14:paraId="0275AC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（七）入股资金为自有资金，不得以委托资金、债务资金等非自有资金入股；</w:t>
      </w:r>
    </w:p>
    <w:p w14:paraId="776D2A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（八）权益性投资余额原则上不得超过本企业净资产的50%（含本次投资金额），国务院规定的投资公司和控股公司除外;</w:t>
      </w:r>
    </w:p>
    <w:p w14:paraId="3213CE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（九）作为主要股东自取得股权之日起5年内不得转让所持有的股权（</w:t>
      </w:r>
      <w:proofErr w:type="gramStart"/>
      <w:r>
        <w:rPr>
          <w:rFonts w:ascii="宋体" w:eastAsia="宋体" w:hAnsi="宋体" w:cs="宋体" w:hint="eastAsia"/>
          <w:sz w:val="24"/>
        </w:rPr>
        <w:t>经银保</w:t>
      </w:r>
      <w:proofErr w:type="gramEnd"/>
      <w:r>
        <w:rPr>
          <w:rFonts w:ascii="宋体" w:eastAsia="宋体" w:hAnsi="宋体" w:cs="宋体" w:hint="eastAsia"/>
          <w:sz w:val="24"/>
        </w:rPr>
        <w:t>监会或其派出机构批准采取风险处置措施、银保监会或其派出机构责令转让、涉及司法强制执行或者在同一出资人控制的不同主体间转让股权等特殊情形除外）并在公司章程中载明；</w:t>
      </w:r>
    </w:p>
    <w:p w14:paraId="3CE66C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（十）投资者为境外金融机构的，其最近2年长期信用评级为良好及以上，其所在国家或地区金融监管当局已经与银保监会建立良好的监督管理合作机制；</w:t>
      </w:r>
    </w:p>
    <w:p w14:paraId="6ED98C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（十一）银保监会规章规定的其他审慎性条件。</w:t>
      </w:r>
    </w:p>
    <w:p w14:paraId="2ADF9A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有以下情形之一的企业不得作为财务公司的出资人：</w:t>
      </w:r>
    </w:p>
    <w:p w14:paraId="5F458B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（一）公司治理结构与机制存在明显缺陷；</w:t>
      </w:r>
    </w:p>
    <w:p w14:paraId="0A11C8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（二）股权关系不透明、不规范，关联交易异常；</w:t>
      </w:r>
    </w:p>
    <w:p w14:paraId="673AA0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（三）核心主业不突出且其经营范围涉及行业过多；</w:t>
      </w:r>
    </w:p>
    <w:p w14:paraId="4F1AE3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（四）现金流量</w:t>
      </w:r>
      <w:proofErr w:type="gramStart"/>
      <w:r>
        <w:rPr>
          <w:rFonts w:ascii="宋体" w:eastAsia="宋体" w:hAnsi="宋体" w:cs="宋体" w:hint="eastAsia"/>
          <w:sz w:val="24"/>
        </w:rPr>
        <w:t>波动受</w:t>
      </w:r>
      <w:proofErr w:type="gramEnd"/>
      <w:r>
        <w:rPr>
          <w:rFonts w:ascii="宋体" w:eastAsia="宋体" w:hAnsi="宋体" w:cs="宋体" w:hint="eastAsia"/>
          <w:sz w:val="24"/>
        </w:rPr>
        <w:t>经济景气影响较大；</w:t>
      </w:r>
    </w:p>
    <w:p w14:paraId="55A1D1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（五）资产负债率、财务杠杆率高于行业平均水平；</w:t>
      </w:r>
    </w:p>
    <w:p w14:paraId="3BE034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（六）代他人持有财务公司股权；</w:t>
      </w:r>
    </w:p>
    <w:p w14:paraId="2353B2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（七）被列为相关部门失信联合惩戒对象；</w:t>
      </w:r>
    </w:p>
    <w:p w14:paraId="5CFAF2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（八）存在严重逃废债务行为；</w:t>
      </w:r>
    </w:p>
    <w:p w14:paraId="222622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（九）提供虚假材料或者作不实声明；</w:t>
      </w:r>
    </w:p>
    <w:p w14:paraId="2BFD50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（十）因违法违规行为被金融监管部门或政府有关部门查处，造成恶劣影响；</w:t>
      </w:r>
    </w:p>
    <w:p w14:paraId="2FFBFD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（十一）其他对财务公司产生重大不利影响的情况。</w:t>
      </w:r>
    </w:p>
    <w:p w14:paraId="712E04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财务公司股东应当承担下列义务并在财务公司章程中载明：</w:t>
      </w:r>
    </w:p>
    <w:p w14:paraId="0D74E3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（一）遵守法律法规和监管规定。</w:t>
      </w:r>
    </w:p>
    <w:p w14:paraId="584354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（二）以合法自有资金出资，不得使用委托资金、债务资金等非自有资金入股，不得虚假出资、循环出资、抽逃出资或者变相抽逃出资。</w:t>
      </w:r>
    </w:p>
    <w:p w14:paraId="2A0429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（三）承诺不将所持有的财务公司股权质押或设立信托。</w:t>
      </w:r>
    </w:p>
    <w:p w14:paraId="7CC8C9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股东及其实际控制人应维护财务公司独立法人地位和经营管理自主权，不得滥用股东权利损害财务公司、其他股东及利益相关者的合法权益，不得干预财务公司董事会、高级管理层根据公司章程享有的决策权和管理权，不得越过董事会、高级管理层直接干预财务公司经营管理。</w:t>
      </w:r>
    </w:p>
    <w:p w14:paraId="3DF493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w:t>
      </w:r>
      <w:proofErr w:type="gramStart"/>
      <w:r>
        <w:rPr>
          <w:rFonts w:ascii="宋体" w:eastAsia="宋体" w:hAnsi="宋体" w:cs="宋体" w:hint="eastAsia"/>
          <w:sz w:val="24"/>
        </w:rPr>
        <w:t>应经但未经</w:t>
      </w:r>
      <w:proofErr w:type="gramEnd"/>
      <w:r>
        <w:rPr>
          <w:rFonts w:ascii="宋体" w:eastAsia="宋体" w:hAnsi="宋体" w:cs="宋体" w:hint="eastAsia"/>
          <w:sz w:val="24"/>
        </w:rPr>
        <w:t>监管部门批准或未向监管部门报告的股东，不得行使股东会召开请求权、表决权、提名权、提案权、处分权等权利。</w:t>
      </w:r>
    </w:p>
    <w:p w14:paraId="6AD8DC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（六）不得将股东所享有的管理权，股东会召开请求权、表决权、提名权、提案权、处分权等各项权利委托他人行使。</w:t>
      </w:r>
    </w:p>
    <w:p w14:paraId="1C8282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（七）集团母公司应当承担财务公司风险防范和化解的主体责任，应当建立有效的风险隔离机制，防止风险通过财务公司外溢；集团母公司及财务公司控股</w:t>
      </w:r>
      <w:r>
        <w:rPr>
          <w:rFonts w:ascii="宋体" w:eastAsia="宋体" w:hAnsi="宋体" w:cs="宋体" w:hint="eastAsia"/>
          <w:sz w:val="24"/>
        </w:rPr>
        <w:lastRenderedPageBreak/>
        <w:t>股东应当在必要时向财务公司补充资本。</w:t>
      </w:r>
    </w:p>
    <w:p w14:paraId="55CFD4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（八）财务公司发生风险事件或者重大违规行为的，股东应当配合监管机构开展调查和风险处置。</w:t>
      </w:r>
    </w:p>
    <w:p w14:paraId="210F34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（九）主要股东应当及时、准确、完整地向财务公司提供自身经营状况、财务信息、股权结构等信息。</w:t>
      </w:r>
    </w:p>
    <w:p w14:paraId="5F5F1A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对于存在虚假陈述、滥用股东权利或其他损害财务公司利益行为的股东，银保监会及其派出机构可以限制或禁止财务公司与其开展关联交易，限制其持有财务公司股权的限额等，并可限制其股东会召开请求权、表决权、提名权、提案权、处分权等权利。</w:t>
      </w:r>
    </w:p>
    <w:p w14:paraId="5E8C4D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财务公司的公司性质、组织形式及组织机构应当符合《中华人民共和国公司法》及其他有关法律法规的规定，并应当在公司章程中载明。</w:t>
      </w:r>
    </w:p>
    <w:p w14:paraId="4788F3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财务公司发生合并与分立、跨省级派出机构迁址，或者所属集团被收购或重组的，根据业务需要，可申请在成员单位集中且业务量较大的地区设立分公司。</w:t>
      </w:r>
    </w:p>
    <w:p w14:paraId="6BE3A3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财务公司的分公司不具有法人资格，由财务公司依照本办法的规定授权其开展业务活动，其民事责任由财务公司承担。</w:t>
      </w:r>
    </w:p>
    <w:p w14:paraId="16FB01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未经银保监会批准，财务公司不得在境外设立子公司。</w:t>
      </w:r>
    </w:p>
    <w:p w14:paraId="366BF2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财务公司有下列变更事项之一的，应当</w:t>
      </w:r>
      <w:proofErr w:type="gramStart"/>
      <w:r>
        <w:rPr>
          <w:rFonts w:ascii="宋体" w:eastAsia="宋体" w:hAnsi="宋体" w:cs="宋体" w:hint="eastAsia"/>
          <w:sz w:val="24"/>
        </w:rPr>
        <w:t>报经银保</w:t>
      </w:r>
      <w:proofErr w:type="gramEnd"/>
      <w:r>
        <w:rPr>
          <w:rFonts w:ascii="宋体" w:eastAsia="宋体" w:hAnsi="宋体" w:cs="宋体" w:hint="eastAsia"/>
          <w:sz w:val="24"/>
        </w:rPr>
        <w:t>监会或其派出机构批准：</w:t>
      </w:r>
    </w:p>
    <w:p w14:paraId="66379B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（一）变更名称；</w:t>
      </w:r>
    </w:p>
    <w:p w14:paraId="7E5CB7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（二）变更注册资本金；</w:t>
      </w:r>
    </w:p>
    <w:p w14:paraId="45EE3B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（三）变更住所；</w:t>
      </w:r>
    </w:p>
    <w:p w14:paraId="5F7850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（四）调整业务范围；</w:t>
      </w:r>
    </w:p>
    <w:p w14:paraId="25B45C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（五）变更股东或者调整股权结构；</w:t>
      </w:r>
    </w:p>
    <w:p w14:paraId="135E76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（六）更换董事、高级管理人员；</w:t>
      </w:r>
    </w:p>
    <w:p w14:paraId="29FD63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（七）修改章程；</w:t>
      </w:r>
    </w:p>
    <w:p w14:paraId="78E422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（八）合并或分立；</w:t>
      </w:r>
    </w:p>
    <w:p w14:paraId="630020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（九）银保监会规定的其他变更事项。</w:t>
      </w:r>
    </w:p>
    <w:p w14:paraId="16F9BC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财务公司分支机构变更事项，按照银保监会相关规定执行。</w:t>
      </w:r>
    </w:p>
    <w:p w14:paraId="05C896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业务范围</w:t>
      </w:r>
    </w:p>
    <w:p w14:paraId="7B3678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财务公司可以经营下列部分或者全部本外币业务：</w:t>
      </w:r>
    </w:p>
    <w:p w14:paraId="73BF17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（一）吸收成员单位存款；</w:t>
      </w:r>
    </w:p>
    <w:p w14:paraId="04E8EC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（二）办理成员单位贷款；</w:t>
      </w:r>
    </w:p>
    <w:p w14:paraId="76D4D5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（三）办理成员单位票据贴现；</w:t>
      </w:r>
    </w:p>
    <w:p w14:paraId="5DFE0E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（四）办理成员单位资金结算与收付；</w:t>
      </w:r>
    </w:p>
    <w:p w14:paraId="768394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（五）提供成员单位委托贷款、债券承销、非融资性保函、财务顾问、信用</w:t>
      </w:r>
      <w:proofErr w:type="gramStart"/>
      <w:r>
        <w:rPr>
          <w:rFonts w:ascii="宋体" w:eastAsia="宋体" w:hAnsi="宋体" w:cs="宋体" w:hint="eastAsia"/>
          <w:sz w:val="24"/>
        </w:rPr>
        <w:t>鉴证</w:t>
      </w:r>
      <w:proofErr w:type="gramEnd"/>
      <w:r>
        <w:rPr>
          <w:rFonts w:ascii="宋体" w:eastAsia="宋体" w:hAnsi="宋体" w:cs="宋体" w:hint="eastAsia"/>
          <w:sz w:val="24"/>
        </w:rPr>
        <w:t>及咨询代理业务。</w:t>
      </w:r>
    </w:p>
    <w:p w14:paraId="30E68D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符合条件的财务公司,可以向银保监会及其派出机构申请经营下列本外币业务：</w:t>
      </w:r>
    </w:p>
    <w:p w14:paraId="17DC0F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（一）从事同业拆借；</w:t>
      </w:r>
    </w:p>
    <w:p w14:paraId="704F5E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（二）办理成员单位票据承兑；</w:t>
      </w:r>
    </w:p>
    <w:p w14:paraId="2FD675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（三）办理成员单位产品买方信贷和消费信贷；</w:t>
      </w:r>
    </w:p>
    <w:p w14:paraId="5165A1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（四）从事固定收益类有价证券投资；</w:t>
      </w:r>
    </w:p>
    <w:p w14:paraId="42FD6F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（五）从事套期保值类衍生产品交易；</w:t>
      </w:r>
    </w:p>
    <w:p w14:paraId="0FBA7B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（六）银保监会批准的其他业务。</w:t>
      </w:r>
    </w:p>
    <w:p w14:paraId="000ECF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财务公司不得从事除中国人民银行或国家外汇管理局政策规定之外的离岸业务或资金跨境业务。</w:t>
      </w:r>
    </w:p>
    <w:p w14:paraId="5344DD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财务公司的业务</w:t>
      </w:r>
      <w:proofErr w:type="gramStart"/>
      <w:r>
        <w:rPr>
          <w:rFonts w:ascii="宋体" w:eastAsia="宋体" w:hAnsi="宋体" w:cs="宋体" w:hint="eastAsia"/>
          <w:sz w:val="24"/>
        </w:rPr>
        <w:t>范围经银保</w:t>
      </w:r>
      <w:proofErr w:type="gramEnd"/>
      <w:r>
        <w:rPr>
          <w:rFonts w:ascii="宋体" w:eastAsia="宋体" w:hAnsi="宋体" w:cs="宋体" w:hint="eastAsia"/>
          <w:sz w:val="24"/>
        </w:rPr>
        <w:t>监会及其派出机构批准后，应当在</w:t>
      </w:r>
      <w:r>
        <w:rPr>
          <w:rFonts w:ascii="宋体" w:eastAsia="宋体" w:hAnsi="宋体" w:cs="宋体" w:hint="eastAsia"/>
          <w:sz w:val="24"/>
        </w:rPr>
        <w:lastRenderedPageBreak/>
        <w:t>财务公司章程中载明。财务公司不得发行金融债券，不得向金融机构和企业投资。</w:t>
      </w:r>
    </w:p>
    <w:p w14:paraId="13F369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财务公司在经批准的业务范围内细分业务品种，</w:t>
      </w:r>
      <w:proofErr w:type="gramStart"/>
      <w:r>
        <w:rPr>
          <w:rFonts w:ascii="宋体" w:eastAsia="宋体" w:hAnsi="宋体" w:cs="宋体" w:hint="eastAsia"/>
          <w:sz w:val="24"/>
        </w:rPr>
        <w:t>应当报银保</w:t>
      </w:r>
      <w:proofErr w:type="gramEnd"/>
      <w:r>
        <w:rPr>
          <w:rFonts w:ascii="宋体" w:eastAsia="宋体" w:hAnsi="宋体" w:cs="宋体" w:hint="eastAsia"/>
          <w:sz w:val="24"/>
        </w:rPr>
        <w:t>监会派出机构备案，但不涉及债权或者债务的中间业务除外。</w:t>
      </w:r>
    </w:p>
    <w:p w14:paraId="7C28D2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财务公司分公司的业务范围,由财务公司在其业务范围内根据审慎经营原则进行授权，</w:t>
      </w:r>
      <w:proofErr w:type="gramStart"/>
      <w:r>
        <w:rPr>
          <w:rFonts w:ascii="宋体" w:eastAsia="宋体" w:hAnsi="宋体" w:cs="宋体" w:hint="eastAsia"/>
          <w:sz w:val="24"/>
        </w:rPr>
        <w:t>报银保</w:t>
      </w:r>
      <w:proofErr w:type="gramEnd"/>
      <w:r>
        <w:rPr>
          <w:rFonts w:ascii="宋体" w:eastAsia="宋体" w:hAnsi="宋体" w:cs="宋体" w:hint="eastAsia"/>
          <w:sz w:val="24"/>
        </w:rPr>
        <w:t>监会派出机构备案。财务公司分公司可以办理本办法第十九条债券承销以外的业务，以及第二十条第（二）（三）项业务。</w:t>
      </w:r>
    </w:p>
    <w:p w14:paraId="451136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财务公司可以在其业务范围内，根据审慎经营原则对所设立境外子公司的业务范围进行授权，</w:t>
      </w:r>
      <w:proofErr w:type="gramStart"/>
      <w:r>
        <w:rPr>
          <w:rFonts w:ascii="宋体" w:eastAsia="宋体" w:hAnsi="宋体" w:cs="宋体" w:hint="eastAsia"/>
          <w:sz w:val="24"/>
        </w:rPr>
        <w:t>并报银保</w:t>
      </w:r>
      <w:proofErr w:type="gramEnd"/>
      <w:r>
        <w:rPr>
          <w:rFonts w:ascii="宋体" w:eastAsia="宋体" w:hAnsi="宋体" w:cs="宋体" w:hint="eastAsia"/>
          <w:sz w:val="24"/>
        </w:rPr>
        <w:t>监会派出机构备案。</w:t>
      </w:r>
    </w:p>
    <w:p w14:paraId="406918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公司治理</w:t>
      </w:r>
    </w:p>
    <w:p w14:paraId="1AEEFC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国有财务公司应当按照有关规定，将党建工作要求写入公司章程，落实党组织在公司治理结构中的法定地位，坚持和完善“双向进入、交叉任职”领导体制，将党的领导融入公司治理各个环节。</w:t>
      </w:r>
    </w:p>
    <w:p w14:paraId="5D47FC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民营财务公司要按照党组织设置有关规定，建立党的组织机构，加强政治引领，建设先进企业文化，促进财务公司持续健康发展。</w:t>
      </w:r>
    </w:p>
    <w:p w14:paraId="2DB63C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财务公司的股东、董事、监事、高级管理人员等应当遵守法律法规、监管规定和公司章程，按照各司其职、各负其责、协调运转、有效制衡的原则行使权利、履行义务，维护财务公司合法权益。董事会应当下设风险管理委员会、审计委员会等专门委员会。</w:t>
      </w:r>
    </w:p>
    <w:p w14:paraId="433D47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财务公司应当保证配备的高级管理人员的职责分工符合适当分权和有效制衡原则。</w:t>
      </w:r>
    </w:p>
    <w:p w14:paraId="20FF5D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财务公司的董事长、高级管理人员离任，应当由母公司或母公司聘请的外部审计机构进行离任审计，并将离任审计</w:t>
      </w:r>
      <w:proofErr w:type="gramStart"/>
      <w:r>
        <w:rPr>
          <w:rFonts w:ascii="宋体" w:eastAsia="宋体" w:hAnsi="宋体" w:cs="宋体" w:hint="eastAsia"/>
          <w:sz w:val="24"/>
        </w:rPr>
        <w:t>报告报银保</w:t>
      </w:r>
      <w:proofErr w:type="gramEnd"/>
      <w:r>
        <w:rPr>
          <w:rFonts w:ascii="宋体" w:eastAsia="宋体" w:hAnsi="宋体" w:cs="宋体" w:hint="eastAsia"/>
          <w:sz w:val="24"/>
        </w:rPr>
        <w:t>监会派出机构。</w:t>
      </w:r>
    </w:p>
    <w:p w14:paraId="7FBF21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财务公司应当按照审慎经营原则，制定本公司的各项业务规则和程序，建立健全本公司的内部控制制度，明确内部控制责任，持续开展内部控制监督、评价与整改。</w:t>
      </w:r>
    </w:p>
    <w:p w14:paraId="628347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财务公司应当建立涵盖各项业务、全公司范围的风险管理体系，</w:t>
      </w:r>
      <w:r>
        <w:rPr>
          <w:rFonts w:ascii="宋体" w:eastAsia="宋体" w:hAnsi="宋体" w:cs="宋体" w:hint="eastAsia"/>
          <w:sz w:val="24"/>
        </w:rPr>
        <w:lastRenderedPageBreak/>
        <w:t>采用科学的风险管理技术和方法，充分识别和评估经营中面临的各类风险，对信用风险、市场风险、流动性风险、操作风险、声誉风险等进行持续的监控。</w:t>
      </w:r>
    </w:p>
    <w:p w14:paraId="614870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财务公司应当建立健全覆盖各个业务领域的信息管理系统，实现经营管理的信息化，加强对业务和管理活动的系统自动控制。</w:t>
      </w:r>
    </w:p>
    <w:p w14:paraId="3321BD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财务公司应当加强股东股权管理，重点关注股东行为，发现股东及其实际控制人存在涉及财务公司的违规行为时，应当及时采取措施防止违规情形加剧，并向银保监会派出机构报告。财务公司董事会应当至少每年对主要股东资质情况、履行承诺事项情况、落实公司章程或协议条款情况以及遵守法律法规、监管规定情况等进行评估，并及时将评估报告报送银保监会派出机构。</w:t>
      </w:r>
    </w:p>
    <w:p w14:paraId="306F72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应当加强关联交易管理，制定完善关联交易管理制度，明确审批程序和标准、内外部审计监督、信息披露等内容，不得以任何方式协助成员单位通过关联交易套取资金，不得隐匿违规关联交易或通过关联交易隐匿资金真实去向、从事违法违规活动。</w:t>
      </w:r>
    </w:p>
    <w:p w14:paraId="3E95D4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集团母公司应当建立符合财务公司特点的管理体系，明确财务公司在集团资金集中管理中的职责权限，在战略规划、经营计划、风险内控、用人机制、绩效考评、职工薪酬等方面，对财务公司实行差异化管理，支持财务公司更好地服务实体经济、防控金融风险。</w:t>
      </w:r>
    </w:p>
    <w:p w14:paraId="14F80C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财务公司应当按照服务第一、兼顾效益的原则，建立指标科学完备、流程清晰规范的绩效考评机制。</w:t>
      </w:r>
    </w:p>
    <w:p w14:paraId="0AFF61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财务公司应当建立稳健的薪酬管理制度，设置合理的绩效薪酬延期支付和追索扣回机制。</w:t>
      </w:r>
    </w:p>
    <w:p w14:paraId="024075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财务公司应当依照国家有关规定，建立健全本公司的财务、会计制度。</w:t>
      </w:r>
    </w:p>
    <w:p w14:paraId="7DFB0E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财务公司应当依据国家统一会计制度，真实、及时、完整反映经济业务事项，提高会计信息透明度。</w:t>
      </w:r>
    </w:p>
    <w:p w14:paraId="236B08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监督管理</w:t>
      </w:r>
    </w:p>
    <w:p w14:paraId="5C424F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第三十四条 财务公司经营业务，应当遵守以下监管指标的要求：</w:t>
      </w:r>
    </w:p>
    <w:p w14:paraId="76F789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（一）资本充足率不低于银保监会的最低监管要求；</w:t>
      </w:r>
    </w:p>
    <w:p w14:paraId="11516C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（二）流动性比例不得低于25%；</w:t>
      </w:r>
    </w:p>
    <w:p w14:paraId="7BACD3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（三）贷款余额不得高于存款余额与实收资本之和的80%；</w:t>
      </w:r>
    </w:p>
    <w:p w14:paraId="304335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（四）集团外负债总额不得超过资本净额；</w:t>
      </w:r>
    </w:p>
    <w:p w14:paraId="1D6758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（五）票据承兑余额不得超过资产总额的15%；</w:t>
      </w:r>
    </w:p>
    <w:p w14:paraId="20AA80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（六）票据承兑余额不得高于存放同业余额的3倍；</w:t>
      </w:r>
    </w:p>
    <w:p w14:paraId="481875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（七）票据承兑和转贴现总额不得高于资本净额；</w:t>
      </w:r>
    </w:p>
    <w:p w14:paraId="6D56D5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（八）承兑汇票保证金余额不得超过存款总额的10%；</w:t>
      </w:r>
    </w:p>
    <w:p w14:paraId="37453F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（九）投资总额不得高于资本净额的70%；</w:t>
      </w:r>
    </w:p>
    <w:p w14:paraId="76A42F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（十）固定资产净额不得高于资本净额的20%；</w:t>
      </w:r>
    </w:p>
    <w:p w14:paraId="13CDD0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（十一）银保监会规定的其他监管指标。</w:t>
      </w:r>
    </w:p>
    <w:p w14:paraId="59BB68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银保监会视审慎监管需要可以对上述指标做出适当调整。</w:t>
      </w:r>
    </w:p>
    <w:p w14:paraId="0598EF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财务公司对单一股东发放贷款余额超过财务公司注册资本金50%或者该股东对财务公司的出资额的，应当及时向银保监会派出机构报告。对于影响财务公司稳健运行的行为，银保监会派出机构应予以监督指导，并可区别情形采取早期干预措施。</w:t>
      </w:r>
    </w:p>
    <w:p w14:paraId="57188C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财务公司应当按照监管规定和要求及时向银保监会及其派出机构报送自身及所属企业集团的资产负债表、利润表和其他财务会计、统计报表、经营管理资料以及注册会计师出具的审计报告。</w:t>
      </w:r>
    </w:p>
    <w:p w14:paraId="63D250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应当每年4月30日前向银保监会派出机构报送其所属企业集团的成员单位名录。财务公司对新成员单位开展业务前，应当向银保监会派出机构及时备案，并提供该成员单位的有关资料；与财务公司有业务往来的成员单位由于产权变化脱离企业集团的，财务公司应当及时向银保监会派出机构备案，存有遗</w:t>
      </w:r>
      <w:r>
        <w:rPr>
          <w:rFonts w:ascii="宋体" w:eastAsia="宋体" w:hAnsi="宋体" w:cs="宋体" w:hint="eastAsia"/>
          <w:sz w:val="24"/>
        </w:rPr>
        <w:lastRenderedPageBreak/>
        <w:t>留业务的，应当同时提交遗留业务的处理方案。</w:t>
      </w:r>
    </w:p>
    <w:p w14:paraId="16560F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财务公司所属企业集团及财务公司董事会应对所提供报表、资料的真实性、准确性和完整性负责。</w:t>
      </w:r>
    </w:p>
    <w:p w14:paraId="7E927A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财务公司发生挤兑事件、到期债务不能支付、大额贷款逾期、重要信息系统严重故障、被抢劫或诈骗、董事或高级管理人员被有权机关采取强制措施或涉及严重违纪、刑事案件等重大事项时，应当立即采取应急措施并及时向银保监会派出机构报告。</w:t>
      </w:r>
    </w:p>
    <w:p w14:paraId="5474A8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企业集团及其成员单位发生可能影响财务公司正常经营的重大机构变动、股权交易或者经营风险等事项时，财务公司应当及时向银保监会派出机构报告。</w:t>
      </w:r>
    </w:p>
    <w:p w14:paraId="1A5ED3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财务公司应当建立定期外部审计制度，并于每个会计年度结束后的4个月内，将经法定代表人签名确认的年度审计报告报送银保监会派出机构。</w:t>
      </w:r>
    </w:p>
    <w:p w14:paraId="42E6E5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财务公司应当按照中国人民银行的规定缴存法定存款准备金。</w:t>
      </w:r>
    </w:p>
    <w:p w14:paraId="2F01FC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财务公司应当按照有关规定及时足额计提资产减值准备，核销不良资产。</w:t>
      </w:r>
    </w:p>
    <w:p w14:paraId="7A524A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财务公司应当遵守中国人民银行有关利率、支付结算管理的规定；经营外汇业务的，应当遵守国家外汇管理的有关规定。</w:t>
      </w:r>
    </w:p>
    <w:p w14:paraId="42112C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财务公司境外子公司应在符合注册地国家或地区监管要求的前提下开展业务，并遵守银保监会关于财务公司开展业务的有关规定。银保监会及其派出机构对财务公司实行并</w:t>
      </w:r>
      <w:proofErr w:type="gramStart"/>
      <w:r>
        <w:rPr>
          <w:rFonts w:ascii="宋体" w:eastAsia="宋体" w:hAnsi="宋体" w:cs="宋体" w:hint="eastAsia"/>
          <w:sz w:val="24"/>
        </w:rPr>
        <w:t>表监督</w:t>
      </w:r>
      <w:proofErr w:type="gramEnd"/>
      <w:r>
        <w:rPr>
          <w:rFonts w:ascii="宋体" w:eastAsia="宋体" w:hAnsi="宋体" w:cs="宋体" w:hint="eastAsia"/>
          <w:sz w:val="24"/>
        </w:rPr>
        <w:t>管理。</w:t>
      </w:r>
    </w:p>
    <w:p w14:paraId="27E90D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银保监会及其派出机构根据审慎监管的要求，有权依照有关程序和规定对财务公司进行现场检查。</w:t>
      </w:r>
    </w:p>
    <w:p w14:paraId="32B018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银保监会及其派出机构有权实地走访或调查财务公司股东经营情况、询问股东及相关人员、调阅资料，股东及相关人员应当配合。</w:t>
      </w:r>
    </w:p>
    <w:p w14:paraId="28A490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银保监会及其派出机构根据履行职责的需要和日常监管中发现的问题，可以与财务公司董事、高级管理人员进行监督管理谈话，要求其就财务公司的业务活动和风险管理等重大事项</w:t>
      </w:r>
      <w:proofErr w:type="gramStart"/>
      <w:r>
        <w:rPr>
          <w:rFonts w:ascii="宋体" w:eastAsia="宋体" w:hAnsi="宋体" w:cs="宋体" w:hint="eastAsia"/>
          <w:sz w:val="24"/>
        </w:rPr>
        <w:t>作出</w:t>
      </w:r>
      <w:proofErr w:type="gramEnd"/>
      <w:r>
        <w:rPr>
          <w:rFonts w:ascii="宋体" w:eastAsia="宋体" w:hAnsi="宋体" w:cs="宋体" w:hint="eastAsia"/>
          <w:sz w:val="24"/>
        </w:rPr>
        <w:t>说明。</w:t>
      </w:r>
    </w:p>
    <w:p w14:paraId="4C5654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第四十五条 财务公司违反本办法有关规定的，银保监会及其派出机构可以依照《中华人民共和国银行业监督管理法》等法律法规采取监管措施或实施行政处罚，涉嫌犯罪的移送司法机关处理。</w:t>
      </w:r>
    </w:p>
    <w:p w14:paraId="26F9CF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财务公司对处理决定不服的，可以依法申请行政复议或者向人民法院提起行政诉讼。</w:t>
      </w:r>
    </w:p>
    <w:p w14:paraId="58A1E1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财务公司可成立行业性自律组织。银保监会对财务公司行业性自律组织进行业务指导。</w:t>
      </w:r>
    </w:p>
    <w:p w14:paraId="555DF6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风险处置与市场退出</w:t>
      </w:r>
    </w:p>
    <w:p w14:paraId="10B68F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财务公司应当按照银保监会的规定制定恢复和处置计划，并组织实施。</w:t>
      </w:r>
    </w:p>
    <w:p w14:paraId="46A9E0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财务公司出现下列情况时，</w:t>
      </w:r>
      <w:proofErr w:type="gramStart"/>
      <w:r>
        <w:rPr>
          <w:rFonts w:ascii="宋体" w:eastAsia="宋体" w:hAnsi="宋体" w:cs="宋体" w:hint="eastAsia"/>
          <w:sz w:val="24"/>
        </w:rPr>
        <w:t>经银保</w:t>
      </w:r>
      <w:proofErr w:type="gramEnd"/>
      <w:r>
        <w:rPr>
          <w:rFonts w:ascii="宋体" w:eastAsia="宋体" w:hAnsi="宋体" w:cs="宋体" w:hint="eastAsia"/>
          <w:sz w:val="24"/>
        </w:rPr>
        <w:t>监会批准后，予以解散：</w:t>
      </w:r>
    </w:p>
    <w:p w14:paraId="7E036D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（一）组建财务公司的企业集团解散，财务公司不能实现合并或改组；</w:t>
      </w:r>
    </w:p>
    <w:p w14:paraId="647FC6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（二）章程中规定的解散事由出现；</w:t>
      </w:r>
    </w:p>
    <w:p w14:paraId="14E308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（三）股东会议决定解散；</w:t>
      </w:r>
    </w:p>
    <w:p w14:paraId="64D7CF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（四）财务公司因分立或者合并不需要继续存在的。</w:t>
      </w:r>
    </w:p>
    <w:p w14:paraId="4642B9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第四十九条 财务公司有违法经营、经营管理不善等情形，不予撤销将严重危害金融秩序、损害公众利益的，银保监会有权予以撤销。</w:t>
      </w:r>
    </w:p>
    <w:p w14:paraId="08E1BC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第五十条 财务公司已经或者可能发生支付危机，严重影响债权人利益和金融秩序的稳定时，银保监会可以依法对财务公司实行接管或者促成机构重组。</w:t>
      </w:r>
    </w:p>
    <w:p w14:paraId="56FC5F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接管由银保监会决定并组织实施。</w:t>
      </w:r>
    </w:p>
    <w:p w14:paraId="2AE53C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第五十一条 财务公司符合《中华人民共和国企业破产法》规定的破产情形的，</w:t>
      </w:r>
      <w:proofErr w:type="gramStart"/>
      <w:r>
        <w:rPr>
          <w:rFonts w:ascii="宋体" w:eastAsia="宋体" w:hAnsi="宋体" w:cs="宋体" w:hint="eastAsia"/>
          <w:sz w:val="24"/>
        </w:rPr>
        <w:t>经银保</w:t>
      </w:r>
      <w:proofErr w:type="gramEnd"/>
      <w:r>
        <w:rPr>
          <w:rFonts w:ascii="宋体" w:eastAsia="宋体" w:hAnsi="宋体" w:cs="宋体" w:hint="eastAsia"/>
          <w:sz w:val="24"/>
        </w:rPr>
        <w:t>监会同意，财务公司或其债权人可以向人民法院提出重整、和解或者破产清算申请。</w:t>
      </w:r>
    </w:p>
    <w:p w14:paraId="374630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破产重整的财务公司，其重整后的企业集团应符合设立财务公司的行政许可条件。</w:t>
      </w:r>
    </w:p>
    <w:p w14:paraId="1AB809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银保监会派出机构应根据进入破产程序财务公司的业务活动和风险状况，对其采取暂停相关业务等监管措施。</w:t>
      </w:r>
    </w:p>
    <w:p w14:paraId="214728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第五十二条 财务公司解散的，企业集团或财务公司应当依法成立清算组，按照法定程序进行清算。银保监会监督清算过程。</w:t>
      </w:r>
    </w:p>
    <w:p w14:paraId="41D757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财务公司被撤销的，银保监会应当依法组织成立清算组，按照法定程序进行清算。</w:t>
      </w:r>
    </w:p>
    <w:p w14:paraId="7D3A3F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清算组在清算中发现财务公司的资产不足以清偿其债务时，应当立即停止清算，并向银保监会报告，</w:t>
      </w:r>
      <w:proofErr w:type="gramStart"/>
      <w:r>
        <w:rPr>
          <w:rFonts w:ascii="宋体" w:eastAsia="宋体" w:hAnsi="宋体" w:cs="宋体" w:hint="eastAsia"/>
          <w:sz w:val="24"/>
        </w:rPr>
        <w:t>经银保</w:t>
      </w:r>
      <w:proofErr w:type="gramEnd"/>
      <w:r>
        <w:rPr>
          <w:rFonts w:ascii="宋体" w:eastAsia="宋体" w:hAnsi="宋体" w:cs="宋体" w:hint="eastAsia"/>
          <w:sz w:val="24"/>
        </w:rPr>
        <w:t>监会同意，依法向人民法院申请该财务公司破产清算。</w:t>
      </w:r>
    </w:p>
    <w:p w14:paraId="3E98C1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第五十三条 财务公司被接管、重组、被撤销或者申请破产的，银保监会有权要求该财务公司的董事、高级管理人员和其他工作人员，按照银保监会的要求履行职责。</w:t>
      </w:r>
    </w:p>
    <w:p w14:paraId="054824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第五十四条 财务公司因解散、被撤销和被宣告破产而终止。财务公司终止的，应当依法向市场监督管理部门办理注销登记。</w:t>
      </w:r>
    </w:p>
    <w:p w14:paraId="3BBAE5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附则</w:t>
      </w:r>
    </w:p>
    <w:p w14:paraId="0C0A5B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第五十五条 本办法所称控股股东，是指根据《中华人民共和国公司法》规定，其出资额占有限责任公司资本总额50%以上或者其持有的股份占股份有限公司股本总额50%以上的股东；出资额或者持有股份的比例虽然不足50%，但依其出资额或者持有的股份所享有的表决权已足以对股东会、股东大会的决议产生重大影响的股东。</w:t>
      </w:r>
    </w:p>
    <w:p w14:paraId="046A80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第五十六条 本办法所称主要股东，是指持有或控制财务公司5%以上股份或表决权，或持有资本总额或股份总额不足5%但对财务公司经营管理有重大影响的股东。</w:t>
      </w:r>
    </w:p>
    <w:p w14:paraId="04C0C0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前款中的“重大影响”，包括但不限于向财务公司派驻董事、监事或高级管理人员，通过协议或其他方式影响财务公司的财务和经营管理决策以及银保监会或其派出机构认定的其他情形。</w:t>
      </w:r>
    </w:p>
    <w:p w14:paraId="719A80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第五十七条 本办法第七条第（六）项所称银行业，包括在中华人民共和国境内设立的商业银行、政策性银行，以及金融资产管理公司、金融租赁公司、财务公司、汽车金融公司等经银行业监督管理机构批准设立的其他金融机构。</w:t>
      </w:r>
    </w:p>
    <w:p w14:paraId="4F419B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第五十八条 财务公司设立、变更、终止、调整业务范围和增加业务品种、董事及高级管理人员任职资格核准的行政许可程序，按照银保监会相关规定执行。</w:t>
      </w:r>
    </w:p>
    <w:p w14:paraId="22FC28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第五十九条 本办法第二章所列的各项财务指标要求均为合并会计报表口径。本办法所称“以上”均含本数。</w:t>
      </w:r>
    </w:p>
    <w:p w14:paraId="3E9F66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第六十条本 办法颁布前设立的财务公司凡不符合本办法的，应当在规定的期限内进行规范。具体要求由银保监会另行规定。</w:t>
      </w:r>
    </w:p>
    <w:p w14:paraId="042650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第六十一条 本办法由银保监会负责解释。</w:t>
      </w:r>
    </w:p>
    <w:p w14:paraId="4CDDD09E"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第六十二条 本办法自2022年11月13日起施行。原《企业集团财务公司管理办法》(中国银行业监督管理委员会令2006年第8号)、《企业集团财务公司风险监管指标考核暂行办法》（银监发〔2006〕96号）同时废止。</w:t>
      </w:r>
    </w:p>
    <w:p w14:paraId="74991F2D"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36.《商业银行金融资产风险分类办法》</w:t>
      </w:r>
    </w:p>
    <w:p w14:paraId="314E03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发文机构：中国银行保险监督管理委员会（已撤销）；中国人民银行</w:t>
      </w:r>
    </w:p>
    <w:p w14:paraId="18DAAD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文号：中国银行保险监督管理委员会、中国人民银行令〔2023〕第1号</w:t>
      </w:r>
    </w:p>
    <w:p w14:paraId="18328D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6662FF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为促进商业银行准确评估信用风险，真实反映金融资产质量，根据《中华人民共和国银行业监督管理法》《中华人民共和国商业银行法》等法律法规，制定本办法。</w:t>
      </w:r>
    </w:p>
    <w:p w14:paraId="7EF4F8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本办法适用于中华人民共和国境内依法设立的商业银行。</w:t>
      </w:r>
    </w:p>
    <w:p w14:paraId="16F06D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商业银行应对表内承担信用风险的金融资产进行风险分类，包括但不限于贷款、债券和其他投资、同业资产、应收款项等。表外项目中承担信用风险的，应按照表内资产相关要求开展风险分类。</w:t>
      </w:r>
    </w:p>
    <w:p w14:paraId="20A882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商业银行交易账簿下的金融资产以及衍生品交易形成的相关资产不包括在本办法之内。</w:t>
      </w:r>
    </w:p>
    <w:p w14:paraId="7B9CE0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本办法所称风险分类是指商业银行按照风险程度将金融资产划分为不同档次的行为。</w:t>
      </w:r>
    </w:p>
    <w:p w14:paraId="4C52F9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商业银行应按照以下原则进行风险分类：</w:t>
      </w:r>
    </w:p>
    <w:p w14:paraId="2643E4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（一）真实性原则。风险分类应真实、准确地反映金融资产风险水平。</w:t>
      </w:r>
    </w:p>
    <w:p w14:paraId="15ACC9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（二）及时性原则。按照债务人履约能力以及金融资产风险变化情况，及时、动态地调整分类结果。</w:t>
      </w:r>
    </w:p>
    <w:p w14:paraId="20A94C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（三）审慎性原则。金融资产风险分类不确定的，</w:t>
      </w:r>
      <w:proofErr w:type="gramStart"/>
      <w:r>
        <w:rPr>
          <w:rFonts w:ascii="宋体" w:eastAsia="宋体" w:hAnsi="宋体" w:cs="宋体" w:hint="eastAsia"/>
          <w:sz w:val="24"/>
        </w:rPr>
        <w:t>应从低确定</w:t>
      </w:r>
      <w:proofErr w:type="gramEnd"/>
      <w:r>
        <w:rPr>
          <w:rFonts w:ascii="宋体" w:eastAsia="宋体" w:hAnsi="宋体" w:cs="宋体" w:hint="eastAsia"/>
          <w:sz w:val="24"/>
        </w:rPr>
        <w:t>分类等级。</w:t>
      </w:r>
    </w:p>
    <w:p w14:paraId="19DCB9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（四）独立性原则。金融资产风险分类结果取决于商业银行在依法依规前提下的独立判断。</w:t>
      </w:r>
    </w:p>
    <w:p w14:paraId="43B921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风险分类</w:t>
      </w:r>
    </w:p>
    <w:p w14:paraId="30492A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金融资产按照风险程度分为五类，分别为正常类、关注类、次级类、</w:t>
      </w:r>
      <w:r>
        <w:rPr>
          <w:rFonts w:ascii="宋体" w:eastAsia="宋体" w:hAnsi="宋体" w:cs="宋体" w:hint="eastAsia"/>
          <w:sz w:val="24"/>
        </w:rPr>
        <w:lastRenderedPageBreak/>
        <w:t>可疑类、损失类，后三类合称不良资产。</w:t>
      </w:r>
    </w:p>
    <w:p w14:paraId="01EFD8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（一）正常类：债务人能够履行合同，没有客观证据表明本金、利息或收益不能按时足额偿付。</w:t>
      </w:r>
    </w:p>
    <w:p w14:paraId="694F81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（二）关注类：虽然存在一些可能对履行合同产生不利影响的因素，但债务人目前有能力偿付本金、利息或收益。</w:t>
      </w:r>
    </w:p>
    <w:p w14:paraId="2A356C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（三）次级类：债务人无法足额偿付本金、利息或收益，或金融资产已经发生信用减值。</w:t>
      </w:r>
    </w:p>
    <w:p w14:paraId="5E8B8A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（四）可疑类：债务人已经无法足额偿付本金、利息或收益，金融资产已发生显著信用减值。</w:t>
      </w:r>
    </w:p>
    <w:p w14:paraId="2A3DB8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（五）损失类：在采取所有可能的措施后，只能收回极少部分金融资产，或损失全部金融资产。</w:t>
      </w:r>
    </w:p>
    <w:p w14:paraId="1CCE66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前款所称金融资产已发生信用减值指根据《企业会计准则第22号——金融工具确认和计量》（财会〔2017〕7号）第四十条，因债务人信用状况恶化导致的金融资产估值向下调整。</w:t>
      </w:r>
    </w:p>
    <w:p w14:paraId="35333E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商业银行对非零售资产开展风险分类时，应加强对债务人第一还款来源的分析，以评估债务人履约能力为中心，重点考察债务人的财务状况、偿付意愿、偿付记录，并考虑金融资产的逾期天数、担保情况等因素。对于债务人为企业集团成员的，其债务被分为不良并不必然导致其他成员也被分为不良，但商业银行应及时启动评估程序，审慎评估该成员对其他成员的影响，并根据评估结果决定是否调整其他成员债权的风险分类。</w:t>
      </w:r>
    </w:p>
    <w:p w14:paraId="09E6AA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商业银行对非零售债务人在本行的债权超过10%被分为不良的，对该债务人在本行的所有债权均应归为不良。经国务院金融管理部门认可的增信方式除外。</w:t>
      </w:r>
    </w:p>
    <w:p w14:paraId="712FBC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商业银行对零售资产开展风险分类时，在审慎评估债务人履约能力和偿付意愿基础上，可根据单笔资产的交易特征、担保情况、损失程度等因素进行逐笔分类。</w:t>
      </w:r>
    </w:p>
    <w:p w14:paraId="4F67A5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零售资产包括个人贷款、信用卡贷款以及小</w:t>
      </w:r>
      <w:proofErr w:type="gramStart"/>
      <w:r>
        <w:rPr>
          <w:rFonts w:ascii="宋体" w:eastAsia="宋体" w:hAnsi="宋体" w:cs="宋体" w:hint="eastAsia"/>
          <w:sz w:val="24"/>
        </w:rPr>
        <w:t>微企业</w:t>
      </w:r>
      <w:proofErr w:type="gramEnd"/>
      <w:r>
        <w:rPr>
          <w:rFonts w:ascii="宋体" w:eastAsia="宋体" w:hAnsi="宋体" w:cs="宋体" w:hint="eastAsia"/>
          <w:sz w:val="24"/>
        </w:rPr>
        <w:t>债权等。其中，个人贷款、</w:t>
      </w:r>
      <w:r>
        <w:rPr>
          <w:rFonts w:ascii="宋体" w:eastAsia="宋体" w:hAnsi="宋体" w:cs="宋体" w:hint="eastAsia"/>
          <w:sz w:val="24"/>
        </w:rPr>
        <w:lastRenderedPageBreak/>
        <w:t>信用卡贷款、小</w:t>
      </w:r>
      <w:proofErr w:type="gramStart"/>
      <w:r>
        <w:rPr>
          <w:rFonts w:ascii="宋体" w:eastAsia="宋体" w:hAnsi="宋体" w:cs="宋体" w:hint="eastAsia"/>
          <w:sz w:val="24"/>
        </w:rPr>
        <w:t>微企业</w:t>
      </w:r>
      <w:proofErr w:type="gramEnd"/>
      <w:r>
        <w:rPr>
          <w:rFonts w:ascii="宋体" w:eastAsia="宋体" w:hAnsi="宋体" w:cs="宋体" w:hint="eastAsia"/>
          <w:sz w:val="24"/>
        </w:rPr>
        <w:t>贷款可采取脱期法进行分类。</w:t>
      </w:r>
    </w:p>
    <w:p w14:paraId="565643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同一笔债权不得拆分分类，符合本办法第十六条规定的情形除外。</w:t>
      </w:r>
    </w:p>
    <w:p w14:paraId="466E38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商业银行应将符合下列情况之一的金融资产至少归为关注类：</w:t>
      </w:r>
    </w:p>
    <w:p w14:paraId="0D79A6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（一）本金、利息或收益逾期，操作性或技术性原因导致的短期逾期除外（7天内）；</w:t>
      </w:r>
    </w:p>
    <w:p w14:paraId="0EEA7C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（二）未经商业银行同意，擅自改变资金用途；</w:t>
      </w:r>
    </w:p>
    <w:p w14:paraId="54B7F3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（三）通过借新还旧或通过其他债务融资方式偿还，债券、符合条件的小</w:t>
      </w:r>
      <w:proofErr w:type="gramStart"/>
      <w:r>
        <w:rPr>
          <w:rFonts w:ascii="宋体" w:eastAsia="宋体" w:hAnsi="宋体" w:cs="宋体" w:hint="eastAsia"/>
          <w:sz w:val="24"/>
        </w:rPr>
        <w:t>微企业</w:t>
      </w:r>
      <w:proofErr w:type="gramEnd"/>
      <w:r>
        <w:rPr>
          <w:rFonts w:ascii="宋体" w:eastAsia="宋体" w:hAnsi="宋体" w:cs="宋体" w:hint="eastAsia"/>
          <w:sz w:val="24"/>
        </w:rPr>
        <w:t>续贷业务除外；</w:t>
      </w:r>
    </w:p>
    <w:p w14:paraId="300FDD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（四）同一非零售债务人在本行或其他银行的债务出现不良。</w:t>
      </w:r>
    </w:p>
    <w:p w14:paraId="6BB636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商业银行应将符合下列情况之一的金融资产至少归为次级类：</w:t>
      </w:r>
    </w:p>
    <w:p w14:paraId="4847D5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（一）本金、利息或收益逾期超过90天；</w:t>
      </w:r>
    </w:p>
    <w:p w14:paraId="06E7A1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（二）金融资产已发生信用减值；</w:t>
      </w:r>
    </w:p>
    <w:p w14:paraId="7F20C8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（三）债务人或金融资产的外部评级大幅下调，导致债务人的履约能力显著下降;</w:t>
      </w:r>
    </w:p>
    <w:p w14:paraId="27B0D5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（四）同一非零售债务人在所有银行的债务中，逾期超过90天的债务已经超过20%。</w:t>
      </w:r>
    </w:p>
    <w:p w14:paraId="45EC9A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商业银行应将符合下列情况之一的金融资产至少归为可疑类：</w:t>
      </w:r>
    </w:p>
    <w:p w14:paraId="20F84E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（一）本金、利息或收益逾期超过270天；</w:t>
      </w:r>
    </w:p>
    <w:p w14:paraId="70F6AC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（二）债务人逃废银行债务；</w:t>
      </w:r>
    </w:p>
    <w:p w14:paraId="4245D0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（三）金融资产已发生信用减值，且预期信用损失占其账面余额50%以上。</w:t>
      </w:r>
    </w:p>
    <w:p w14:paraId="0B56B2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商业银行应将符合下列情况之一的金融资产归为损失类：</w:t>
      </w:r>
    </w:p>
    <w:p w14:paraId="180641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（一）本金、利息或收益逾期超过360天；</w:t>
      </w:r>
    </w:p>
    <w:p w14:paraId="4309CF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（二）债务人已进入破产清算程序；</w:t>
      </w:r>
    </w:p>
    <w:p w14:paraId="6A6BB7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（三）金融资产已发生信用减值，且预期信用损失占其账面余额90%以上。</w:t>
      </w:r>
    </w:p>
    <w:p w14:paraId="415E1A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商业银行将不良资产上调至正常类或关注类时，应符合正常类或关注类定义，并同时满足下列要求：</w:t>
      </w:r>
    </w:p>
    <w:p w14:paraId="523416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（一）逾期的债权及相关费用已全部偿付，并至少在随后连续两个还款期或6个月内（按两者孰</w:t>
      </w:r>
      <w:proofErr w:type="gramStart"/>
      <w:r>
        <w:rPr>
          <w:rFonts w:ascii="宋体" w:eastAsia="宋体" w:hAnsi="宋体" w:cs="宋体" w:hint="eastAsia"/>
          <w:sz w:val="24"/>
        </w:rPr>
        <w:t>长原则</w:t>
      </w:r>
      <w:proofErr w:type="gramEnd"/>
      <w:r>
        <w:rPr>
          <w:rFonts w:ascii="宋体" w:eastAsia="宋体" w:hAnsi="宋体" w:cs="宋体" w:hint="eastAsia"/>
          <w:sz w:val="24"/>
        </w:rPr>
        <w:t>确定）正常偿付；</w:t>
      </w:r>
    </w:p>
    <w:p w14:paraId="336170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（二）经评估认为，债务人未来能够持续正常履行合同；</w:t>
      </w:r>
    </w:p>
    <w:p w14:paraId="3C173B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（三）债务人在本行已经没有发生信用减值的金融资产。</w:t>
      </w:r>
    </w:p>
    <w:p w14:paraId="624595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其中，个人贷款、信用卡贷款、小</w:t>
      </w:r>
      <w:proofErr w:type="gramStart"/>
      <w:r>
        <w:rPr>
          <w:rFonts w:ascii="宋体" w:eastAsia="宋体" w:hAnsi="宋体" w:cs="宋体" w:hint="eastAsia"/>
          <w:sz w:val="24"/>
        </w:rPr>
        <w:t>微企业</w:t>
      </w:r>
      <w:proofErr w:type="gramEnd"/>
      <w:r>
        <w:rPr>
          <w:rFonts w:ascii="宋体" w:eastAsia="宋体" w:hAnsi="宋体" w:cs="宋体" w:hint="eastAsia"/>
          <w:sz w:val="24"/>
        </w:rPr>
        <w:t>贷款可按照脱期法要求对不良资产进行上调。</w:t>
      </w:r>
    </w:p>
    <w:p w14:paraId="227D52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因并购导致偿债主体发生变化的，并购方和被并购</w:t>
      </w:r>
      <w:proofErr w:type="gramStart"/>
      <w:r>
        <w:rPr>
          <w:rFonts w:ascii="宋体" w:eastAsia="宋体" w:hAnsi="宋体" w:cs="宋体" w:hint="eastAsia"/>
          <w:sz w:val="24"/>
        </w:rPr>
        <w:t>方相关</w:t>
      </w:r>
      <w:proofErr w:type="gramEnd"/>
      <w:r>
        <w:rPr>
          <w:rFonts w:ascii="宋体" w:eastAsia="宋体" w:hAnsi="宋体" w:cs="宋体" w:hint="eastAsia"/>
          <w:sz w:val="24"/>
        </w:rPr>
        <w:t>金融资产风险分类在6个月内不得上调，其中的不良金融资产不纳入第七条、第十（四）、第十一（四）等相关条款的指标计算。</w:t>
      </w:r>
    </w:p>
    <w:p w14:paraId="3CD9E7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6个月后，商业银行应重新评估债务人风险状况，并对其全部债权进行风险分类。涉及不良资产上调为正常类或关注类的，应满足第十四条相关要求。</w:t>
      </w:r>
    </w:p>
    <w:p w14:paraId="0E9CAB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商业银行对投资的资产管理产品或资产证券化产品进行风险分类时，应穿透</w:t>
      </w:r>
      <w:proofErr w:type="gramStart"/>
      <w:r>
        <w:rPr>
          <w:rFonts w:ascii="宋体" w:eastAsia="宋体" w:hAnsi="宋体" w:cs="宋体" w:hint="eastAsia"/>
          <w:sz w:val="24"/>
        </w:rPr>
        <w:t>至基础</w:t>
      </w:r>
      <w:proofErr w:type="gramEnd"/>
      <w:r>
        <w:rPr>
          <w:rFonts w:ascii="宋体" w:eastAsia="宋体" w:hAnsi="宋体" w:cs="宋体" w:hint="eastAsia"/>
          <w:sz w:val="24"/>
        </w:rPr>
        <w:t>资产，按照基础资产风险状况进行风险分类。对于无法完全穿透</w:t>
      </w:r>
      <w:proofErr w:type="gramStart"/>
      <w:r>
        <w:rPr>
          <w:rFonts w:ascii="宋体" w:eastAsia="宋体" w:hAnsi="宋体" w:cs="宋体" w:hint="eastAsia"/>
          <w:sz w:val="24"/>
        </w:rPr>
        <w:t>至基础</w:t>
      </w:r>
      <w:proofErr w:type="gramEnd"/>
      <w:r>
        <w:rPr>
          <w:rFonts w:ascii="宋体" w:eastAsia="宋体" w:hAnsi="宋体" w:cs="宋体" w:hint="eastAsia"/>
          <w:sz w:val="24"/>
        </w:rPr>
        <w:t>资产的产品，应按照可穿透的基础资产中风险分类最差的资产确定产品风险分类。</w:t>
      </w:r>
    </w:p>
    <w:p w14:paraId="2B65BC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对于以零售资产、不良资产为基础资产的信贷资产证券化产品，分层的信贷资产证券化产品以及</w:t>
      </w:r>
      <w:proofErr w:type="gramStart"/>
      <w:r>
        <w:rPr>
          <w:rFonts w:ascii="宋体" w:eastAsia="宋体" w:hAnsi="宋体" w:cs="宋体" w:hint="eastAsia"/>
          <w:sz w:val="24"/>
        </w:rPr>
        <w:t>其他经银保</w:t>
      </w:r>
      <w:proofErr w:type="gramEnd"/>
      <w:r>
        <w:rPr>
          <w:rFonts w:ascii="宋体" w:eastAsia="宋体" w:hAnsi="宋体" w:cs="宋体" w:hint="eastAsia"/>
          <w:sz w:val="24"/>
        </w:rPr>
        <w:t>监会认可的产品，商业银行应在综合评估最终债务人风险状况以及结构化产品特征的基础上，按照投资预计损益情况对产品进行风险分类。</w:t>
      </w:r>
    </w:p>
    <w:p w14:paraId="78EA9A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重组资产风险分类</w:t>
      </w:r>
    </w:p>
    <w:p w14:paraId="5B3BD1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重组资产是指因债务人发生财务困难，为促使债务人偿还债务，商业银行对债务合同</w:t>
      </w:r>
      <w:proofErr w:type="gramStart"/>
      <w:r>
        <w:rPr>
          <w:rFonts w:ascii="宋体" w:eastAsia="宋体" w:hAnsi="宋体" w:cs="宋体" w:hint="eastAsia"/>
          <w:sz w:val="24"/>
        </w:rPr>
        <w:t>作出</w:t>
      </w:r>
      <w:proofErr w:type="gramEnd"/>
      <w:r>
        <w:rPr>
          <w:rFonts w:ascii="宋体" w:eastAsia="宋体" w:hAnsi="宋体" w:cs="宋体" w:hint="eastAsia"/>
          <w:sz w:val="24"/>
        </w:rPr>
        <w:t>有利于债务人调整的金融资产，或对债务人现有债务提供再融资，包括借新还旧、新增债务融资等。</w:t>
      </w:r>
    </w:p>
    <w:p w14:paraId="20D3D9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对于现有合同赋予债务人自主改变条款或再融资的权利，债务人因财务困难行使该权利的，相关资产也属于重组资产。</w:t>
      </w:r>
    </w:p>
    <w:p w14:paraId="7A443C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债务人财务困难包括以下情形：</w:t>
      </w:r>
    </w:p>
    <w:p w14:paraId="26DCAE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（一）本金、利息或收益已经逾期；</w:t>
      </w:r>
    </w:p>
    <w:p w14:paraId="7B1AA4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（二）虽然本金、利息或收益尚未逾期，但债务人偿债能力下降，预计现金流不足以履行合同，债务有可能逾期；</w:t>
      </w:r>
    </w:p>
    <w:p w14:paraId="482452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（三）债务人的债务已经被分为不良；</w:t>
      </w:r>
    </w:p>
    <w:p w14:paraId="347561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（四）债务人无法在其他银行以市场公允价格融资；</w:t>
      </w:r>
    </w:p>
    <w:p w14:paraId="161B37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（五）债务人公开发行的证券存在退市风险，或处于退市过程中，或已经退市，且对债务人的履约能力产生显著不利影响；</w:t>
      </w:r>
    </w:p>
    <w:p w14:paraId="2D2F07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（六）商业银行认定的其他情形。</w:t>
      </w:r>
    </w:p>
    <w:p w14:paraId="004EB6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合同调整包括以下情形：</w:t>
      </w:r>
    </w:p>
    <w:p w14:paraId="66C401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（一）展期；</w:t>
      </w:r>
    </w:p>
    <w:p w14:paraId="08771A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（二）宽限本息偿还计划；</w:t>
      </w:r>
    </w:p>
    <w:p w14:paraId="5C33E9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（三）新增或延长宽限期；</w:t>
      </w:r>
    </w:p>
    <w:p w14:paraId="4EA39C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（四）利息转为本金；</w:t>
      </w:r>
    </w:p>
    <w:p w14:paraId="75C01F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（五）降低利率，使债务人获得比公允利率更优惠的利率；</w:t>
      </w:r>
    </w:p>
    <w:p w14:paraId="668837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（六）允许债务人减少本金、利息或相关费用的偿付；</w:t>
      </w:r>
    </w:p>
    <w:p w14:paraId="12C02F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（七）释放部分押品，或用质量较差的押品置换现有押品；</w:t>
      </w:r>
    </w:p>
    <w:p w14:paraId="71E601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（八）置换；</w:t>
      </w:r>
    </w:p>
    <w:p w14:paraId="1FD118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（九）其他放松合同条款的措施。</w:t>
      </w:r>
    </w:p>
    <w:p w14:paraId="339DFE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商业银行应对重组资产设置重组观察期。观察期自合同调整后约定的第一次还款日开始计算，应至少包含连续两个还款期，并不得低于1年。观</w:t>
      </w:r>
      <w:r>
        <w:rPr>
          <w:rFonts w:ascii="宋体" w:eastAsia="宋体" w:hAnsi="宋体" w:cs="宋体" w:hint="eastAsia"/>
          <w:sz w:val="24"/>
        </w:rPr>
        <w:lastRenderedPageBreak/>
        <w:t>察期结束时，债务人已经解决财务困难并在观察期内按照合同约定及时足额还款的，相关资产可不再被认定为重组资产。</w:t>
      </w:r>
    </w:p>
    <w:p w14:paraId="4F483E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债务人在观察期结束时未解决财务困难的，应重新计算观察期。债务人在观察期内没有及时足额还款的，</w:t>
      </w:r>
      <w:proofErr w:type="gramStart"/>
      <w:r>
        <w:rPr>
          <w:rFonts w:ascii="宋体" w:eastAsia="宋体" w:hAnsi="宋体" w:cs="宋体" w:hint="eastAsia"/>
          <w:sz w:val="24"/>
        </w:rPr>
        <w:t>应从未</w:t>
      </w:r>
      <w:proofErr w:type="gramEnd"/>
      <w:r>
        <w:rPr>
          <w:rFonts w:ascii="宋体" w:eastAsia="宋体" w:hAnsi="宋体" w:cs="宋体" w:hint="eastAsia"/>
          <w:sz w:val="24"/>
        </w:rPr>
        <w:t>履约时点开始，重新计算观察期。</w:t>
      </w:r>
    </w:p>
    <w:p w14:paraId="218549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对于重组资产，商业银行应准确判断债务人财务困难的状况，严格按照本办法进行分类。重组前为正常类或关注类的资产，以及对现有债务提供的再融资，重组后应至少归为关注类；观察期内符合不良认定标准的应下调为不良资产，并重新计算观察期；观察期内认定为不良资产后满足第十四条要求的，可上调为关注类。</w:t>
      </w:r>
    </w:p>
    <w:p w14:paraId="115D58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重组前为次级类、可疑类或损失类的，观察期内满足第十四条要求的，可上调为关注类；观察期内资产质量持续恶化的应进一步下调分类，并重新计算观察期。</w:t>
      </w:r>
    </w:p>
    <w:p w14:paraId="4514F7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重组观察期内债务人未按照合同约定及时足额还款，或虽足额还款但财务状况未有好转，再次重组的资产应至少归为次级类，并重新计算观察期。</w:t>
      </w:r>
    </w:p>
    <w:p w14:paraId="505792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债务人未发生财务困难情况下，商业银行对债务合同</w:t>
      </w:r>
      <w:proofErr w:type="gramStart"/>
      <w:r>
        <w:rPr>
          <w:rFonts w:ascii="宋体" w:eastAsia="宋体" w:hAnsi="宋体" w:cs="宋体" w:hint="eastAsia"/>
          <w:sz w:val="24"/>
        </w:rPr>
        <w:t>作出</w:t>
      </w:r>
      <w:proofErr w:type="gramEnd"/>
      <w:r>
        <w:rPr>
          <w:rFonts w:ascii="宋体" w:eastAsia="宋体" w:hAnsi="宋体" w:cs="宋体" w:hint="eastAsia"/>
          <w:sz w:val="24"/>
        </w:rPr>
        <w:t>调整的金融资产或再融资不属于重组资产。</w:t>
      </w:r>
    </w:p>
    <w:p w14:paraId="4AA303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风险分类管理</w:t>
      </w:r>
    </w:p>
    <w:p w14:paraId="6ADAE9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本办法是金融资产风险分类的最低要求，商业银行应根据实际情况完善分类制度，细化分类方法，但不得低于本办法提出的标准和要求，且与本办法的风险分类方法具有明确的对应和转换关系。商业银行制定或修订金融资产风险分类制度后，应在30</w:t>
      </w:r>
      <w:proofErr w:type="gramStart"/>
      <w:r>
        <w:rPr>
          <w:rFonts w:ascii="宋体" w:eastAsia="宋体" w:hAnsi="宋体" w:cs="宋体" w:hint="eastAsia"/>
          <w:sz w:val="24"/>
        </w:rPr>
        <w:t>日内报银保</w:t>
      </w:r>
      <w:proofErr w:type="gramEnd"/>
      <w:r>
        <w:rPr>
          <w:rFonts w:ascii="宋体" w:eastAsia="宋体" w:hAnsi="宋体" w:cs="宋体" w:hint="eastAsia"/>
          <w:sz w:val="24"/>
        </w:rPr>
        <w:t>监会及其派出机构备案。</w:t>
      </w:r>
    </w:p>
    <w:p w14:paraId="6B2F44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商业银行应健全金融资产风险分类管理的治理架构，明确董事会、高级管理层和相关部门的风险分类职责。</w:t>
      </w:r>
    </w:p>
    <w:p w14:paraId="0F5B19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董事会对金融资产风险分类结果承担最终责任，监督高级管理</w:t>
      </w:r>
      <w:proofErr w:type="gramStart"/>
      <w:r>
        <w:rPr>
          <w:rFonts w:ascii="宋体" w:eastAsia="宋体" w:hAnsi="宋体" w:cs="宋体" w:hint="eastAsia"/>
          <w:sz w:val="24"/>
        </w:rPr>
        <w:t>层履行</w:t>
      </w:r>
      <w:proofErr w:type="gramEnd"/>
      <w:r>
        <w:rPr>
          <w:rFonts w:ascii="宋体" w:eastAsia="宋体" w:hAnsi="宋体" w:cs="宋体" w:hint="eastAsia"/>
          <w:sz w:val="24"/>
        </w:rPr>
        <w:t>风险分类职责。</w:t>
      </w:r>
    </w:p>
    <w:p w14:paraId="34F9CE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第二十七条 高级管理层应制定金融资产风险分类制度，推进风险分类实施，确保分类结果真实有效，并定期向董事会报告。</w:t>
      </w:r>
    </w:p>
    <w:p w14:paraId="6E7C75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金融资产风险分类管理制度的内容包括但不限于分类流程、职责分工、分类标准、分类方法、内部审计、风险监测、统计报告及信息披露等。</w:t>
      </w:r>
    </w:p>
    <w:p w14:paraId="37BC8D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商业银行应按照金融资产类别、交易对手类型、产品结构特征、历史违约情况等信息，结合本行资产组合特征，明确各类金融资产的风险分类方法。分类方法一经确定，应保持相对稳定。</w:t>
      </w:r>
    </w:p>
    <w:p w14:paraId="5780CA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商业银行应完善金融资产风险分类流程，明确“初分、认定、审批”三级程序，加强各环节管理要求，建立有效的制衡机制，确保分类过程的独立性，以及分类结果的准确性和客观性。</w:t>
      </w:r>
    </w:p>
    <w:p w14:paraId="02F47A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商业银行应至少每季度对全部金融资产进行一次风险分类。对于债务人财务状况或影响债务偿还的因素发生重大变化的，应及时调整风险分类。</w:t>
      </w:r>
    </w:p>
    <w:p w14:paraId="781E7C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商业银行应至少每年对风险分类制度、程序和执行情况进行一次内部审计，审计结果应及时向董事会书面报告，并报送银保监会及其派出机构。</w:t>
      </w:r>
    </w:p>
    <w:p w14:paraId="44A480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商业银行应开发并持续完善金融资产风险分类相关信息系统，满足风险管理和审慎监管要求。</w:t>
      </w:r>
    </w:p>
    <w:p w14:paraId="75E2D2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商业银行应加强对金融资产风险的监测、分析和预警，动态监测风险分布和风险变化，深入分析风险来源及迁徙趋势，及时根据风险状况采取防范措施。</w:t>
      </w:r>
    </w:p>
    <w:p w14:paraId="19C442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商业银行应依据有关信息披露的规定，及时披露金融资产风险分类方法、程序、结果，以及损失准备计提、损失核销等信息。</w:t>
      </w:r>
    </w:p>
    <w:p w14:paraId="1936CF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商业银行应持续加强金融资产风险分类档案管理，确保分类资料信息准确、连续、完整。</w:t>
      </w:r>
    </w:p>
    <w:p w14:paraId="66C0A6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监督管理</w:t>
      </w:r>
    </w:p>
    <w:p w14:paraId="07D35E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银保监会及其派出机构依照本办法规定对商业银行金融资产风险分类进行监督检查，并采取相应监管措施。</w:t>
      </w:r>
    </w:p>
    <w:p w14:paraId="52CB00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第三十八条 商业银行应按照规定向银保监会及其派出机构报送与金融资产风险分类有关的统计报表和分析报告。</w:t>
      </w:r>
    </w:p>
    <w:p w14:paraId="50E951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商业银行应于每年初30个工作日内向银保监会及其派出机构报告上一年度金融资产风险分类管理情况。</w:t>
      </w:r>
    </w:p>
    <w:p w14:paraId="21E182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商业银行应向银保监会及其派出机构及时报告有关金融资产风险分类的重大事项。</w:t>
      </w:r>
    </w:p>
    <w:p w14:paraId="63627A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银保监会及其派出机构定期或不定期评估商业银行金融资产风险分类管理状况及效果。同时，将评估意见反馈商业银行董事会和高级管理层，并将评估结果作为监管评级的重要参考。</w:t>
      </w:r>
    </w:p>
    <w:p w14:paraId="53F272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商业银行违反风险分类监管要求的，银保监会及其派出机构可以采取以下措施：</w:t>
      </w:r>
    </w:p>
    <w:p w14:paraId="171FE1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（一）与商业银行董事会、高级管理层进行审慎性会谈；</w:t>
      </w:r>
    </w:p>
    <w:p w14:paraId="3D1085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（二）印发监管意见书，内容包括商业银行金融资产风险分类管理存在的问题、限期整改意见和</w:t>
      </w:r>
      <w:proofErr w:type="gramStart"/>
      <w:r>
        <w:rPr>
          <w:rFonts w:ascii="宋体" w:eastAsia="宋体" w:hAnsi="宋体" w:cs="宋体" w:hint="eastAsia"/>
          <w:sz w:val="24"/>
        </w:rPr>
        <w:t>拟采取</w:t>
      </w:r>
      <w:proofErr w:type="gramEnd"/>
      <w:r>
        <w:rPr>
          <w:rFonts w:ascii="宋体" w:eastAsia="宋体" w:hAnsi="宋体" w:cs="宋体" w:hint="eastAsia"/>
          <w:sz w:val="24"/>
        </w:rPr>
        <w:t>的纠正措施等；</w:t>
      </w:r>
    </w:p>
    <w:p w14:paraId="3DECBC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（三）要求商业银行加强金融资产风险分类管理，制订切实可行的整改计划，</w:t>
      </w:r>
      <w:proofErr w:type="gramStart"/>
      <w:r>
        <w:rPr>
          <w:rFonts w:ascii="宋体" w:eastAsia="宋体" w:hAnsi="宋体" w:cs="宋体" w:hint="eastAsia"/>
          <w:sz w:val="24"/>
        </w:rPr>
        <w:t>并报银保</w:t>
      </w:r>
      <w:proofErr w:type="gramEnd"/>
      <w:r>
        <w:rPr>
          <w:rFonts w:ascii="宋体" w:eastAsia="宋体" w:hAnsi="宋体" w:cs="宋体" w:hint="eastAsia"/>
          <w:sz w:val="24"/>
        </w:rPr>
        <w:t>监会及其派出机构备案；</w:t>
      </w:r>
    </w:p>
    <w:p w14:paraId="3E031B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（四）根据违规程度提高其拨备和监管资本要求；</w:t>
      </w:r>
    </w:p>
    <w:p w14:paraId="183EC2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（五）责令商业银行采取有效措施缓释金融资产风险。</w:t>
      </w:r>
    </w:p>
    <w:p w14:paraId="3AC581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商业银行违反本办法规定的监管要求的，银保监会及其派出机构除采取本办法第四十一条规定的措施外，还可依据《中华人民共和国银行业监督管理法》等法律法规规定采取监管措施或实施行政处罚。</w:t>
      </w:r>
    </w:p>
    <w:p w14:paraId="45F5C7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附 则</w:t>
      </w:r>
    </w:p>
    <w:p w14:paraId="00ED1D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对于已实施资本计量高级方法的商业银行，应明确风险分类标准</w:t>
      </w:r>
      <w:proofErr w:type="gramStart"/>
      <w:r>
        <w:rPr>
          <w:rFonts w:ascii="宋体" w:eastAsia="宋体" w:hAnsi="宋体" w:cs="宋体" w:hint="eastAsia"/>
          <w:sz w:val="24"/>
        </w:rPr>
        <w:t>和内评体系</w:t>
      </w:r>
      <w:proofErr w:type="gramEnd"/>
      <w:r>
        <w:rPr>
          <w:rFonts w:ascii="宋体" w:eastAsia="宋体" w:hAnsi="宋体" w:cs="宋体" w:hint="eastAsia"/>
          <w:sz w:val="24"/>
        </w:rPr>
        <w:t>违约定义之间的稳定对应关系。</w:t>
      </w:r>
    </w:p>
    <w:p w14:paraId="239A99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商业银行可按照相关规定对信用卡贷款及符合条件的小</w:t>
      </w:r>
      <w:proofErr w:type="gramStart"/>
      <w:r>
        <w:rPr>
          <w:rFonts w:ascii="宋体" w:eastAsia="宋体" w:hAnsi="宋体" w:cs="宋体" w:hint="eastAsia"/>
          <w:sz w:val="24"/>
        </w:rPr>
        <w:t>微企业</w:t>
      </w:r>
      <w:proofErr w:type="gramEnd"/>
      <w:r>
        <w:rPr>
          <w:rFonts w:ascii="宋体" w:eastAsia="宋体" w:hAnsi="宋体" w:cs="宋体" w:hint="eastAsia"/>
          <w:sz w:val="24"/>
        </w:rPr>
        <w:lastRenderedPageBreak/>
        <w:t>续贷类业务确定其风险分类。</w:t>
      </w:r>
    </w:p>
    <w:p w14:paraId="7D0FF0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银保监会对金融资产风险分类另有规定的，适用其规定。</w:t>
      </w:r>
    </w:p>
    <w:p w14:paraId="679462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国家开发银行及政策性银行、农村合作银行、村镇银行、农村信用社和外国银行分行、银保监会及其派出机构监管的其他银行业金融机构参照本办法执行。另有规定的从其规定。</w:t>
      </w:r>
    </w:p>
    <w:p w14:paraId="4284B8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本办法由银保监</w:t>
      </w:r>
      <w:proofErr w:type="gramStart"/>
      <w:r>
        <w:rPr>
          <w:rFonts w:ascii="宋体" w:eastAsia="宋体" w:hAnsi="宋体" w:cs="宋体" w:hint="eastAsia"/>
          <w:sz w:val="24"/>
        </w:rPr>
        <w:t>会</w:t>
      </w:r>
      <w:proofErr w:type="gramEnd"/>
      <w:r>
        <w:rPr>
          <w:rFonts w:ascii="宋体" w:eastAsia="宋体" w:hAnsi="宋体" w:cs="宋体" w:hint="eastAsia"/>
          <w:sz w:val="24"/>
        </w:rPr>
        <w:t>会同中国人民银行负责解释。</w:t>
      </w:r>
    </w:p>
    <w:p w14:paraId="78B032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本办法自2023年7月1日起施行。</w:t>
      </w:r>
    </w:p>
    <w:p w14:paraId="1A8B84E6"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第四十八条 商业银行自2023年7月1日起新发生的业务应按本办法要求进行分类。对于2023年7月1日前发生的业务，商业银行应制</w:t>
      </w:r>
      <w:proofErr w:type="gramStart"/>
      <w:r>
        <w:rPr>
          <w:rFonts w:ascii="宋体" w:eastAsia="宋体" w:hAnsi="宋体" w:cs="宋体" w:hint="eastAsia"/>
          <w:sz w:val="24"/>
        </w:rPr>
        <w:t>订重新</w:t>
      </w:r>
      <w:proofErr w:type="gramEnd"/>
      <w:r>
        <w:rPr>
          <w:rFonts w:ascii="宋体" w:eastAsia="宋体" w:hAnsi="宋体" w:cs="宋体" w:hint="eastAsia"/>
          <w:sz w:val="24"/>
        </w:rPr>
        <w:t>分类计划，并于2025年12月31日前，按季度有计划、分步骤对所有存量业务全部按本办法要求进行重新分类。鼓励有条件的商业银行提前完成存量业务的重新分类。过渡期内，尚未按照本办法重新分类的存量业务，按照《贷款风险分类指引》（银监发〔2007〕54号）相关规定进行分类。</w:t>
      </w:r>
    </w:p>
    <w:p w14:paraId="7576246C"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37.《禁止滥用市场支配地位行为规定》</w:t>
      </w:r>
      <w:r>
        <w:rPr>
          <w:rFonts w:ascii="宋体" w:eastAsia="宋体" w:hAnsi="宋体" w:cs="宋体" w:hint="eastAsia"/>
          <w:b/>
          <w:bCs/>
          <w:sz w:val="24"/>
        </w:rPr>
        <w:tab/>
      </w:r>
    </w:p>
    <w:p w14:paraId="50603E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发文机构：国家市场监督管理总局 </w:t>
      </w:r>
      <w:r>
        <w:rPr>
          <w:rFonts w:ascii="宋体" w:eastAsia="宋体" w:hAnsi="宋体" w:cs="宋体" w:hint="eastAsia"/>
          <w:sz w:val="24"/>
        </w:rPr>
        <w:tab/>
        <w:t xml:space="preserve">   </w:t>
      </w:r>
    </w:p>
    <w:p w14:paraId="17419A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文号：国家市场监督管理总局令第66号</w:t>
      </w:r>
    </w:p>
    <w:p w14:paraId="4ACE65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为了预防和制止滥用市场支配地位行为，根据《中华人民共和国反垄断法》（以下简称反垄断法），制定本规定。</w:t>
      </w:r>
    </w:p>
    <w:p w14:paraId="6B0942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国家市场监督管理总局（以下简称市场监管总局）负责滥用市场支配地位行为的反垄断统一执法工作。</w:t>
      </w:r>
    </w:p>
    <w:p w14:paraId="5D4C01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市场监管总局根据反垄断法第十三条第二款规定，授权各省、自治区、直辖市市场监督管理部门（以下称省级市场监管部门）负责本行政区域内滥用市场支配地位行为的反垄断执法工作。</w:t>
      </w:r>
    </w:p>
    <w:p w14:paraId="47D249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本规定所称反垄断执法机构包括市场监管总局和省级市场监管部门。</w:t>
      </w:r>
    </w:p>
    <w:p w14:paraId="696959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市场监管总局负责查处下列滥用市场支配地位行为：</w:t>
      </w:r>
    </w:p>
    <w:p w14:paraId="09952A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（一）跨省、自治区、直辖市的；</w:t>
      </w:r>
    </w:p>
    <w:p w14:paraId="3A8117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（二）案情较为复杂或者在全国有重大影响的；</w:t>
      </w:r>
    </w:p>
    <w:p w14:paraId="057571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（三）市场监管总局认为有必要直接查处的。</w:t>
      </w:r>
    </w:p>
    <w:p w14:paraId="0582DF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前款所列滥用市场支配地位行为，市场监管总局可以指定省级市场监管部门查处。</w:t>
      </w:r>
    </w:p>
    <w:p w14:paraId="08BD69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省级市场监管部门根据授权查处滥用市场支配地位行为时，发现不属于本部门查处范围，或者虽属于本部门查处范围，但有必要由市场监管总局查处的，应当及时向市场监管总局报告。</w:t>
      </w:r>
    </w:p>
    <w:p w14:paraId="658B46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反垄断执法机构查处滥用市场支配地位行为时，应当平等对待所有经营者。</w:t>
      </w:r>
    </w:p>
    <w:p w14:paraId="2B158E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相关市场是指经营者在一定时期内就特定商品或者服务（以下统称商品）进行竞争的商品范围和地域范围，包括相关商品市场和相关地域市场。</w:t>
      </w:r>
    </w:p>
    <w:p w14:paraId="74F6A5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界定相关市场应当从需求者角度进行需求替代分析。当供给替代对经营者行为产生的竞争约束类似于需求替代时，也应当考虑供给替代。</w:t>
      </w:r>
    </w:p>
    <w:p w14:paraId="3532E6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界定相关商品市场，从需求替代角度，可以考虑需求者对商品价格等因素变化的反应、商品的特征与用途、销售渠道等因素。从供给替代角度，可以考虑其他经营者转产的难易程度、转产后所提供商品的市场竞争力等因素。</w:t>
      </w:r>
    </w:p>
    <w:p w14:paraId="7CC2D2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界定平台经济领域相关商品市场，可以根据平台一边的商品界定相关商品市场，也可以根据平台所涉及的多边商品，将平台整体界定为一个相关商品市场，或者分别界定多个相关商品市场，并考虑各相关商品市场之间的相互关系和影响。</w:t>
      </w:r>
    </w:p>
    <w:p w14:paraId="590278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界定相关地域市场，从需求替代角度，可以考虑商品的运输特征与成本、多数需求者选择商品的实际区域、地域间的贸易壁垒等因素。从供给替代角度，可以考虑其他地域经营者供应商品的及时性与可行性等因素。</w:t>
      </w:r>
    </w:p>
    <w:p w14:paraId="4ECDE1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市场支配地位是指经营者在相关市场内具有能够控制商品价格、数量或者其他交易条件，或者能够阻碍、影响其他经营者进入相关市场能力的市场地位。</w:t>
      </w:r>
    </w:p>
    <w:p w14:paraId="4B4E59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本条所称其他交易条件是指除商品价格、数量之外能够对市场交易产生实质影响的其他因素，包括商品品种、商品品质、付款条件、交付方式、售后服务、交易选择、技术约束等。</w:t>
      </w:r>
    </w:p>
    <w:p w14:paraId="17D639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本条所称能够阻碍、影响其他经营者进入相关市场，包括排除其他经营者进入相关市场，或者延缓其他经营者在合理时间内进入相关市场，或者导致其他经营者虽能够进入</w:t>
      </w:r>
      <w:proofErr w:type="gramStart"/>
      <w:r>
        <w:rPr>
          <w:rFonts w:ascii="宋体" w:eastAsia="宋体" w:hAnsi="宋体" w:cs="宋体" w:hint="eastAsia"/>
          <w:sz w:val="24"/>
        </w:rPr>
        <w:t>该相关</w:t>
      </w:r>
      <w:proofErr w:type="gramEnd"/>
      <w:r>
        <w:rPr>
          <w:rFonts w:ascii="宋体" w:eastAsia="宋体" w:hAnsi="宋体" w:cs="宋体" w:hint="eastAsia"/>
          <w:sz w:val="24"/>
        </w:rPr>
        <w:t>市场但进入成本大幅提高，无法与现有经营者开展有效竞争等情形。</w:t>
      </w:r>
    </w:p>
    <w:p w14:paraId="106F5F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根据反垄断法第二十三条第一项，确定经营者在相关市场的市场份额，可以考虑一定时期内经营者的特定商品销售金额、销售数量或者其他指标在相关市场所占的比重。</w:t>
      </w:r>
    </w:p>
    <w:p w14:paraId="1BA771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分析相关市场竞争状况，可以考虑相关市场的发展状况、现有竞争者的数量和市场份额、市场集中度、商品差异程度、创新和技术变化、销售和采购模式、潜在竞争者情况等因素。</w:t>
      </w:r>
    </w:p>
    <w:p w14:paraId="01BED5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第八条 根据反垄断法第二十三条第二项，确定经营者控制销售市场或者原材料采购市场的能力，可以考虑该经营者控制产业链上下游市场的能力，控制销售渠道或者采购渠道的能力，影响或者决定价格、数量、合同期限或者其他交易条件的能力，以及优先获得企业生产经营所必需的原料、半成品、零部件、相关设备以及需要投入的其他资源的能力等因素。</w:t>
      </w:r>
    </w:p>
    <w:p w14:paraId="111169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根据反垄断法第二十三条第三项，确定经营者的财力和技术条件，可以考虑该经营者的资产规模、盈利能力、融资能力、研发能力、技术装备、技术创新和应用能力、拥有的知识产权等，以及该财力和技术条件能够以何种方式和程度促进该经营者业务扩张或者巩固、维持市场地位等因素。</w:t>
      </w:r>
    </w:p>
    <w:p w14:paraId="63FD40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根据反垄断法第二十三条第四项，确定其他经营者对该经营者在交易上的依赖程度，可以考虑其他经营者与该经营者之间的交易关系、交易量、交易持续时间、在合理时间内转向其他交易相对人的难易程度等因素。</w:t>
      </w:r>
    </w:p>
    <w:p w14:paraId="05A1C0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根据反垄断法第二十三条第五项，确定其他经营者进入相关市场的难易程度，可以考虑市场准入、获取必要资源的难度、采购和销售渠道的控制情况、资金投入规模、技术壁垒、品牌依赖、用户转换成本、消费习惯等因素。</w:t>
      </w:r>
    </w:p>
    <w:p w14:paraId="295F1A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根据反垄断法第二十三条和本规定第七条至第十一条规定认定平台经济领域经营者具有市场支配地位，还可以考虑相关行业竞争特点、经营模式、交易金额、交易数量、用户数量、网络效应、锁定效应、技术特性、市场创新、控制流量的能力、掌握和处理相关数据的能力及经营者在关联市场的市场力量等因素。</w:t>
      </w:r>
    </w:p>
    <w:p w14:paraId="407C9D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认定两个以上的经营者具有市场支配地位，除考虑本规定第七条至第十二条规定的因素外，还应当考虑经营者行为一致性、市场结构、相关市场透明度、相关商品同质化程度等因素。</w:t>
      </w:r>
    </w:p>
    <w:p w14:paraId="07B006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禁止具有市场支配地位的经营者以不公平的高价销售商品或者以不公平的低价购买商品。</w:t>
      </w:r>
    </w:p>
    <w:p w14:paraId="0708C7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认定“不公平的高价”或者“不公平的低价”，可以考虑下列因素：</w:t>
      </w:r>
    </w:p>
    <w:p w14:paraId="76E28C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（一）销售价格或者购买价格是否明显高于或者明显低于其他经营者在相同</w:t>
      </w:r>
      <w:r>
        <w:rPr>
          <w:rFonts w:ascii="宋体" w:eastAsia="宋体" w:hAnsi="宋体" w:cs="宋体" w:hint="eastAsia"/>
          <w:sz w:val="24"/>
        </w:rPr>
        <w:lastRenderedPageBreak/>
        <w:t>或者相似市场条件下销售或者购买同种商品或者可比较商品的价格；</w:t>
      </w:r>
    </w:p>
    <w:p w14:paraId="6C470F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（二）销售价格或者购买价格是否明显高于或者明显低于同一经营者在其他相同或者相似市场条件区域销售或者购买同种商品或者可比较商品的价格；</w:t>
      </w:r>
    </w:p>
    <w:p w14:paraId="7D3C32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（三）在成本基本稳定的情况下，是否超过正常幅度提高销售价格或者降低购买价格；</w:t>
      </w:r>
    </w:p>
    <w:p w14:paraId="096DF6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（四）销售商品的提价幅度是否明显高于成本增长幅度，或者购买商品的降价幅度是否明显高于交易相对人成本降低幅度；</w:t>
      </w:r>
    </w:p>
    <w:p w14:paraId="5A9705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（五）需要考虑的其他相关因素。</w:t>
      </w:r>
    </w:p>
    <w:p w14:paraId="6EAED7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涉及平台经济领域，还可以考虑平台涉及多边市场中各相关市场之间的成本关联情况及其合理性。</w:t>
      </w:r>
    </w:p>
    <w:p w14:paraId="447F0A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认定市场条件相同或者相似，应当考虑经营模式、销售渠道、供求状况、监管环境、交易环节、成本结构、交易情况、平台类型等因素。</w:t>
      </w:r>
    </w:p>
    <w:p w14:paraId="58BE61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禁止具有市场支配地位的经营者没有正当理由，以低于成本的价格销售商品。</w:t>
      </w:r>
    </w:p>
    <w:p w14:paraId="1AA542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认定以低于成本的价格销售商品，应当重点考虑价格是否低于平均可变成本。平均可变成本是指随着生产的商品数量变化而变动的每单位成本。涉及平台经济领域，还可以考虑平台涉及多边市场中各相关市场之间的成本关联情况及其合理性。</w:t>
      </w:r>
    </w:p>
    <w:p w14:paraId="510313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本条所称“正当理由”包括：</w:t>
      </w:r>
    </w:p>
    <w:p w14:paraId="7E004E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（一）降价处理鲜活商品、季节性商品、有效期限即将到期的商品或者积压商品的；</w:t>
      </w:r>
    </w:p>
    <w:p w14:paraId="6CCC47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（二）因清偿债务、转产、歇业降价销售商品的；</w:t>
      </w:r>
    </w:p>
    <w:p w14:paraId="73EECF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（三）在合理期限内为推广新商品进行促销的；</w:t>
      </w:r>
    </w:p>
    <w:p w14:paraId="2B9BE5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（四）能够证明行为具有正当性的其他理由。</w:t>
      </w:r>
    </w:p>
    <w:p w14:paraId="16B1E5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禁止具有市场支配地位的经营者没有正当理由，通过下列方式拒</w:t>
      </w:r>
      <w:r>
        <w:rPr>
          <w:rFonts w:ascii="宋体" w:eastAsia="宋体" w:hAnsi="宋体" w:cs="宋体" w:hint="eastAsia"/>
          <w:sz w:val="24"/>
        </w:rPr>
        <w:lastRenderedPageBreak/>
        <w:t>绝与交易相对人进行交易：</w:t>
      </w:r>
    </w:p>
    <w:p w14:paraId="41B68B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（一）实质性削减与交易相对人的现有交易数量；</w:t>
      </w:r>
    </w:p>
    <w:p w14:paraId="130AB1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（二）拖延、中断与交易相对人的现有交易；</w:t>
      </w:r>
    </w:p>
    <w:p w14:paraId="1C4E6C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（三）拒绝与交易相对人进行新的交易；</w:t>
      </w:r>
    </w:p>
    <w:p w14:paraId="0794D9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（四）通过设置交易相对人难以接受的价格、向交易相对人回购商品、与交易相对人进行其他交易等限制性条件，使交易相对人难以与其进行交易；</w:t>
      </w:r>
    </w:p>
    <w:p w14:paraId="7478A4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（五）拒绝交易相对人在生产经营活动中，以合理条件使用其必需设施。</w:t>
      </w:r>
    </w:p>
    <w:p w14:paraId="535148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依据前款第五项认定经营者滥用市场支配地位时，应当综合考虑以合理的投入另行投资建设或者另行开发建造该设施的可行性、交易相对人有效开展生产经营活动对该设施的依赖程度、该经营者提供该设施的可能性以及对自身生产经营活动造成的影响等因素。</w:t>
      </w:r>
    </w:p>
    <w:p w14:paraId="70553D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本条所称“正当理由”包括：</w:t>
      </w:r>
    </w:p>
    <w:p w14:paraId="1112A9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（一）因不可抗力等客观原因无法进行交易；</w:t>
      </w:r>
    </w:p>
    <w:p w14:paraId="13EE44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（二）交易相对人有不良信用记录或者出现经营状况恶化等情况，影响交易安全；</w:t>
      </w:r>
    </w:p>
    <w:p w14:paraId="36D81D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（三）与交易相对人进行交易将使经营者利益发生不当减损；</w:t>
      </w:r>
    </w:p>
    <w:p w14:paraId="1BFC47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（四）交易相对人明确表示或者实际不遵守公平、合理、无歧视的平台规则；</w:t>
      </w:r>
    </w:p>
    <w:p w14:paraId="385091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（五）能够证明行为具有正当性的其他理由。</w:t>
      </w:r>
    </w:p>
    <w:p w14:paraId="05E81A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禁止具有市场支配地位的经营者没有正当理由，从事下列限定交易行为：</w:t>
      </w:r>
    </w:p>
    <w:p w14:paraId="34411B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（一）限定交易相对人只能与其进行交易；</w:t>
      </w:r>
    </w:p>
    <w:p w14:paraId="40D426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（二）限定交易相对人只能与其指定的经营者进行交易；</w:t>
      </w:r>
    </w:p>
    <w:p w14:paraId="25DE30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（三）限定交易相对人不得与特定经营者进行交易。</w:t>
      </w:r>
    </w:p>
    <w:p w14:paraId="58058E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从事上述限定交易行为可以是直接限定，也可以是采取惩罚性或者激励性措</w:t>
      </w:r>
      <w:r>
        <w:rPr>
          <w:rFonts w:ascii="宋体" w:eastAsia="宋体" w:hAnsi="宋体" w:cs="宋体" w:hint="eastAsia"/>
          <w:sz w:val="24"/>
        </w:rPr>
        <w:lastRenderedPageBreak/>
        <w:t>施等方式变相限定。</w:t>
      </w:r>
    </w:p>
    <w:p w14:paraId="682CA3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本条所称“正当理由”包括：</w:t>
      </w:r>
    </w:p>
    <w:p w14:paraId="138D0E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（一）为满足产品安全要求所必需；</w:t>
      </w:r>
    </w:p>
    <w:p w14:paraId="25706B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（二）为保护知识产权、商业秘密或者数据安全所必需；</w:t>
      </w:r>
    </w:p>
    <w:p w14:paraId="64CE90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（三）为保护针对交易进行的特定投资所必需；</w:t>
      </w:r>
    </w:p>
    <w:p w14:paraId="63819F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（四）为维护平台合理的经营模式所必需；</w:t>
      </w:r>
    </w:p>
    <w:p w14:paraId="7EC181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（五）能够证明行为具有正当性的其他理由。</w:t>
      </w:r>
    </w:p>
    <w:p w14:paraId="609EBC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禁止具有市场支配地位的经营者没有正当理由搭售商品，或者在交易时附加其他不合理的交易条件：</w:t>
      </w:r>
    </w:p>
    <w:p w14:paraId="44C441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（一）违背交易惯例、消费习惯或者无视商品的功能，利用合同条款或者弹窗、操作必经步骤等交易相对人难以选择、更改、拒绝的方式，将不同商品捆绑销售或者组合销售；</w:t>
      </w:r>
    </w:p>
    <w:p w14:paraId="381EED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（二）对合同期限、支付方式、商品的运输及交付方式或者服务的提供方式等附加不合理的限制；</w:t>
      </w:r>
    </w:p>
    <w:p w14:paraId="1595FF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（三）对商品的销售地域、销售对象、售后服务等附加不合理的限制；</w:t>
      </w:r>
    </w:p>
    <w:p w14:paraId="36679D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（四）交易时在价格之外附加不合理费用；</w:t>
      </w:r>
    </w:p>
    <w:p w14:paraId="400490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（五）附加与交易标的无关的交易条件。</w:t>
      </w:r>
    </w:p>
    <w:p w14:paraId="0A2656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本条所称“正当理由”包括：</w:t>
      </w:r>
    </w:p>
    <w:p w14:paraId="7BDEE9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（一）符合正当的行业惯例和交易习惯；</w:t>
      </w:r>
    </w:p>
    <w:p w14:paraId="31B27F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（二）为满足产品安全要求所必需；</w:t>
      </w:r>
    </w:p>
    <w:p w14:paraId="27D0EF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（三）为实现特定技术所必需；</w:t>
      </w:r>
    </w:p>
    <w:p w14:paraId="158A1B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（四）为保护交易相对人和消费者利益所必需；</w:t>
      </w:r>
    </w:p>
    <w:p w14:paraId="6E3A93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（五）能够证明行为具有正当性的其他理由。</w:t>
      </w:r>
    </w:p>
    <w:p w14:paraId="584176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第十九条禁止具有市场支配地位的经营者没有正当理由，对条件相同的交易相对人在交易条件上实行下列差别待遇：</w:t>
      </w:r>
    </w:p>
    <w:p w14:paraId="626233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（一）实行不同的交易价格、数量、品种、品质等级；</w:t>
      </w:r>
    </w:p>
    <w:p w14:paraId="6C5F26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（二）实行不同的数量折扣等优惠条件；</w:t>
      </w:r>
    </w:p>
    <w:p w14:paraId="195969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（三）实行不同的付款条件、交付方式；</w:t>
      </w:r>
    </w:p>
    <w:p w14:paraId="162474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（四）实行不同的保修内容和期限、维修内容和时间、零配件供应、技术指导等售后服务条件。</w:t>
      </w:r>
    </w:p>
    <w:p w14:paraId="0F9669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条件相同是指交易相对人之间在交易安全、交易成本、规模和能力、信用状况、所处交易环节、交易持续时间等方面不存在实质性影响交易的差别。交易中依法获取的交易相对人的交易数据、个体偏好、消费习惯等方面存在的差异不影响认定交易相对人条件相同。</w:t>
      </w:r>
    </w:p>
    <w:p w14:paraId="185C4D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本条所称“正当理由”包括：</w:t>
      </w:r>
    </w:p>
    <w:p w14:paraId="281A88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（一）根据交易相对人实际需求且符合正当的交易习惯和行业惯例，实行不同交易条件；</w:t>
      </w:r>
    </w:p>
    <w:p w14:paraId="1D0106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（二）针对新用户的首次交易在合理期限内开展的优惠活动；</w:t>
      </w:r>
    </w:p>
    <w:p w14:paraId="4B74D7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（三）基于公平、合理、无歧视的平台规则实施的随机性交易；</w:t>
      </w:r>
    </w:p>
    <w:p w14:paraId="5C706C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（四）能够证明行为具有正当性的其他理由。</w:t>
      </w:r>
    </w:p>
    <w:p w14:paraId="5FF04A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市场监管总局认定其他滥用市场支配地位行为，应当同时符合下列条件：</w:t>
      </w:r>
    </w:p>
    <w:p w14:paraId="207787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（一）经营者具有市场支配地位；</w:t>
      </w:r>
    </w:p>
    <w:p w14:paraId="249E6F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（二）经营者实施了排除、限制竞争行为；</w:t>
      </w:r>
    </w:p>
    <w:p w14:paraId="6D3A33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（三）经营者实施相关行为不具有正当理由；</w:t>
      </w:r>
    </w:p>
    <w:p w14:paraId="6CD91D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（四）经营者相关行为对市场竞争具有排除、限制影响。</w:t>
      </w:r>
    </w:p>
    <w:p w14:paraId="604F05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具有市场支配地位的经营者不得利用数据和算法、技术以及平</w:t>
      </w:r>
      <w:r>
        <w:rPr>
          <w:rFonts w:ascii="宋体" w:eastAsia="宋体" w:hAnsi="宋体" w:cs="宋体" w:hint="eastAsia"/>
          <w:sz w:val="24"/>
        </w:rPr>
        <w:lastRenderedPageBreak/>
        <w:t>台规则等从事本规定第十四条至第二十条规定的滥用市场支配地位行为。</w:t>
      </w:r>
    </w:p>
    <w:p w14:paraId="528A86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反垄断执法机构认定本规定第十四条所称的“不公平”和第十五条至第二十条所称的“正当理由”，还应当考虑下列因素：</w:t>
      </w:r>
    </w:p>
    <w:p w14:paraId="27520E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（一）有关行为是否为法律、法规所规定；</w:t>
      </w:r>
    </w:p>
    <w:p w14:paraId="11FBA2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（二）有关行为对国家安全、网络安全等方面的影响；</w:t>
      </w:r>
    </w:p>
    <w:p w14:paraId="7D9E6B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（三）有关行为对经济运行效率、经济发展的影响；</w:t>
      </w:r>
    </w:p>
    <w:p w14:paraId="419399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（四）有关行为是否为经营者正常经营及实现正常效益所必需；</w:t>
      </w:r>
    </w:p>
    <w:p w14:paraId="56742B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（五）有关行为对经营者业务发展、未来投资、创新方面的影响；</w:t>
      </w:r>
    </w:p>
    <w:p w14:paraId="41B3A8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（六）有关行为是否能够使交易相对人或者消费者获益；</w:t>
      </w:r>
    </w:p>
    <w:p w14:paraId="246197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（七）有关行为对社会公共利益的影响。</w:t>
      </w:r>
    </w:p>
    <w:p w14:paraId="4EF912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供水、供电、供气、供热、电信、有线电视、邮政、交通运输等公用事业领域经营者应当依法经营，不得滥用其市场支配地位损害消费者利益和社会公共利益。</w:t>
      </w:r>
    </w:p>
    <w:p w14:paraId="443802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反垄断执法机构依据职权，或者通过举报、上级机关交办、其他机关移送、下级机关报告、经营者主动报告等途径，发现涉嫌滥用市场支配地位行为。</w:t>
      </w:r>
    </w:p>
    <w:p w14:paraId="33D240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举报采用书面形式并提供相关事实和证据的，反垄断执法机构应当进行必要的调查。书面举报一般包括下列内容：</w:t>
      </w:r>
    </w:p>
    <w:p w14:paraId="240B2A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（一）举报人的基本情况；</w:t>
      </w:r>
    </w:p>
    <w:p w14:paraId="5B7C33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（二）被举报人的基本情况；</w:t>
      </w:r>
    </w:p>
    <w:p w14:paraId="46CDB3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（三）涉嫌滥用市场支配地位行为的相关事实和证据；</w:t>
      </w:r>
    </w:p>
    <w:p w14:paraId="5C69BD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（四）是否就同一事实已向其他行政机关举报或者向人民法院提起诉讼。</w:t>
      </w:r>
    </w:p>
    <w:p w14:paraId="5F98EF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反垄断执法机构根据工作需要，可以要求举报人补充举报材料。</w:t>
      </w:r>
    </w:p>
    <w:p w14:paraId="091CC3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对于采用书面形式的实名举报，反垄断执法机构在案件调查处理完毕后，可</w:t>
      </w:r>
      <w:r>
        <w:rPr>
          <w:rFonts w:ascii="宋体" w:eastAsia="宋体" w:hAnsi="宋体" w:cs="宋体" w:hint="eastAsia"/>
          <w:sz w:val="24"/>
        </w:rPr>
        <w:lastRenderedPageBreak/>
        <w:t>以根据举报人的书面请求依法向其反馈举报处理结果。</w:t>
      </w:r>
    </w:p>
    <w:p w14:paraId="2F8BA9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反垄断执法机构经过对涉嫌滥用市场支配地位行为的必要调查，符合下列条件的，应当立案：</w:t>
      </w:r>
    </w:p>
    <w:p w14:paraId="1BEDA6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（一）有证据初步证明存在滥用市场支配地位行为；</w:t>
      </w:r>
    </w:p>
    <w:p w14:paraId="0716D3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（二）属于本部门查处范围；</w:t>
      </w:r>
    </w:p>
    <w:p w14:paraId="11A9AF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（三）在给予行政处罚的法定期限内。</w:t>
      </w:r>
    </w:p>
    <w:p w14:paraId="35C518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省级市场监管部门应当自立案之日起七个工作日内向市场监管总局备案。</w:t>
      </w:r>
    </w:p>
    <w:p w14:paraId="655AF6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市场监管总局在查处滥用市场支配地位行为时，可以委托省级市场监管部门进行调查。</w:t>
      </w:r>
    </w:p>
    <w:p w14:paraId="6DA986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省级市场监管部门在查处滥用市场支配地位行为时，可以委托下级市场监管部门进行调查。</w:t>
      </w:r>
    </w:p>
    <w:p w14:paraId="1B9ACC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受委托的市场监管部门在委托范围内，以委托机关的名义实施调查，不得再委托其他行政机关、组织或者个人进行调查。</w:t>
      </w:r>
    </w:p>
    <w:p w14:paraId="1CB178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省级市场监管部门查处滥用市场支配地位行为时，可以根据需要商请相关省级市场监管部门协助调查，相关省级市场监管部门应当予以协助。</w:t>
      </w:r>
    </w:p>
    <w:p w14:paraId="5F6B6D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反垄断执法机构对滥用市场支配地位行为进行行政处罚的，应当在</w:t>
      </w:r>
      <w:proofErr w:type="gramStart"/>
      <w:r>
        <w:rPr>
          <w:rFonts w:ascii="宋体" w:eastAsia="宋体" w:hAnsi="宋体" w:cs="宋体" w:hint="eastAsia"/>
          <w:sz w:val="24"/>
        </w:rPr>
        <w:t>作出</w:t>
      </w:r>
      <w:proofErr w:type="gramEnd"/>
      <w:r>
        <w:rPr>
          <w:rFonts w:ascii="宋体" w:eastAsia="宋体" w:hAnsi="宋体" w:cs="宋体" w:hint="eastAsia"/>
          <w:sz w:val="24"/>
        </w:rPr>
        <w:t>行政处罚决定之前，书面告知当事人拟作出的行政处罚内容及事实、理由、依据，并告知当事人依法享有的陈述权、申辩权和要求听证的权利。</w:t>
      </w:r>
    </w:p>
    <w:p w14:paraId="375F44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反垄断执法机构在告知当事人拟作出的行政处罚决定后，应当充分听取当事人的意见，对当事人提出的事实、理由和证据进行复核。</w:t>
      </w:r>
    </w:p>
    <w:p w14:paraId="5CE63B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反垄断执法机构对滥用市场支配地位行为</w:t>
      </w:r>
      <w:proofErr w:type="gramStart"/>
      <w:r>
        <w:rPr>
          <w:rFonts w:ascii="宋体" w:eastAsia="宋体" w:hAnsi="宋体" w:cs="宋体" w:hint="eastAsia"/>
          <w:sz w:val="24"/>
        </w:rPr>
        <w:t>作出</w:t>
      </w:r>
      <w:proofErr w:type="gramEnd"/>
      <w:r>
        <w:rPr>
          <w:rFonts w:ascii="宋体" w:eastAsia="宋体" w:hAnsi="宋体" w:cs="宋体" w:hint="eastAsia"/>
          <w:sz w:val="24"/>
        </w:rPr>
        <w:t>行政处罚决定，应当依法制作行政处罚决定书，并加盖本部门印章。</w:t>
      </w:r>
    </w:p>
    <w:p w14:paraId="077D1A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行政处罚决定书的内容包括：</w:t>
      </w:r>
    </w:p>
    <w:p w14:paraId="657984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（一）当事人的姓名或者名称、地址等基本情况；</w:t>
      </w:r>
    </w:p>
    <w:p w14:paraId="01EABE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（二）案件来源及调查经过；</w:t>
      </w:r>
    </w:p>
    <w:p w14:paraId="25A367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（三）违反法律、法规、规章的事实和证据；</w:t>
      </w:r>
    </w:p>
    <w:p w14:paraId="08CCE8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（四）当事人陈述、申辩的采纳情况及理由；</w:t>
      </w:r>
    </w:p>
    <w:p w14:paraId="37F714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（五）行政处罚的内容和依据；</w:t>
      </w:r>
    </w:p>
    <w:p w14:paraId="1CD49B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（六）行政处罚的履行方式和期限；</w:t>
      </w:r>
    </w:p>
    <w:p w14:paraId="235EA9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（七）申请行政复议、提起行政诉讼的途径和期限；</w:t>
      </w:r>
    </w:p>
    <w:p w14:paraId="01A368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w:t>
      </w:r>
      <w:proofErr w:type="gramStart"/>
      <w:r>
        <w:rPr>
          <w:rFonts w:ascii="宋体" w:eastAsia="宋体" w:hAnsi="宋体" w:cs="宋体" w:hint="eastAsia"/>
          <w:sz w:val="24"/>
        </w:rPr>
        <w:t>作出</w:t>
      </w:r>
      <w:proofErr w:type="gramEnd"/>
      <w:r>
        <w:rPr>
          <w:rFonts w:ascii="宋体" w:eastAsia="宋体" w:hAnsi="宋体" w:cs="宋体" w:hint="eastAsia"/>
          <w:sz w:val="24"/>
        </w:rPr>
        <w:t>行政处罚决定的反垄断执法机构的名称和</w:t>
      </w:r>
      <w:proofErr w:type="gramStart"/>
      <w:r>
        <w:rPr>
          <w:rFonts w:ascii="宋体" w:eastAsia="宋体" w:hAnsi="宋体" w:cs="宋体" w:hint="eastAsia"/>
          <w:sz w:val="24"/>
        </w:rPr>
        <w:t>作出</w:t>
      </w:r>
      <w:proofErr w:type="gramEnd"/>
      <w:r>
        <w:rPr>
          <w:rFonts w:ascii="宋体" w:eastAsia="宋体" w:hAnsi="宋体" w:cs="宋体" w:hint="eastAsia"/>
          <w:sz w:val="24"/>
        </w:rPr>
        <w:t>决定的日期。</w:t>
      </w:r>
    </w:p>
    <w:p w14:paraId="74DA5A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涉嫌滥用市场支配地位的经营者在被调查期间，可以提出中止调查申请，承诺在反垄断执法机构认可的期限内采取具体措施消除行为影响。</w:t>
      </w:r>
    </w:p>
    <w:p w14:paraId="77DE87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中止调查申请应当以书面形式提出，并由经营者负责人签字并盖章。申请书应当载明下列事项：</w:t>
      </w:r>
    </w:p>
    <w:p w14:paraId="2EFB13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（一）涉嫌滥用市场支配地位行为的事实；</w:t>
      </w:r>
    </w:p>
    <w:p w14:paraId="711ADD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（二）承诺采取消除行为后果的具体措施；</w:t>
      </w:r>
    </w:p>
    <w:p w14:paraId="2EBB7C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（三）履行承诺的时限；</w:t>
      </w:r>
    </w:p>
    <w:p w14:paraId="69AAE1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（四）需要承诺的其他内容。</w:t>
      </w:r>
    </w:p>
    <w:p w14:paraId="5B8962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反垄断执法机构根据被调查经营者的中止调查申请，在考虑行为的性质、持续时间、后果、社会影响、经营者承诺的措施及其预期效果等具体情况后，决定是否中止调查。</w:t>
      </w:r>
    </w:p>
    <w:p w14:paraId="409F54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反垄断执法机构对涉嫌滥用市场支配地位行为调查核实后，认为构成滥用市场支配地位行为的，不得中止调查，应当依法</w:t>
      </w:r>
      <w:proofErr w:type="gramStart"/>
      <w:r>
        <w:rPr>
          <w:rFonts w:ascii="宋体" w:eastAsia="宋体" w:hAnsi="宋体" w:cs="宋体" w:hint="eastAsia"/>
          <w:sz w:val="24"/>
        </w:rPr>
        <w:t>作出</w:t>
      </w:r>
      <w:proofErr w:type="gramEnd"/>
      <w:r>
        <w:rPr>
          <w:rFonts w:ascii="宋体" w:eastAsia="宋体" w:hAnsi="宋体" w:cs="宋体" w:hint="eastAsia"/>
          <w:sz w:val="24"/>
        </w:rPr>
        <w:t>处理决定。</w:t>
      </w:r>
    </w:p>
    <w:p w14:paraId="3B68FF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反垄断执法机构决定中止调查的，应当制作中止调查决定书。</w:t>
      </w:r>
    </w:p>
    <w:p w14:paraId="4630A7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中止调查决定书应当载明被调查经营者涉嫌滥用市场支配地位行为的事实、承诺的具体内容、消除影响的具体措施、履行承诺的时限以及未履行或者未完全履行承诺的法律后果等内容。</w:t>
      </w:r>
    </w:p>
    <w:p w14:paraId="538C6F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第三十五条 决定中止调查的，反垄断执法机构应当对经营者履行承诺的情况进行监督。</w:t>
      </w:r>
    </w:p>
    <w:p w14:paraId="4DB0B9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经营者应当在规定的时限内向反垄断执法机构书面报告承诺履行情况。</w:t>
      </w:r>
    </w:p>
    <w:p w14:paraId="0FB977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反垄断执法机构确定经营者已经履行承诺的，可以决定终止调查，并制作终止调查决定书。</w:t>
      </w:r>
    </w:p>
    <w:p w14:paraId="591A1E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终止调查决定书应当载明被调查经营者涉嫌滥用市场支配地位行为的事实、</w:t>
      </w:r>
      <w:proofErr w:type="gramStart"/>
      <w:r>
        <w:rPr>
          <w:rFonts w:ascii="宋体" w:eastAsia="宋体" w:hAnsi="宋体" w:cs="宋体" w:hint="eastAsia"/>
          <w:sz w:val="24"/>
        </w:rPr>
        <w:t>作出</w:t>
      </w:r>
      <w:proofErr w:type="gramEnd"/>
      <w:r>
        <w:rPr>
          <w:rFonts w:ascii="宋体" w:eastAsia="宋体" w:hAnsi="宋体" w:cs="宋体" w:hint="eastAsia"/>
          <w:sz w:val="24"/>
        </w:rPr>
        <w:t>中止调查决定的情况、承诺的具体内容、履行承诺的情况、监督情况等内容。</w:t>
      </w:r>
    </w:p>
    <w:p w14:paraId="5A090F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有下列情形之一的，反垄断执法机构应当恢复调查：</w:t>
      </w:r>
    </w:p>
    <w:p w14:paraId="28B386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（一）经营者未履行或者未完全履行承诺的；</w:t>
      </w:r>
    </w:p>
    <w:p w14:paraId="0A3053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w:t>
      </w:r>
      <w:proofErr w:type="gramStart"/>
      <w:r>
        <w:rPr>
          <w:rFonts w:ascii="宋体" w:eastAsia="宋体" w:hAnsi="宋体" w:cs="宋体" w:hint="eastAsia"/>
          <w:sz w:val="24"/>
        </w:rPr>
        <w:t>作出</w:t>
      </w:r>
      <w:proofErr w:type="gramEnd"/>
      <w:r>
        <w:rPr>
          <w:rFonts w:ascii="宋体" w:eastAsia="宋体" w:hAnsi="宋体" w:cs="宋体" w:hint="eastAsia"/>
          <w:sz w:val="24"/>
        </w:rPr>
        <w:t>中止调查决定所依据的事实发生重大变化的；</w:t>
      </w:r>
    </w:p>
    <w:p w14:paraId="7B07FF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（三）中止调查决定是基于经营者提供的不完整或者不真实的信息</w:t>
      </w:r>
      <w:proofErr w:type="gramStart"/>
      <w:r>
        <w:rPr>
          <w:rFonts w:ascii="宋体" w:eastAsia="宋体" w:hAnsi="宋体" w:cs="宋体" w:hint="eastAsia"/>
          <w:sz w:val="24"/>
        </w:rPr>
        <w:t>作出</w:t>
      </w:r>
      <w:proofErr w:type="gramEnd"/>
      <w:r>
        <w:rPr>
          <w:rFonts w:ascii="宋体" w:eastAsia="宋体" w:hAnsi="宋体" w:cs="宋体" w:hint="eastAsia"/>
          <w:sz w:val="24"/>
        </w:rPr>
        <w:t>的。</w:t>
      </w:r>
    </w:p>
    <w:p w14:paraId="7CF1F1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经营者涉嫌违反本规定的，反垄断执法机构可以对其法定代表人或者负责人进行约谈。</w:t>
      </w:r>
    </w:p>
    <w:p w14:paraId="68C204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约谈应当指出经营者涉嫌滥用市场支配地位的问题，听取情况说明，开展提醒谈话，并可以要求其提出改进措施，消除行为危害后果。</w:t>
      </w:r>
    </w:p>
    <w:p w14:paraId="7621C5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经营者应当按照反垄断执法机构要求进行改进，提出消除行为危害后果的具体措施、履行时限等，并提交书面报告。</w:t>
      </w:r>
    </w:p>
    <w:p w14:paraId="08B4F9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省级市场监管部门</w:t>
      </w:r>
      <w:proofErr w:type="gramStart"/>
      <w:r>
        <w:rPr>
          <w:rFonts w:ascii="宋体" w:eastAsia="宋体" w:hAnsi="宋体" w:cs="宋体" w:hint="eastAsia"/>
          <w:sz w:val="24"/>
        </w:rPr>
        <w:t>作出</w:t>
      </w:r>
      <w:proofErr w:type="gramEnd"/>
      <w:r>
        <w:rPr>
          <w:rFonts w:ascii="宋体" w:eastAsia="宋体" w:hAnsi="宋体" w:cs="宋体" w:hint="eastAsia"/>
          <w:sz w:val="24"/>
        </w:rPr>
        <w:t>不予行政处罚决定、中止调查决定、恢复调查决定、终止调查决定或者行政处罚告知前，应当向市场监管总局报告，接受市场监管总局的指导和监督。</w:t>
      </w:r>
    </w:p>
    <w:p w14:paraId="21D6D8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省级市场监管部门向被调查经营者送达不予行政处罚决定书、中止调查决定书、恢复调查决定书、终止调查决定书或者行政处罚决定书后，应当在七个工作日内向市场监管总局备案。</w:t>
      </w:r>
    </w:p>
    <w:p w14:paraId="4A4E32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反垄断执法机构</w:t>
      </w:r>
      <w:proofErr w:type="gramStart"/>
      <w:r>
        <w:rPr>
          <w:rFonts w:ascii="宋体" w:eastAsia="宋体" w:hAnsi="宋体" w:cs="宋体" w:hint="eastAsia"/>
          <w:sz w:val="24"/>
        </w:rPr>
        <w:t>作出</w:t>
      </w:r>
      <w:proofErr w:type="gramEnd"/>
      <w:r>
        <w:rPr>
          <w:rFonts w:ascii="宋体" w:eastAsia="宋体" w:hAnsi="宋体" w:cs="宋体" w:hint="eastAsia"/>
          <w:sz w:val="24"/>
        </w:rPr>
        <w:t>行政处理决定后，依法向社会公布。行政处罚信息应当依法通过国家企业信用信息公示系统向社会公示。</w:t>
      </w:r>
    </w:p>
    <w:p w14:paraId="34F170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第四十条 市场监管总局应当加强对省级市场监管部门查处滥用市场支配地位行为的指导和监督，统一执法程序和标准。</w:t>
      </w:r>
    </w:p>
    <w:p w14:paraId="2D7087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省级市场监管部门应当严格按照市场监管总局相关规定查处滥用市场支配地位行为。</w:t>
      </w:r>
    </w:p>
    <w:p w14:paraId="511608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经营者滥用市场支配地位的，由反垄断执法机构责令停止违法行为，没收违法所得，并处上一年度销售额百分之一以上百分之十以下的罚款。</w:t>
      </w:r>
    </w:p>
    <w:p w14:paraId="554B58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反垄断执法机构确定具体罚款数额时，应当考虑违法行为的性质、程度、持续时间和消除违法行为后果的情况等因素。</w:t>
      </w:r>
    </w:p>
    <w:p w14:paraId="469BD2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违反本规定，情节特别严重、影响特别恶劣、造成特别严重后果的，市场监管总局可以在第一款规定的罚款数额的二倍以上五倍以下确定具体罚款数额。</w:t>
      </w:r>
    </w:p>
    <w:p w14:paraId="62D5FB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营者因行政机关和法律、法规授权的具有管理公共事务职能的组织滥用行政权力而滥用市场支配地位的，按照第一款规定处理。经营者能够证明其受行政机关和法律、法规授权的具有管理公共事务职能的组织滥用行政权力强制或者变相强制滥用市场支配地位的，可以依法从轻或者减轻处罚。</w:t>
      </w:r>
    </w:p>
    <w:p w14:paraId="460D73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反垄断执法机构工作人员滥用职权、玩忽职守、徇私舞弊或者泄露执法过程中知悉的商业秘密、个人隐私和个人信息的，依照有关规定处理。</w:t>
      </w:r>
    </w:p>
    <w:p w14:paraId="0D12C6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反垄断执法机构在调查期间发现的公职人员涉嫌职务违法、职务犯罪问题线索，应当及时移交纪检监察机关。</w:t>
      </w:r>
    </w:p>
    <w:p w14:paraId="244532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本规定对滥用市场支配地位行为调查、处罚程序未作规定的，依照《市场监督管理行政处罚程序规定》执行，有关时限、立案、案件管辖的规定除外。</w:t>
      </w:r>
    </w:p>
    <w:p w14:paraId="0D9BE9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反垄断执法机构组织行政处罚听证的，依照《市场监督管理行政处罚听证办法》执行。</w:t>
      </w:r>
    </w:p>
    <w:p w14:paraId="3166ADA8"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第四十五条 本规定自2023年4月15日起施行。2019年6月26日国家市场监督管理总局令第11号公布的《禁止滥用市场支配地位行为暂行规定》同时废止。</w:t>
      </w:r>
    </w:p>
    <w:p w14:paraId="4B20C39F" w14:textId="77777777" w:rsidR="00F50CD8" w:rsidRDefault="00000000">
      <w:pPr>
        <w:spacing w:afterLines="50" w:after="156" w:line="360" w:lineRule="auto"/>
        <w:ind w:firstLineChars="200" w:firstLine="482"/>
        <w:rPr>
          <w:rFonts w:ascii="宋体" w:eastAsia="宋体" w:hAnsi="宋体" w:cs="宋体" w:hint="eastAsia"/>
          <w:sz w:val="24"/>
        </w:rPr>
      </w:pPr>
      <w:r>
        <w:rPr>
          <w:rFonts w:ascii="宋体" w:eastAsia="宋体" w:hAnsi="宋体" w:cs="宋体" w:hint="eastAsia"/>
          <w:b/>
          <w:bCs/>
          <w:sz w:val="24"/>
        </w:rPr>
        <w:lastRenderedPageBreak/>
        <w:t>38.《中央企业法律纠纷案件管理办法》</w:t>
      </w:r>
      <w:r>
        <w:rPr>
          <w:rFonts w:ascii="宋体" w:eastAsia="宋体" w:hAnsi="宋体" w:cs="宋体" w:hint="eastAsia"/>
          <w:sz w:val="24"/>
        </w:rPr>
        <w:tab/>
      </w:r>
    </w:p>
    <w:p w14:paraId="42FD90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发文机构：国务院国有资产监督管理委员会</w:t>
      </w:r>
      <w:r>
        <w:rPr>
          <w:rFonts w:ascii="宋体" w:eastAsia="宋体" w:hAnsi="宋体" w:cs="宋体" w:hint="eastAsia"/>
          <w:sz w:val="24"/>
        </w:rPr>
        <w:tab/>
        <w:t xml:space="preserve">    </w:t>
      </w:r>
    </w:p>
    <w:p w14:paraId="149B05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文号：国务院国有资产监督管理委员会令第43号</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t>（2023年6月12日国务院国有资产监督管理委员会令第43号公布 自2023年8月1日起施行）</w:t>
      </w:r>
    </w:p>
    <w:p w14:paraId="1A22B6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40C0A2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为深入贯彻习近平法治思想，落实全面依法治国战略部署，深化</w:t>
      </w:r>
      <w:proofErr w:type="gramStart"/>
      <w:r>
        <w:rPr>
          <w:rFonts w:ascii="宋体" w:eastAsia="宋体" w:hAnsi="宋体" w:cs="宋体" w:hint="eastAsia"/>
          <w:sz w:val="24"/>
        </w:rPr>
        <w:t>法治央企建设</w:t>
      </w:r>
      <w:proofErr w:type="gramEnd"/>
      <w:r>
        <w:rPr>
          <w:rFonts w:ascii="宋体" w:eastAsia="宋体" w:hAnsi="宋体" w:cs="宋体" w:hint="eastAsia"/>
          <w:sz w:val="24"/>
        </w:rPr>
        <w:t>，加强中央企业法律纠纷案件管理，依法保障企业合法权益，切实维护国有资产安全，根据《中华人民共和国企业国有资产法》《企业国有资产监督管理暂行条例》等法律法规，结合中央企业实际，制定本办法。</w:t>
      </w:r>
    </w:p>
    <w:p w14:paraId="392C72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本办法适用于国务院国有资产监督管理委员会（以下简称国务院国资委）根据国务院授权履行出资人职责的中央企业。</w:t>
      </w:r>
    </w:p>
    <w:p w14:paraId="793A1A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本办法所称法律纠纷案件是指中央企业及其所属单位在经营管理过程中发生的境内外诉讼、仲裁等（以下简称案件）。</w:t>
      </w:r>
    </w:p>
    <w:p w14:paraId="4522B3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中央企业应当持续加强案件管理，明确责任主体，完善管理制度，健全工作机制，积极主动维权，切实防止国有资产损失。建立健全</w:t>
      </w:r>
      <w:proofErr w:type="gramStart"/>
      <w:r>
        <w:rPr>
          <w:rFonts w:ascii="宋体" w:eastAsia="宋体" w:hAnsi="宋体" w:cs="宋体" w:hint="eastAsia"/>
          <w:sz w:val="24"/>
        </w:rPr>
        <w:t>以案促管</w:t>
      </w:r>
      <w:proofErr w:type="gramEnd"/>
      <w:r>
        <w:rPr>
          <w:rFonts w:ascii="宋体" w:eastAsia="宋体" w:hAnsi="宋体" w:cs="宋体" w:hint="eastAsia"/>
          <w:sz w:val="24"/>
        </w:rPr>
        <w:t>机制，及时发现案件反映的管理问题，堵塞管理漏洞，提升管理水平，切实保障提质增效、稳健发展。</w:t>
      </w:r>
    </w:p>
    <w:p w14:paraId="5F544D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国务院国资委负责指导中央企业案件管理工作，建立健全法律、监督、追责等部门协同工作机制，加强对案件处理、备案等情况的监督检查，强化对重大案件的指导协调和督办。</w:t>
      </w:r>
    </w:p>
    <w:p w14:paraId="403FCD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组织职责</w:t>
      </w:r>
    </w:p>
    <w:p w14:paraId="6AB020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中央企业主要负责人切实履行法治建设第一责任人职责，加强对案件管理工作的领导，定期听取报告，强化机构、人员、经费等保障。</w:t>
      </w:r>
    </w:p>
    <w:p w14:paraId="01EA1B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中央企业总法律顾问牵头案件管理工作，研究解决重点难点问题，领导法</w:t>
      </w:r>
      <w:proofErr w:type="gramStart"/>
      <w:r>
        <w:rPr>
          <w:rFonts w:ascii="宋体" w:eastAsia="宋体" w:hAnsi="宋体" w:cs="宋体" w:hint="eastAsia"/>
          <w:sz w:val="24"/>
        </w:rPr>
        <w:t>务</w:t>
      </w:r>
      <w:proofErr w:type="gramEnd"/>
      <w:r>
        <w:rPr>
          <w:rFonts w:ascii="宋体" w:eastAsia="宋体" w:hAnsi="宋体" w:cs="宋体" w:hint="eastAsia"/>
          <w:sz w:val="24"/>
        </w:rPr>
        <w:t>管理部门完善工作机制，指导所属单位加强案件管理。</w:t>
      </w:r>
    </w:p>
    <w:p w14:paraId="0D2153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第八条 中央企业法</w:t>
      </w:r>
      <w:proofErr w:type="gramStart"/>
      <w:r>
        <w:rPr>
          <w:rFonts w:ascii="宋体" w:eastAsia="宋体" w:hAnsi="宋体" w:cs="宋体" w:hint="eastAsia"/>
          <w:sz w:val="24"/>
        </w:rPr>
        <w:t>务</w:t>
      </w:r>
      <w:proofErr w:type="gramEnd"/>
      <w:r>
        <w:rPr>
          <w:rFonts w:ascii="宋体" w:eastAsia="宋体" w:hAnsi="宋体" w:cs="宋体" w:hint="eastAsia"/>
          <w:sz w:val="24"/>
        </w:rPr>
        <w:t>管理部门负责拟订案件管理制度，组织开展案件应对，对案件反映的管理问题提出完善建议，选聘和管理法律服务中介机构，推动案件管理信息化建设等工作。</w:t>
      </w:r>
    </w:p>
    <w:p w14:paraId="527E10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中央企业业务和职能部门应当及时与法</w:t>
      </w:r>
      <w:proofErr w:type="gramStart"/>
      <w:r>
        <w:rPr>
          <w:rFonts w:ascii="宋体" w:eastAsia="宋体" w:hAnsi="宋体" w:cs="宋体" w:hint="eastAsia"/>
          <w:sz w:val="24"/>
        </w:rPr>
        <w:t>务</w:t>
      </w:r>
      <w:proofErr w:type="gramEnd"/>
      <w:r>
        <w:rPr>
          <w:rFonts w:ascii="宋体" w:eastAsia="宋体" w:hAnsi="宋体" w:cs="宋体" w:hint="eastAsia"/>
          <w:sz w:val="24"/>
        </w:rPr>
        <w:t>管理部门沟通可能引发案件的有关情况，配合开展证据收集、案情分析、法律论证、案件执行等工作，针对案件反映的管理问题完善相关制度，改进工作机制，推动</w:t>
      </w:r>
      <w:proofErr w:type="gramStart"/>
      <w:r>
        <w:rPr>
          <w:rFonts w:ascii="宋体" w:eastAsia="宋体" w:hAnsi="宋体" w:cs="宋体" w:hint="eastAsia"/>
          <w:sz w:val="24"/>
        </w:rPr>
        <w:t>以案促管</w:t>
      </w:r>
      <w:proofErr w:type="gramEnd"/>
      <w:r>
        <w:rPr>
          <w:rFonts w:ascii="宋体" w:eastAsia="宋体" w:hAnsi="宋体" w:cs="宋体" w:hint="eastAsia"/>
          <w:sz w:val="24"/>
        </w:rPr>
        <w:t>。</w:t>
      </w:r>
    </w:p>
    <w:p w14:paraId="49563D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中央企业应当建立案件管理人才选拔培养机制，鼓励法</w:t>
      </w:r>
      <w:proofErr w:type="gramStart"/>
      <w:r>
        <w:rPr>
          <w:rFonts w:ascii="宋体" w:eastAsia="宋体" w:hAnsi="宋体" w:cs="宋体" w:hint="eastAsia"/>
          <w:sz w:val="24"/>
        </w:rPr>
        <w:t>务</w:t>
      </w:r>
      <w:proofErr w:type="gramEnd"/>
      <w:r>
        <w:rPr>
          <w:rFonts w:ascii="宋体" w:eastAsia="宋体" w:hAnsi="宋体" w:cs="宋体" w:hint="eastAsia"/>
          <w:sz w:val="24"/>
        </w:rPr>
        <w:t>人员参与或者直接代理案件，持续提升案件管理工作水平。</w:t>
      </w:r>
    </w:p>
    <w:p w14:paraId="0C8FE5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管理机制</w:t>
      </w:r>
    </w:p>
    <w:p w14:paraId="076381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中央企业应当结合实际健全案件管理相关制度，明确责任主体、职责范围、管控措施、监督问责等内容。</w:t>
      </w:r>
    </w:p>
    <w:p w14:paraId="0F61EE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中央企业应当定期开展法律纠纷风险排查，建立重大风险预警机制，分类制定防控策略，完善应对预案，有效防范案件风险。</w:t>
      </w:r>
    </w:p>
    <w:p w14:paraId="3AF57F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中央企业发生案件应当及时采取措施，全面调查了解案情，做好法律分析、证据收集等工作，规范参加庭审活动，加强舆情监测处置。</w:t>
      </w:r>
    </w:p>
    <w:p w14:paraId="773590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中央企业应当结合国际化经营实际，建立健全涉外案件管理机制，加大涉外案件处理力度，切实维护境外国有资产安全。</w:t>
      </w:r>
    </w:p>
    <w:p w14:paraId="5CE616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中央企业应当通过诉讼、仲裁、调解、和解等多元化纠纷解决机制妥善处理案件。同一中央企业所属单位之间发生法律纠纷，可以通过内部调解等方式解决。</w:t>
      </w:r>
    </w:p>
    <w:p w14:paraId="01EAC9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中央企业应当建立案件预警机制，针对典型性和普遍性案件深入分析发案原因、潜在后果等，及时进行预警提示，切实采取防控措施。</w:t>
      </w:r>
    </w:p>
    <w:p w14:paraId="2743D5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中央企业应当加强历史遗留案件处理，研究制定处置方案，动态跟踪进展情况，积极采取有力措施，推动案件加快解决。</w:t>
      </w:r>
    </w:p>
    <w:p w14:paraId="7074E6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中央企业应当对处理完毕的案件及时进行总结分析，梳理案件管理经验，查找经营管理薄弱环节，通过法律意见书、建议函等形式，指导有关部</w:t>
      </w:r>
      <w:r>
        <w:rPr>
          <w:rFonts w:ascii="宋体" w:eastAsia="宋体" w:hAnsi="宋体" w:cs="宋体" w:hint="eastAsia"/>
          <w:sz w:val="24"/>
        </w:rPr>
        <w:lastRenderedPageBreak/>
        <w:t>门或者所属单位完善管理制度，堵塞管理漏洞。</w:t>
      </w:r>
    </w:p>
    <w:p w14:paraId="4FB26E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中央企业应当将案件管理情况作为法治建设重要内容，纳入对所属单位的考核评价。</w:t>
      </w:r>
    </w:p>
    <w:p w14:paraId="0B3DA7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中央企业应当建立上下贯通、全面覆盖、实时监测的案件管理信息系统，及时掌握案件情况，健全管理指标体系，加强数据统计分析，增强案件管理的针对性和有效性。</w:t>
      </w:r>
    </w:p>
    <w:p w14:paraId="574386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中央企业应当每年对案件情况进行汇总统计和研究分析，并于2月底前向国务院国资委报送上一年度案件综合分析报告。</w:t>
      </w:r>
    </w:p>
    <w:p w14:paraId="548D85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重大案件管理</w:t>
      </w:r>
    </w:p>
    <w:p w14:paraId="545499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中央企业应当建立重大案件管理制度，结合自身实际明确重大案件标准，完善案件应对机制，加大处理力度，推动妥善解决。</w:t>
      </w:r>
    </w:p>
    <w:p w14:paraId="4C88B1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中央企业发生以下重大案件，应当自立案、受理或者收到应诉通知书等材料之日起10个工作日内报国务院国资委备案：</w:t>
      </w:r>
    </w:p>
    <w:p w14:paraId="331AC9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（一）涉案金额达到5000万元人民币或者等值外币以上；</w:t>
      </w:r>
    </w:p>
    <w:p w14:paraId="25B55D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（二）涉案金额达到中央企业上一年度经审计净利润绝对值10%以上，且金额超过2000万元人民币或者等值外币；</w:t>
      </w:r>
    </w:p>
    <w:p w14:paraId="39CA62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（三）可能产生较大影响的群体性案件或者系列案件；</w:t>
      </w:r>
    </w:p>
    <w:p w14:paraId="243CC2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（四）涉及单位犯罪的刑事案件；</w:t>
      </w:r>
    </w:p>
    <w:p w14:paraId="49F381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（五）其他涉及中央企业重大权益或者具有重大影响的案件。</w:t>
      </w:r>
    </w:p>
    <w:p w14:paraId="1DC9B2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中央企业重大案件报备应当包括以下内容：</w:t>
      </w:r>
    </w:p>
    <w:p w14:paraId="5DD1FA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（一）当事人、案由、涉案金额、主要事实等基本案情；</w:t>
      </w:r>
    </w:p>
    <w:p w14:paraId="5B7269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（二）争议焦点、结果预判等法律分析意见；</w:t>
      </w:r>
    </w:p>
    <w:p w14:paraId="4F46A7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（三）采取的措施；</w:t>
      </w:r>
    </w:p>
    <w:p w14:paraId="649681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（四）下一步工作安排。</w:t>
      </w:r>
    </w:p>
    <w:p w14:paraId="7CED04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第二十五条 中央企业报备的重大案件处理完毕、取得生效法律文书后，应当在10个工作日内向国务院国资委书面报告。</w:t>
      </w:r>
    </w:p>
    <w:p w14:paraId="2BE011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中央企业应当将所属单位发生的、符合本办法第二十三条情形的重大案件当事人、涉案金额、工作进展等信息进行汇总，按月报国务院国资委备案。</w:t>
      </w:r>
    </w:p>
    <w:p w14:paraId="4DF976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中央企业应当建立重大案件督办机制，加强专业指导和监督检查，督促所属单位落实主体责任，妥善处理案件，依法维护权益。</w:t>
      </w:r>
    </w:p>
    <w:p w14:paraId="7648F6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中央企业之间发生重大案件，鼓励通过协商解决；协商不成的，可以报国务院国资</w:t>
      </w:r>
      <w:proofErr w:type="gramStart"/>
      <w:r>
        <w:rPr>
          <w:rFonts w:ascii="宋体" w:eastAsia="宋体" w:hAnsi="宋体" w:cs="宋体" w:hint="eastAsia"/>
          <w:sz w:val="24"/>
        </w:rPr>
        <w:t>委指导</w:t>
      </w:r>
      <w:proofErr w:type="gramEnd"/>
      <w:r>
        <w:rPr>
          <w:rFonts w:ascii="宋体" w:eastAsia="宋体" w:hAnsi="宋体" w:cs="宋体" w:hint="eastAsia"/>
          <w:sz w:val="24"/>
        </w:rPr>
        <w:t>协调。</w:t>
      </w:r>
    </w:p>
    <w:p w14:paraId="6831CB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中介机构管理</w:t>
      </w:r>
    </w:p>
    <w:p w14:paraId="595AC4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中央企业应当完善法律服务中介机构管理制度，科学确定选聘方式，明确选聘条件、流程等，确保依法合</w:t>
      </w:r>
      <w:proofErr w:type="gramStart"/>
      <w:r>
        <w:rPr>
          <w:rFonts w:ascii="宋体" w:eastAsia="宋体" w:hAnsi="宋体" w:cs="宋体" w:hint="eastAsia"/>
          <w:sz w:val="24"/>
        </w:rPr>
        <w:t>规</w:t>
      </w:r>
      <w:proofErr w:type="gramEnd"/>
      <w:r>
        <w:rPr>
          <w:rFonts w:ascii="宋体" w:eastAsia="宋体" w:hAnsi="宋体" w:cs="宋体" w:hint="eastAsia"/>
          <w:sz w:val="24"/>
        </w:rPr>
        <w:t>、公平公正。</w:t>
      </w:r>
    </w:p>
    <w:p w14:paraId="0A2D77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中央企业在案件处理过程中应当发挥主导作用，加强对法律服务中介机构的指导监督，有效整合内外部资源，及时掌握进展情况，切实强化对重大事项的审核把关，严格落实保密管理各项要求。</w:t>
      </w:r>
    </w:p>
    <w:p w14:paraId="0D5388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中央企业应当建立法律服务中介机构评价机制，根据专业能力、服务质量、工作效果、资信状况等进行动态管理，对不能胜任的及时调整。</w:t>
      </w:r>
    </w:p>
    <w:p w14:paraId="58A299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中央企业应当严格按照有关规定，规范使用风险代理，明确审批权限和程序，综合考虑案件难易程度、涉案金额等，明晰风险责任，合理确定费用。</w:t>
      </w:r>
    </w:p>
    <w:p w14:paraId="70F6BE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奖惩</w:t>
      </w:r>
    </w:p>
    <w:p w14:paraId="44FE06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中央企业应当建立健全案件管理激励机制，明确条件和标准，对在案件处理过程中避免或者挽回损失的部门、人员给予表彰和奖励。</w:t>
      </w:r>
    </w:p>
    <w:p w14:paraId="605BC9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中央企业在案件处理过程中，发现相关部门或者个人在经营管理中存在违规行为，造成资产损失或者其他严重不良后果的，应当开展责任追究；对涉嫌违纪违法的，按照规定移交相关部门或者机构处理。</w:t>
      </w:r>
    </w:p>
    <w:p w14:paraId="3C3F98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第三十五条 中央企业对有关人员在案件管理过程中玩忽职守、滥用职权、谋取私利，给企业造成资产损失或者其他严重不良后果的，应当按照规定追究相关人员责任。</w:t>
      </w:r>
    </w:p>
    <w:p w14:paraId="6EBB28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国务院国资委对中央企业违反本办法规定，因案件管理不到位造成损失的，可以约谈相关企业并责令整改；对因违规行为引发重大案件并造成重大损失的，根据有关规定在中央企业负责人经营业绩考核中扣减相应分值，并对相关人员开展责任追究；对涉嫌违纪违法的，按照规定移交相关部门或者机构处理。</w:t>
      </w:r>
    </w:p>
    <w:p w14:paraId="1D10E8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附则</w:t>
      </w:r>
    </w:p>
    <w:p w14:paraId="2CA4C6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地方国有资产监督管理机构可参照本办法，指导所出资企业加强案件管理工作。</w:t>
      </w:r>
    </w:p>
    <w:p w14:paraId="48563D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本办法由国务院国资委负责解释。</w:t>
      </w:r>
    </w:p>
    <w:p w14:paraId="2F802119"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第三十九条 本办法自2023年8月1日起施行。《中央企业重大法律纠纷案件管理暂行办法》（国资委令第11号）同时废止。</w:t>
      </w:r>
    </w:p>
    <w:p w14:paraId="61827806"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39.《商业银行不良资产监测和考核暂行办法》</w:t>
      </w:r>
      <w:r>
        <w:rPr>
          <w:rFonts w:ascii="宋体" w:eastAsia="宋体" w:hAnsi="宋体" w:cs="宋体" w:hint="eastAsia"/>
          <w:b/>
          <w:bCs/>
          <w:sz w:val="24"/>
        </w:rPr>
        <w:tab/>
      </w:r>
    </w:p>
    <w:p w14:paraId="654364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656074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406D88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加强商业银行持续、审慎、有效监管，促进商业银行完善内控制度，提高资产质量，防范风险，根据《中华人民共和国银行业监督管理法》、《中华人民共和国商业银行法》及其他有关法律、行政法规，制定本办法。</w:t>
      </w:r>
    </w:p>
    <w:p w14:paraId="4512FC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本办法适用于中国银行业监督管理委员会（以下简称银监会）各级监管机构对商业银行及其分支机构不良资产的监测和考核。</w:t>
      </w:r>
    </w:p>
    <w:p w14:paraId="045FC8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商业银行不良资产的监测和考核包括对不良贷款、非信贷资产和表外业务风险的全面监测和考核。</w:t>
      </w:r>
    </w:p>
    <w:p w14:paraId="69A7EE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不良贷款严格按照贷款五级分类标准执行，非信贷不良资产分类标准另行制定，制定前可参照贷款五级分类标准掌握。</w:t>
      </w:r>
    </w:p>
    <w:p w14:paraId="6A7BC9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不良资产的监测</w:t>
      </w:r>
    </w:p>
    <w:p w14:paraId="29EC04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商业银行应采取有效方式，做到对不良贷款的逐笔、实时监控，以及非信贷资产、表外业务风险变化情况的监测，并对重点机构和客户进行直接监测。</w:t>
      </w:r>
    </w:p>
    <w:p w14:paraId="5E75F7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银监</w:t>
      </w:r>
      <w:proofErr w:type="gramStart"/>
      <w:r>
        <w:rPr>
          <w:rFonts w:ascii="宋体" w:eastAsia="宋体" w:hAnsi="宋体" w:cs="宋体" w:hint="eastAsia"/>
          <w:sz w:val="24"/>
        </w:rPr>
        <w:t>会各级</w:t>
      </w:r>
      <w:proofErr w:type="gramEnd"/>
      <w:r>
        <w:rPr>
          <w:rFonts w:ascii="宋体" w:eastAsia="宋体" w:hAnsi="宋体" w:cs="宋体" w:hint="eastAsia"/>
          <w:sz w:val="24"/>
        </w:rPr>
        <w:t>监管机构应建立和完善对不良资产监测、考核制度。</w:t>
      </w:r>
    </w:p>
    <w:p w14:paraId="6E9A13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重点机构包括：不良</w:t>
      </w:r>
      <w:proofErr w:type="gramStart"/>
      <w:r>
        <w:rPr>
          <w:rFonts w:ascii="宋体" w:eastAsia="宋体" w:hAnsi="宋体" w:cs="宋体" w:hint="eastAsia"/>
          <w:sz w:val="24"/>
        </w:rPr>
        <w:t>贷款率前5名</w:t>
      </w:r>
      <w:proofErr w:type="gramEnd"/>
      <w:r>
        <w:rPr>
          <w:rFonts w:ascii="宋体" w:eastAsia="宋体" w:hAnsi="宋体" w:cs="宋体" w:hint="eastAsia"/>
          <w:sz w:val="24"/>
        </w:rPr>
        <w:t>的银行分支机构；不良贷款余额不减反增或不良贷款率不降反升的银行分支机构；非信贷资产预计损失率前5名的银行分支机构；表外业务管理混乱、发生违法违规行为的银行分支机构。</w:t>
      </w:r>
    </w:p>
    <w:p w14:paraId="27DEC4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重点客户包括：不良贷款余额在亿元以上的客户及拥有5家以上关联企业、合计贷款余额在亿元以上的集团客户。</w:t>
      </w:r>
    </w:p>
    <w:p w14:paraId="28336D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不良资产的分析</w:t>
      </w:r>
    </w:p>
    <w:p w14:paraId="580C67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银监</w:t>
      </w:r>
      <w:proofErr w:type="gramStart"/>
      <w:r>
        <w:rPr>
          <w:rFonts w:ascii="宋体" w:eastAsia="宋体" w:hAnsi="宋体" w:cs="宋体" w:hint="eastAsia"/>
          <w:sz w:val="24"/>
        </w:rPr>
        <w:t>会各级</w:t>
      </w:r>
      <w:proofErr w:type="gramEnd"/>
      <w:r>
        <w:rPr>
          <w:rFonts w:ascii="宋体" w:eastAsia="宋体" w:hAnsi="宋体" w:cs="宋体" w:hint="eastAsia"/>
          <w:sz w:val="24"/>
        </w:rPr>
        <w:t>监管机构、商业银行及其分支机构要按月对不良贷款、按季对不良资产进行分析，对银行风险状况和变化趋势</w:t>
      </w:r>
      <w:proofErr w:type="gramStart"/>
      <w:r>
        <w:rPr>
          <w:rFonts w:ascii="宋体" w:eastAsia="宋体" w:hAnsi="宋体" w:cs="宋体" w:hint="eastAsia"/>
          <w:sz w:val="24"/>
        </w:rPr>
        <w:t>作出</w:t>
      </w:r>
      <w:proofErr w:type="gramEnd"/>
      <w:r>
        <w:rPr>
          <w:rFonts w:ascii="宋体" w:eastAsia="宋体" w:hAnsi="宋体" w:cs="宋体" w:hint="eastAsia"/>
          <w:sz w:val="24"/>
        </w:rPr>
        <w:t>总体判断和评价，对</w:t>
      </w:r>
      <w:r>
        <w:rPr>
          <w:rFonts w:ascii="宋体" w:eastAsia="宋体" w:hAnsi="宋体" w:cs="宋体" w:hint="eastAsia"/>
          <w:sz w:val="24"/>
        </w:rPr>
        <w:lastRenderedPageBreak/>
        <w:t>风险状况严重和变化明显的要重点说明，并形成分析报告。不良资产分析包括不良贷款分析、非信贷资产风险分析和表外业务风险分析三个部分。</w:t>
      </w:r>
    </w:p>
    <w:p w14:paraId="6EF4FE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不良贷款分析。主要包括以下内容：</w:t>
      </w:r>
    </w:p>
    <w:p w14:paraId="47C12A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（一）基本情况。本期贷款余额、不良贷款余额及比例以及与上期和年初比较的变化情况。如在整体趋势、地区分布及行业分布方面出现了重大变动和异常情况，应对其原因进行重点分析。</w:t>
      </w:r>
    </w:p>
    <w:p w14:paraId="587EDA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（二）地区和客户结构情况。各商业银行分别列表说明和分析不良贷款余额、不良贷款比例较高的前10名一级分行，以及贷款余额、不良贷款余额最大的10家客户。</w:t>
      </w:r>
      <w:proofErr w:type="gramStart"/>
      <w:r>
        <w:rPr>
          <w:rFonts w:ascii="宋体" w:eastAsia="宋体" w:hAnsi="宋体" w:cs="宋体" w:hint="eastAsia"/>
          <w:sz w:val="24"/>
        </w:rPr>
        <w:t>各银监</w:t>
      </w:r>
      <w:proofErr w:type="gramEnd"/>
      <w:r>
        <w:rPr>
          <w:rFonts w:ascii="宋体" w:eastAsia="宋体" w:hAnsi="宋体" w:cs="宋体" w:hint="eastAsia"/>
          <w:sz w:val="24"/>
        </w:rPr>
        <w:t>局根据实际情况自行确定地区和客户数。</w:t>
      </w:r>
    </w:p>
    <w:p w14:paraId="15A286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（三）不良贷款清收转化情况。可分别按现金清收、贷款核销、以资抵债和其他方式进行分析。</w:t>
      </w:r>
    </w:p>
    <w:p w14:paraId="170432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（四）新发放贷款质量情况。对2003年以来发放贷款质量和当年新发放贷款情况进行持续监测和分析。</w:t>
      </w:r>
    </w:p>
    <w:p w14:paraId="171C5E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新发生不良贷款的内、外部原因分析及典型案例。外部原因包括企业经营管理不善或破产倒闭、企业逃废银行债务、企业违法违规、地方政府行政干预等；内部原因包括违反贷款“三查”制度、违反贷款授权授信规定、银行员工违法等。</w:t>
      </w:r>
    </w:p>
    <w:p w14:paraId="367255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（六）对不良贷款的变化趋势进行预测，提出继续抓好不良贷款管理或监管工作的措施和意见。</w:t>
      </w:r>
    </w:p>
    <w:p w14:paraId="5B51AF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非信贷资产风险分析。主要包括以下内容：</w:t>
      </w:r>
    </w:p>
    <w:p w14:paraId="67C787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（一）基本情况。</w:t>
      </w:r>
      <w:proofErr w:type="gramStart"/>
      <w:r>
        <w:rPr>
          <w:rFonts w:ascii="宋体" w:eastAsia="宋体" w:hAnsi="宋体" w:cs="宋体" w:hint="eastAsia"/>
          <w:sz w:val="24"/>
        </w:rPr>
        <w:t>本期非</w:t>
      </w:r>
      <w:proofErr w:type="gramEnd"/>
      <w:r>
        <w:rPr>
          <w:rFonts w:ascii="宋体" w:eastAsia="宋体" w:hAnsi="宋体" w:cs="宋体" w:hint="eastAsia"/>
          <w:sz w:val="24"/>
        </w:rPr>
        <w:t>信贷资产余额，不良资产、预计</w:t>
      </w:r>
      <w:proofErr w:type="gramStart"/>
      <w:r>
        <w:rPr>
          <w:rFonts w:ascii="宋体" w:eastAsia="宋体" w:hAnsi="宋体" w:cs="宋体" w:hint="eastAsia"/>
          <w:sz w:val="24"/>
        </w:rPr>
        <w:t>损失余额</w:t>
      </w:r>
      <w:proofErr w:type="gramEnd"/>
      <w:r>
        <w:rPr>
          <w:rFonts w:ascii="宋体" w:eastAsia="宋体" w:hAnsi="宋体" w:cs="宋体" w:hint="eastAsia"/>
          <w:sz w:val="24"/>
        </w:rPr>
        <w:t>及比例，以及与上期和年初比较的变化情况。如</w:t>
      </w:r>
      <w:proofErr w:type="gramStart"/>
      <w:r>
        <w:rPr>
          <w:rFonts w:ascii="宋体" w:eastAsia="宋体" w:hAnsi="宋体" w:cs="宋体" w:hint="eastAsia"/>
          <w:sz w:val="24"/>
        </w:rPr>
        <w:t>本期非</w:t>
      </w:r>
      <w:proofErr w:type="gramEnd"/>
      <w:r>
        <w:rPr>
          <w:rFonts w:ascii="宋体" w:eastAsia="宋体" w:hAnsi="宋体" w:cs="宋体" w:hint="eastAsia"/>
          <w:sz w:val="24"/>
        </w:rPr>
        <w:t>信贷不良资产及预计损失变动较大，应对其原因进行分析，特别是</w:t>
      </w:r>
      <w:proofErr w:type="gramStart"/>
      <w:r>
        <w:rPr>
          <w:rFonts w:ascii="宋体" w:eastAsia="宋体" w:hAnsi="宋体" w:cs="宋体" w:hint="eastAsia"/>
          <w:sz w:val="24"/>
        </w:rPr>
        <w:t>各类待处理</w:t>
      </w:r>
      <w:proofErr w:type="gramEnd"/>
      <w:r>
        <w:rPr>
          <w:rFonts w:ascii="宋体" w:eastAsia="宋体" w:hAnsi="宋体" w:cs="宋体" w:hint="eastAsia"/>
          <w:sz w:val="24"/>
        </w:rPr>
        <w:t>资产、待清理资产、应收科目核算的资金变化情况。</w:t>
      </w:r>
    </w:p>
    <w:p w14:paraId="6CAC52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（二）地区结构分析。各商业银行分别列表说明和分析非信贷不良资产、预计</w:t>
      </w:r>
      <w:proofErr w:type="gramStart"/>
      <w:r>
        <w:rPr>
          <w:rFonts w:ascii="宋体" w:eastAsia="宋体" w:hAnsi="宋体" w:cs="宋体" w:hint="eastAsia"/>
          <w:sz w:val="24"/>
        </w:rPr>
        <w:t>损失余额及占比较</w:t>
      </w:r>
      <w:proofErr w:type="gramEnd"/>
      <w:r>
        <w:rPr>
          <w:rFonts w:ascii="宋体" w:eastAsia="宋体" w:hAnsi="宋体" w:cs="宋体" w:hint="eastAsia"/>
          <w:sz w:val="24"/>
        </w:rPr>
        <w:t>高的前10名一级分行。</w:t>
      </w:r>
      <w:proofErr w:type="gramStart"/>
      <w:r>
        <w:rPr>
          <w:rFonts w:ascii="宋体" w:eastAsia="宋体" w:hAnsi="宋体" w:cs="宋体" w:hint="eastAsia"/>
          <w:sz w:val="24"/>
        </w:rPr>
        <w:t>各银监</w:t>
      </w:r>
      <w:proofErr w:type="gramEnd"/>
      <w:r>
        <w:rPr>
          <w:rFonts w:ascii="宋体" w:eastAsia="宋体" w:hAnsi="宋体" w:cs="宋体" w:hint="eastAsia"/>
          <w:sz w:val="24"/>
        </w:rPr>
        <w:t>局可根据实际情况自行确定</w:t>
      </w:r>
      <w:r>
        <w:rPr>
          <w:rFonts w:ascii="宋体" w:eastAsia="宋体" w:hAnsi="宋体" w:cs="宋体" w:hint="eastAsia"/>
          <w:sz w:val="24"/>
        </w:rPr>
        <w:lastRenderedPageBreak/>
        <w:t>地区数。</w:t>
      </w:r>
    </w:p>
    <w:p w14:paraId="29E15A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（三）清收、</w:t>
      </w:r>
      <w:proofErr w:type="gramStart"/>
      <w:r>
        <w:rPr>
          <w:rFonts w:ascii="宋体" w:eastAsia="宋体" w:hAnsi="宋体" w:cs="宋体" w:hint="eastAsia"/>
          <w:sz w:val="24"/>
        </w:rPr>
        <w:t>处置非</w:t>
      </w:r>
      <w:proofErr w:type="gramEnd"/>
      <w:r>
        <w:rPr>
          <w:rFonts w:ascii="宋体" w:eastAsia="宋体" w:hAnsi="宋体" w:cs="宋体" w:hint="eastAsia"/>
          <w:sz w:val="24"/>
        </w:rPr>
        <w:t>信贷不良资产分析。</w:t>
      </w:r>
    </w:p>
    <w:p w14:paraId="45535B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（四）2003年以来新发生非信贷不良资产原因分析，特别是内部风险控制方面存在的问题及典型案例。</w:t>
      </w:r>
    </w:p>
    <w:p w14:paraId="29F96B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（五）非信贷不良资产及预计损失变化趋势的预测，以及继续抓好非信贷资产管理或监管工作的措施和意见。</w:t>
      </w:r>
    </w:p>
    <w:p w14:paraId="609A61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表外业务风险分析。主要包括以下内容：</w:t>
      </w:r>
    </w:p>
    <w:p w14:paraId="1D959B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（一）基本情况。本期各项表外业务余额，垫款（或损失）余额及占比，以及与上期和年初比较的变化情况；对</w:t>
      </w:r>
      <w:proofErr w:type="gramStart"/>
      <w:r>
        <w:rPr>
          <w:rFonts w:ascii="宋体" w:eastAsia="宋体" w:hAnsi="宋体" w:cs="宋体" w:hint="eastAsia"/>
          <w:sz w:val="24"/>
        </w:rPr>
        <w:t>垫款余额</w:t>
      </w:r>
      <w:proofErr w:type="gramEnd"/>
      <w:r>
        <w:rPr>
          <w:rFonts w:ascii="宋体" w:eastAsia="宋体" w:hAnsi="宋体" w:cs="宋体" w:hint="eastAsia"/>
          <w:sz w:val="24"/>
        </w:rPr>
        <w:t>上升的表外业务要重点说明。</w:t>
      </w:r>
    </w:p>
    <w:p w14:paraId="0F6C13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（二）地区结构分析。各商业银行分别列表说明和分析表外业务发展较快和发生垫款较多的前10名一级分行。</w:t>
      </w:r>
      <w:proofErr w:type="gramStart"/>
      <w:r>
        <w:rPr>
          <w:rFonts w:ascii="宋体" w:eastAsia="宋体" w:hAnsi="宋体" w:cs="宋体" w:hint="eastAsia"/>
          <w:sz w:val="24"/>
        </w:rPr>
        <w:t>各银监</w:t>
      </w:r>
      <w:proofErr w:type="gramEnd"/>
      <w:r>
        <w:rPr>
          <w:rFonts w:ascii="宋体" w:eastAsia="宋体" w:hAnsi="宋体" w:cs="宋体" w:hint="eastAsia"/>
          <w:sz w:val="24"/>
        </w:rPr>
        <w:t>局可根据实际情况自行确定地区数。</w:t>
      </w:r>
    </w:p>
    <w:p w14:paraId="40304F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（三）表外业务垫款形成原因的分析，特别是内部风险控制方面存在的问题及典型案例。</w:t>
      </w:r>
    </w:p>
    <w:p w14:paraId="1862C9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（四）表外业务垫款变化趋势的预测，以及继续抓好表外业务管理或监管的措施和意见。</w:t>
      </w:r>
    </w:p>
    <w:p w14:paraId="20E2D8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不良资产的考核</w:t>
      </w:r>
    </w:p>
    <w:p w14:paraId="39A48C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银监</w:t>
      </w:r>
      <w:proofErr w:type="gramStart"/>
      <w:r>
        <w:rPr>
          <w:rFonts w:ascii="宋体" w:eastAsia="宋体" w:hAnsi="宋体" w:cs="宋体" w:hint="eastAsia"/>
          <w:sz w:val="24"/>
        </w:rPr>
        <w:t>会各级</w:t>
      </w:r>
      <w:proofErr w:type="gramEnd"/>
      <w:r>
        <w:rPr>
          <w:rFonts w:ascii="宋体" w:eastAsia="宋体" w:hAnsi="宋体" w:cs="宋体" w:hint="eastAsia"/>
          <w:sz w:val="24"/>
        </w:rPr>
        <w:t>监管机构要按季对商业银行及其分支机构不良资产及管理情况进行考核。</w:t>
      </w:r>
    </w:p>
    <w:p w14:paraId="78AA90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不良资产考核分为对贷款质量、非信贷资产质量和表外业务质量的考核。考核内容包括对不良资产的余额和比例的考核，并从横比、纵比两方面反映被考核银行的进步度。</w:t>
      </w:r>
    </w:p>
    <w:p w14:paraId="426BC7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贷款质量考核指标包括不良贷款比例、不良贷款比例变化、不良贷款余额变化、不良贷款余额变化率、不良贷款余额变化幅度、不良贷款比例变化幅度和现金清收进步率。</w:t>
      </w:r>
    </w:p>
    <w:p w14:paraId="3BDFCF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非信贷资产质量考核指标包括非信贷不良资产比例、非信贷不良资产比例变</w:t>
      </w:r>
      <w:r>
        <w:rPr>
          <w:rFonts w:ascii="宋体" w:eastAsia="宋体" w:hAnsi="宋体" w:cs="宋体" w:hint="eastAsia"/>
          <w:sz w:val="24"/>
        </w:rPr>
        <w:lastRenderedPageBreak/>
        <w:t>化、非信贷不良资产余额变化、非信贷不良资产余额变化率、非信贷不良资产余额变化幅度和非信贷不良资产比例变化幅度。</w:t>
      </w:r>
    </w:p>
    <w:p w14:paraId="141E42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表外业务质量考核指标包括表外业务垫款比例、垫款比例变化、</w:t>
      </w:r>
      <w:proofErr w:type="gramStart"/>
      <w:r>
        <w:rPr>
          <w:rFonts w:ascii="宋体" w:eastAsia="宋体" w:hAnsi="宋体" w:cs="宋体" w:hint="eastAsia"/>
          <w:sz w:val="24"/>
        </w:rPr>
        <w:t>垫款余额</w:t>
      </w:r>
      <w:proofErr w:type="gramEnd"/>
      <w:r>
        <w:rPr>
          <w:rFonts w:ascii="宋体" w:eastAsia="宋体" w:hAnsi="宋体" w:cs="宋体" w:hint="eastAsia"/>
          <w:sz w:val="24"/>
        </w:rPr>
        <w:t>变化、</w:t>
      </w:r>
      <w:proofErr w:type="gramStart"/>
      <w:r>
        <w:rPr>
          <w:rFonts w:ascii="宋体" w:eastAsia="宋体" w:hAnsi="宋体" w:cs="宋体" w:hint="eastAsia"/>
          <w:sz w:val="24"/>
        </w:rPr>
        <w:t>垫款余额</w:t>
      </w:r>
      <w:proofErr w:type="gramEnd"/>
      <w:r>
        <w:rPr>
          <w:rFonts w:ascii="宋体" w:eastAsia="宋体" w:hAnsi="宋体" w:cs="宋体" w:hint="eastAsia"/>
          <w:sz w:val="24"/>
        </w:rPr>
        <w:t>变化率、</w:t>
      </w:r>
      <w:proofErr w:type="gramStart"/>
      <w:r>
        <w:rPr>
          <w:rFonts w:ascii="宋体" w:eastAsia="宋体" w:hAnsi="宋体" w:cs="宋体" w:hint="eastAsia"/>
          <w:sz w:val="24"/>
        </w:rPr>
        <w:t>垫款余额</w:t>
      </w:r>
      <w:proofErr w:type="gramEnd"/>
      <w:r>
        <w:rPr>
          <w:rFonts w:ascii="宋体" w:eastAsia="宋体" w:hAnsi="宋体" w:cs="宋体" w:hint="eastAsia"/>
          <w:sz w:val="24"/>
        </w:rPr>
        <w:t>变化幅度和垫款比例变化幅度。</w:t>
      </w:r>
    </w:p>
    <w:p w14:paraId="67E860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银监</w:t>
      </w:r>
      <w:proofErr w:type="gramStart"/>
      <w:r>
        <w:rPr>
          <w:rFonts w:ascii="宋体" w:eastAsia="宋体" w:hAnsi="宋体" w:cs="宋体" w:hint="eastAsia"/>
          <w:sz w:val="24"/>
        </w:rPr>
        <w:t>会各级</w:t>
      </w:r>
      <w:proofErr w:type="gramEnd"/>
      <w:r>
        <w:rPr>
          <w:rFonts w:ascii="宋体" w:eastAsia="宋体" w:hAnsi="宋体" w:cs="宋体" w:hint="eastAsia"/>
          <w:sz w:val="24"/>
        </w:rPr>
        <w:t>监管机构根据对商业银行不良资产考核进步度情况，按季对商业银行不良资产及管理情况</w:t>
      </w:r>
      <w:proofErr w:type="gramStart"/>
      <w:r>
        <w:rPr>
          <w:rFonts w:ascii="宋体" w:eastAsia="宋体" w:hAnsi="宋体" w:cs="宋体" w:hint="eastAsia"/>
          <w:sz w:val="24"/>
        </w:rPr>
        <w:t>作出</w:t>
      </w:r>
      <w:proofErr w:type="gramEnd"/>
      <w:r>
        <w:rPr>
          <w:rFonts w:ascii="宋体" w:eastAsia="宋体" w:hAnsi="宋体" w:cs="宋体" w:hint="eastAsia"/>
          <w:sz w:val="24"/>
        </w:rPr>
        <w:t>综合评价，并按季上报不良资产考核报告。</w:t>
      </w:r>
    </w:p>
    <w:p w14:paraId="58CC66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不良资产考核结果将作为商业银行年度考核评价的重要参考。</w:t>
      </w:r>
    </w:p>
    <w:p w14:paraId="34812F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银监</w:t>
      </w:r>
      <w:proofErr w:type="gramStart"/>
      <w:r>
        <w:rPr>
          <w:rFonts w:ascii="宋体" w:eastAsia="宋体" w:hAnsi="宋体" w:cs="宋体" w:hint="eastAsia"/>
          <w:sz w:val="24"/>
        </w:rPr>
        <w:t>会各级</w:t>
      </w:r>
      <w:proofErr w:type="gramEnd"/>
      <w:r>
        <w:rPr>
          <w:rFonts w:ascii="宋体" w:eastAsia="宋体" w:hAnsi="宋体" w:cs="宋体" w:hint="eastAsia"/>
          <w:sz w:val="24"/>
        </w:rPr>
        <w:t>监管机构应每季度或根据风险状况不定期采取约见会谈的形式，听取辖内商业银行不良资产变化情况的汇报，并向其通报不良资产考核结果，提出防范化解不良资产的意见。</w:t>
      </w:r>
    </w:p>
    <w:p w14:paraId="5B1554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数据、资料来源及分析、考核报告的上报时间</w:t>
      </w:r>
    </w:p>
    <w:p w14:paraId="5C5E37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不良资产分析和考核报告的数据和资料来源于非现场监管统计报表、银监会要求的其他统计报表以及商业银行报送的不良资产分析报告。</w:t>
      </w:r>
    </w:p>
    <w:p w14:paraId="2578B5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银监</w:t>
      </w:r>
      <w:proofErr w:type="gramStart"/>
      <w:r>
        <w:rPr>
          <w:rFonts w:ascii="宋体" w:eastAsia="宋体" w:hAnsi="宋体" w:cs="宋体" w:hint="eastAsia"/>
          <w:sz w:val="24"/>
        </w:rPr>
        <w:t>会各级</w:t>
      </w:r>
      <w:proofErr w:type="gramEnd"/>
      <w:r>
        <w:rPr>
          <w:rFonts w:ascii="宋体" w:eastAsia="宋体" w:hAnsi="宋体" w:cs="宋体" w:hint="eastAsia"/>
          <w:sz w:val="24"/>
        </w:rPr>
        <w:t>监管机构根据日常掌握的情况，并通过现场检查对重点数据进行核实。如有重大调整，应在分析考核报告中予以说明。</w:t>
      </w:r>
    </w:p>
    <w:p w14:paraId="22CD95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各商业银行总行每月15日前向银监会报送上月不良贷款分析报告，并分别于季后20日之前、年后30日之前上报不良资产季度、年度分析报告。</w:t>
      </w:r>
    </w:p>
    <w:p w14:paraId="43ECBC52"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每月15日前向银监会报送上月不良贷款分析报告，并分别于季后20日之前、年后30日之前上报不良资产季度、年度分析和考核报告。如辖内不良资产情况出现重大变动，应及时报告。商业银行分支机构分析报告的上报时间</w:t>
      </w:r>
      <w:proofErr w:type="gramStart"/>
      <w:r>
        <w:rPr>
          <w:rFonts w:ascii="宋体" w:eastAsia="宋体" w:hAnsi="宋体" w:cs="宋体" w:hint="eastAsia"/>
          <w:sz w:val="24"/>
        </w:rPr>
        <w:t>由各银监</w:t>
      </w:r>
      <w:proofErr w:type="gramEnd"/>
      <w:r>
        <w:rPr>
          <w:rFonts w:ascii="宋体" w:eastAsia="宋体" w:hAnsi="宋体" w:cs="宋体" w:hint="eastAsia"/>
          <w:sz w:val="24"/>
        </w:rPr>
        <w:t>局确定。</w:t>
      </w:r>
    </w:p>
    <w:p w14:paraId="6C015C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不良资产管理及监管责任</w:t>
      </w:r>
    </w:p>
    <w:p w14:paraId="0B4466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商业银行应加强不良资产管理，按时向银监</w:t>
      </w:r>
      <w:proofErr w:type="gramStart"/>
      <w:r>
        <w:rPr>
          <w:rFonts w:ascii="宋体" w:eastAsia="宋体" w:hAnsi="宋体" w:cs="宋体" w:hint="eastAsia"/>
          <w:sz w:val="24"/>
        </w:rPr>
        <w:t>会各级</w:t>
      </w:r>
      <w:proofErr w:type="gramEnd"/>
      <w:r>
        <w:rPr>
          <w:rFonts w:ascii="宋体" w:eastAsia="宋体" w:hAnsi="宋体" w:cs="宋体" w:hint="eastAsia"/>
          <w:sz w:val="24"/>
        </w:rPr>
        <w:t>监管机构报送不良资产分析报告，重大情况及时上报，并确保不良资产数据真实、准确，原因分析全面、深入，趋势分析合理、科学，措施及时、有效。</w:t>
      </w:r>
    </w:p>
    <w:p w14:paraId="5A142B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第二十条 对商业银行及其分支机构不按本办法要求及时报送报告或对重大问题隐瞒不报的，银监会按照《中华人民共和国银行业监督管理法》、《中华人民共和国商业银行法》、《金融违法行为处罚办法》等法律、法规及相关金融规章的规定，予以处罚。</w:t>
      </w:r>
    </w:p>
    <w:p w14:paraId="52D2BD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对发生违法违规行为的机构主要负责人及有关责任人，银监会将依据有关规定给予警告、罚款、取消高级管理人员任职资格，或按干部管理权限责令商业银行给予纪律处分；构成违法犯罪的，依法追究责任。</w:t>
      </w:r>
    </w:p>
    <w:p w14:paraId="79BFAD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银监</w:t>
      </w:r>
      <w:proofErr w:type="gramStart"/>
      <w:r>
        <w:rPr>
          <w:rFonts w:ascii="宋体" w:eastAsia="宋体" w:hAnsi="宋体" w:cs="宋体" w:hint="eastAsia"/>
          <w:sz w:val="24"/>
        </w:rPr>
        <w:t>会各级</w:t>
      </w:r>
      <w:proofErr w:type="gramEnd"/>
      <w:r>
        <w:rPr>
          <w:rFonts w:ascii="宋体" w:eastAsia="宋体" w:hAnsi="宋体" w:cs="宋体" w:hint="eastAsia"/>
          <w:sz w:val="24"/>
        </w:rPr>
        <w:t>监管机构应按照信贷资产、非信贷资产和表外业务建立专业化监管人员责任制，及时向上级机构报送辖内商业银行不良资产分析和考核报告。</w:t>
      </w:r>
    </w:p>
    <w:p w14:paraId="496E41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对不良资产严重、经营管理不善、发生重大案件等问题的商业银行及其分支机构，银监</w:t>
      </w:r>
      <w:proofErr w:type="gramStart"/>
      <w:r>
        <w:rPr>
          <w:rFonts w:ascii="宋体" w:eastAsia="宋体" w:hAnsi="宋体" w:cs="宋体" w:hint="eastAsia"/>
          <w:sz w:val="24"/>
        </w:rPr>
        <w:t>会各级</w:t>
      </w:r>
      <w:proofErr w:type="gramEnd"/>
      <w:r>
        <w:rPr>
          <w:rFonts w:ascii="宋体" w:eastAsia="宋体" w:hAnsi="宋体" w:cs="宋体" w:hint="eastAsia"/>
          <w:sz w:val="24"/>
        </w:rPr>
        <w:t>监管机构应采取有效的监管措施，包括暂停审批机构设立、升格、新业务开办等。</w:t>
      </w:r>
    </w:p>
    <w:p w14:paraId="25D046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对不按要求及时上报不良资产分析和考核报告的监管部门，上级机构将对其通报批评；对重大问题隐瞒不报的，依据有关规定给予行政处分；对构成犯罪的，依法追究责任。</w:t>
      </w:r>
    </w:p>
    <w:p w14:paraId="42209E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附则</w:t>
      </w:r>
    </w:p>
    <w:p w14:paraId="785E84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第二十四 </w:t>
      </w:r>
      <w:proofErr w:type="gramStart"/>
      <w:r>
        <w:rPr>
          <w:rFonts w:ascii="宋体" w:eastAsia="宋体" w:hAnsi="宋体" w:cs="宋体" w:hint="eastAsia"/>
          <w:sz w:val="24"/>
        </w:rPr>
        <w:t>条各商业银行</w:t>
      </w:r>
      <w:proofErr w:type="gramEnd"/>
      <w:r>
        <w:rPr>
          <w:rFonts w:ascii="宋体" w:eastAsia="宋体" w:hAnsi="宋体" w:cs="宋体" w:hint="eastAsia"/>
          <w:sz w:val="24"/>
        </w:rPr>
        <w:t>可根据本办法制定相应的实施细则。</w:t>
      </w:r>
    </w:p>
    <w:p w14:paraId="5D174E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 条银监会可根据监管的实际情况，对本办法进行调整和修改，以保证监管的有效性。</w:t>
      </w:r>
    </w:p>
    <w:p w14:paraId="6228B0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本办法由银监会负责解释。</w:t>
      </w:r>
    </w:p>
    <w:p w14:paraId="4E17205A"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第二十七条 本办法自公布之日起施行。</w:t>
      </w:r>
      <w:r>
        <w:rPr>
          <w:rFonts w:ascii="宋体" w:eastAsia="宋体" w:hAnsi="宋体" w:cs="宋体" w:hint="eastAsia"/>
          <w:sz w:val="24"/>
        </w:rPr>
        <w:tab/>
      </w:r>
    </w:p>
    <w:p w14:paraId="6840EA65"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40.《商业银行市场风险管理指引》</w:t>
      </w:r>
      <w:r>
        <w:rPr>
          <w:rFonts w:ascii="宋体" w:eastAsia="宋体" w:hAnsi="宋体" w:cs="宋体" w:hint="eastAsia"/>
          <w:b/>
          <w:bCs/>
          <w:sz w:val="24"/>
        </w:rPr>
        <w:tab/>
      </w:r>
    </w:p>
    <w:p w14:paraId="1D6D0C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7B8141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文号：中国银行业监督管理委员会令2004年第10号</w:t>
      </w:r>
    </w:p>
    <w:p w14:paraId="28AD53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（2004年12月16日中国银行业监督管理委员会第30次主席会议通过。2004年12月29日中国银行业监督管理委员会令2004年第10号公布，自2005年3月1日起施行。）</w:t>
      </w:r>
    </w:p>
    <w:p w14:paraId="1C6669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1FFA36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为加强商业银行的市场风险管理，根据《中华人民共和国银行业监督管理法》、《中华人民共和国商业银行法》以及其他有关法律和行政法规，制定本指引。</w:t>
      </w:r>
    </w:p>
    <w:p w14:paraId="5D12A6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本指引所称商业银行是指在中华人民共和国境内依法设立的商业银行，包括中资商业银行、外资独资银行和中外合资银行。</w:t>
      </w:r>
    </w:p>
    <w:p w14:paraId="2F85E0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本指引所称市场风险是指因市场价格（利率、汇率、股票价格和商品价格）的不利变动而使银行表内和表外业务发生损失的风险。市场风险存在于银行的交易和</w:t>
      </w:r>
      <w:proofErr w:type="gramStart"/>
      <w:r>
        <w:rPr>
          <w:rFonts w:ascii="宋体" w:eastAsia="宋体" w:hAnsi="宋体" w:cs="宋体" w:hint="eastAsia"/>
          <w:sz w:val="24"/>
        </w:rPr>
        <w:t>非交易</w:t>
      </w:r>
      <w:proofErr w:type="gramEnd"/>
      <w:r>
        <w:rPr>
          <w:rFonts w:ascii="宋体" w:eastAsia="宋体" w:hAnsi="宋体" w:cs="宋体" w:hint="eastAsia"/>
          <w:sz w:val="24"/>
        </w:rPr>
        <w:t>业务中。</w:t>
      </w:r>
    </w:p>
    <w:p w14:paraId="3E02AC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市场风险可以分为利率风险、汇率风险（包括黄金）、股票价格风险和商品价格风险，分别是指由于利率、汇率、股票价格和商品价格的不利变动所带来的风险。利率风险按照来源的不同，可以分为重新定价风险、收益率曲线风险、基准风险和期权性风险。</w:t>
      </w:r>
    </w:p>
    <w:p w14:paraId="07902E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前款所称商品是指可以在二级市场上交易的某些实物产品，如农产品、矿产品（包括石油）和贵金属（不包括黄金）等。</w:t>
      </w:r>
    </w:p>
    <w:p w14:paraId="414FA1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市场风险管理是识别、计量、监测和控制市场风险的全过程。市场风险管理的目标是通过将市场风险控制在商业银行可以承受的合理范围内，实现经风险调整的收益率的最大化。</w:t>
      </w:r>
    </w:p>
    <w:p w14:paraId="26ED74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商业银行应当充分识别、准确计量、持续监测和适当控制所有交易和</w:t>
      </w:r>
      <w:proofErr w:type="gramStart"/>
      <w:r>
        <w:rPr>
          <w:rFonts w:ascii="宋体" w:eastAsia="宋体" w:hAnsi="宋体" w:cs="宋体" w:hint="eastAsia"/>
          <w:sz w:val="24"/>
        </w:rPr>
        <w:t>非交易</w:t>
      </w:r>
      <w:proofErr w:type="gramEnd"/>
      <w:r>
        <w:rPr>
          <w:rFonts w:ascii="宋体" w:eastAsia="宋体" w:hAnsi="宋体" w:cs="宋体" w:hint="eastAsia"/>
          <w:sz w:val="24"/>
        </w:rPr>
        <w:t>业务中的市场风险，确保在合理的市场风险水平之下安全、稳健经营。商业银行</w:t>
      </w:r>
      <w:r>
        <w:rPr>
          <w:rFonts w:ascii="宋体" w:eastAsia="宋体" w:hAnsi="宋体" w:cs="宋体" w:hint="eastAsia"/>
          <w:sz w:val="24"/>
        </w:rPr>
        <w:lastRenderedPageBreak/>
        <w:t>所承担的市场风险水平应当与其市场风险管理能力和资本实力相匹配。</w:t>
      </w:r>
    </w:p>
    <w:p w14:paraId="7E9F04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为了确保有效实施市场风险管理，商业银行应当将市场风险的识别、计量、监测和控制与全行的战略规划、业务决策和财务预算等经营管理活动进行有机结合。</w:t>
      </w:r>
    </w:p>
    <w:p w14:paraId="3574B4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中国银行业监督管理委员会（以下简称银监会）依法对商业银行的市场风险水平和市场风险管理体系实施监督管理。银监会应当督促商业银行有效地识别、计量、监测和控制各项业务所承担的各类市场风险。</w:t>
      </w:r>
    </w:p>
    <w:p w14:paraId="594F74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市场风险管理</w:t>
      </w:r>
    </w:p>
    <w:p w14:paraId="5835F7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商业银行应当按照本指引要求，建立与本行的业务性质、规模和复杂程度相适应的、完善的、可靠的市场风险管理体系。市场风险管理体系包括如下基本要素：</w:t>
      </w:r>
    </w:p>
    <w:p w14:paraId="296F18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（一）董事会和高级管理层的有效监控；</w:t>
      </w:r>
    </w:p>
    <w:p w14:paraId="25FE9D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（二）完善的市场风险管理政策和程序；</w:t>
      </w:r>
    </w:p>
    <w:p w14:paraId="33E6A7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（三）完善的市场风险识别、计量、监测和控制程序；</w:t>
      </w:r>
    </w:p>
    <w:p w14:paraId="32C099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（四）完善的内部控制和独立的外部审计；</w:t>
      </w:r>
    </w:p>
    <w:p w14:paraId="21CF78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（五）适当的市场风险资本分配机制。</w:t>
      </w:r>
    </w:p>
    <w:p w14:paraId="2F4FF0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商业银行实施市场风险管理，应当适当考虑市场风险与其他风险类别，如信用风险、流动性风险、操作风险、法律风险、声誉风险等风险的相关性，并协调市场风险管理与其他类别风险管理的政策和程序。</w:t>
      </w:r>
    </w:p>
    <w:p w14:paraId="28BA97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董事会和高级管理层的监控</w:t>
      </w:r>
    </w:p>
    <w:p w14:paraId="195D2C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商业银行的董事会和高级管理层应当对市场风险管理体系实施有效监控。</w:t>
      </w:r>
    </w:p>
    <w:p w14:paraId="267731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的董事会承担对市场风险管理实施监控的最终责任，确保商业银行有效地识别、计量、监测和控制各项业务所承担的各类市场风险。董事会负责审批市场风险管理的战略、政策和程序，确定银行可以承受的市场风险水平，督促</w:t>
      </w:r>
      <w:r>
        <w:rPr>
          <w:rFonts w:ascii="宋体" w:eastAsia="宋体" w:hAnsi="宋体" w:cs="宋体" w:hint="eastAsia"/>
          <w:sz w:val="24"/>
        </w:rPr>
        <w:lastRenderedPageBreak/>
        <w:t>高级管理层采取必要的措施识别、计量、监测和控制市场风险，并定期获得关于市场风险性质和水平的报告，监控和评价市场风险管理的全面性、有效性以及高级管理层在市场风险管理方面的履职情况。董事会可以授权其下设的专门委员会履行以上部分职能，获得授权的委员会应当定期向董事会提交有关报告。</w:t>
      </w:r>
    </w:p>
    <w:p w14:paraId="45C203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商业银行的高级管理</w:t>
      </w:r>
      <w:proofErr w:type="gramStart"/>
      <w:r>
        <w:rPr>
          <w:rFonts w:ascii="宋体" w:eastAsia="宋体" w:hAnsi="宋体" w:cs="宋体" w:hint="eastAsia"/>
          <w:sz w:val="24"/>
        </w:rPr>
        <w:t>层负责</w:t>
      </w:r>
      <w:proofErr w:type="gramEnd"/>
      <w:r>
        <w:rPr>
          <w:rFonts w:ascii="宋体" w:eastAsia="宋体" w:hAnsi="宋体" w:cs="宋体" w:hint="eastAsia"/>
          <w:sz w:val="24"/>
        </w:rPr>
        <w:t>制定、定期审查和监督执行市场风险管理的政策、程序以及具体的操作规程，及时了解市场风险水平及其管理状况，并确保银行具备足够的人力、物力以及恰当的组织结构、管理信息系统和技术水平来有效地识别、计量、监测和控制各项业务所承担的各类市场风险。</w:t>
      </w:r>
    </w:p>
    <w:p w14:paraId="3F0169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商业银行的董事会和高级管理层应当对本行与市场风险有关的业务、所承担的各类市场风险以及相应的风险识别、计量和控制方法有足够的了解。</w:t>
      </w:r>
    </w:p>
    <w:p w14:paraId="3431D4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商业银行的监事会应当监督董事会和高级管理层在市场风险管理方面的履职情况。</w:t>
      </w:r>
    </w:p>
    <w:p w14:paraId="76C001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商业银行应当指定专门的部门负责市场风险管理工作。负责市场风险管理的部门应当职责明确，与承担风险的业务经营部门保持相对独立，向董事会和高级管理层提供独立的市场风险报告，并且具备履行市场风险管理职责所需要的人力、物力资源。负责市场风险管理部门的工作人员应当具备相关的专业知识和技能，并充分了解本行与市场风险有关的业务、所承担的各类市场风险以及相应的风险识别、计量、控制方法和技术。商业银行应当确保其薪酬制度足以吸引和留住合格的市场风险管理人员。</w:t>
      </w:r>
    </w:p>
    <w:p w14:paraId="3F185F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商业银行负责市场风险管理的部门应当履行下列职责：</w:t>
      </w:r>
    </w:p>
    <w:p w14:paraId="250965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（一）拟定市场风险管理政策和程序，提交高级管理层和董事会审查批准；</w:t>
      </w:r>
    </w:p>
    <w:p w14:paraId="748698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（二）识别、计量和监测市场风险；</w:t>
      </w:r>
    </w:p>
    <w:p w14:paraId="6A83A3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（三）监测相关业务经营部门和分支机构对市场风险限额的遵守情况，报告超限额情况；</w:t>
      </w:r>
    </w:p>
    <w:p w14:paraId="572841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（四）设计、实施事后检验和压力测试；</w:t>
      </w:r>
    </w:p>
    <w:p w14:paraId="3E6213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（五）识别、评估新产品、新业务中所包含的市场风险，审核相应的操作和</w:t>
      </w:r>
      <w:r>
        <w:rPr>
          <w:rFonts w:ascii="宋体" w:eastAsia="宋体" w:hAnsi="宋体" w:cs="宋体" w:hint="eastAsia"/>
          <w:sz w:val="24"/>
        </w:rPr>
        <w:lastRenderedPageBreak/>
        <w:t>风险管理程序；</w:t>
      </w:r>
    </w:p>
    <w:p w14:paraId="538AD5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（六）及时向董事会和高级管理层提供独立的市场风险报告；</w:t>
      </w:r>
    </w:p>
    <w:p w14:paraId="103DA8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（七）其他有关职责。</w:t>
      </w:r>
    </w:p>
    <w:p w14:paraId="288894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业务复杂程度和市场风险水平较高的商业银行应当建立专门的市场风险管理部门负责市场风险管理工作。</w:t>
      </w:r>
    </w:p>
    <w:p w14:paraId="1ABF75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商业银行承担市场风险的业务经营部门应当充分了解并在业务决策中充分考虑所从事业务中包含的各类市场风险，以实现经风险调整的收益率的最大化。业务经营部门应当为承担市场风险所带来的损失承担责任。</w:t>
      </w:r>
    </w:p>
    <w:p w14:paraId="3E05AA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市场风险管理政策和程序</w:t>
      </w:r>
    </w:p>
    <w:p w14:paraId="7A7941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商业银行应当制定适用于整个银行机构的、正式的书面市场风险管理政策和程序。市场风险管理政策和程序应当与银行的业务性质、规模、复杂程度和风险特征相适应，与其总体业务发展战略、管理能力、资本实力和能够承担的总体风险水平相一致，并符合银监会关于市场风险管理的有关要求。市场风险管理政策和程序的主要内容包括：</w:t>
      </w:r>
    </w:p>
    <w:p w14:paraId="18D365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（一）可以开展的业务，可以交易或投资的金融工具，可以采取的投资、保值和风险缓解策略和方法；</w:t>
      </w:r>
    </w:p>
    <w:p w14:paraId="00EDC0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（二）商业银行能够承担的市场风险水平；</w:t>
      </w:r>
    </w:p>
    <w:p w14:paraId="3BFEDC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（三）分工明确的市场风险管理组织结构、权限结构和责任机制；</w:t>
      </w:r>
    </w:p>
    <w:p w14:paraId="3B5DC0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（四）市场风险的识别、计量、监测和控制程序；</w:t>
      </w:r>
    </w:p>
    <w:p w14:paraId="16AE64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（五）市场风险的报告体系；</w:t>
      </w:r>
    </w:p>
    <w:p w14:paraId="3B4830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（六）市场风险管理信息系统；</w:t>
      </w:r>
    </w:p>
    <w:p w14:paraId="5B6876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（七）市场风险的内部控制；</w:t>
      </w:r>
    </w:p>
    <w:p w14:paraId="518D8E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（八）市场风险管理的外部审计；</w:t>
      </w:r>
    </w:p>
    <w:p w14:paraId="3E9CE9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（九）市场风险资本的分配；</w:t>
      </w:r>
    </w:p>
    <w:p w14:paraId="24C026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（十）对重大市场风险情况的应急处理方案。</w:t>
      </w:r>
    </w:p>
    <w:p w14:paraId="7A937A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商业银行应当根据本行市场风险状况和外部市场的变化情况，及时修订和完善市场风险管理政策和程序。</w:t>
      </w:r>
    </w:p>
    <w:p w14:paraId="06CB04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的市场风险管理政策和程序及其重大修订应当由董事会批准。商业银行的高级管理层应当向与市场风险管理有关的工作人员阐明本行的市场风险管理政策和程序。与市场风险管理有关的工作人员应当充分了解其与市场风险管理有关的权限和职责。</w:t>
      </w:r>
    </w:p>
    <w:p w14:paraId="356FE9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商业银行在开展新产品和开展新业务之前应当充分识别和评估其中包含的市场风险，建立相应的内部审批、操作和风险管理程序，并获得董事会或其授权的专门委员会/部门的批准。新产品、新业务的内部审批程序应当包括由相关部门，如业务经营部门、负责市场风险管理的部门、法律部门/合</w:t>
      </w:r>
      <w:proofErr w:type="gramStart"/>
      <w:r>
        <w:rPr>
          <w:rFonts w:ascii="宋体" w:eastAsia="宋体" w:hAnsi="宋体" w:cs="宋体" w:hint="eastAsia"/>
          <w:sz w:val="24"/>
        </w:rPr>
        <w:t>规</w:t>
      </w:r>
      <w:proofErr w:type="gramEnd"/>
      <w:r>
        <w:rPr>
          <w:rFonts w:ascii="宋体" w:eastAsia="宋体" w:hAnsi="宋体" w:cs="宋体" w:hint="eastAsia"/>
          <w:sz w:val="24"/>
        </w:rPr>
        <w:t>部门、财务会计部门和结算部门等对其操作和风险管理程序的审核和认可。</w:t>
      </w:r>
    </w:p>
    <w:p w14:paraId="2153B4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市场风险管理政策和程序应当在并</w:t>
      </w:r>
      <w:proofErr w:type="gramStart"/>
      <w:r>
        <w:rPr>
          <w:rFonts w:ascii="宋体" w:eastAsia="宋体" w:hAnsi="宋体" w:cs="宋体" w:hint="eastAsia"/>
          <w:sz w:val="24"/>
        </w:rPr>
        <w:t>表基础</w:t>
      </w:r>
      <w:proofErr w:type="gramEnd"/>
      <w:r>
        <w:rPr>
          <w:rFonts w:ascii="宋体" w:eastAsia="宋体" w:hAnsi="宋体" w:cs="宋体" w:hint="eastAsia"/>
          <w:sz w:val="24"/>
        </w:rPr>
        <w:t>上应用，并应当尽可能适用于具有独立法人地位的附属机构，包括境外附属机构。但是，商业银行应当充分认识到附属机构之间存在的法律差异和资金流动障碍，并对其风险管理政策和程序进行相应调整，以避免在具有法律差异和资金流动障碍的附属机构之间轧差头寸而造成对市场风险的低估。</w:t>
      </w:r>
    </w:p>
    <w:p w14:paraId="232D8B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商业银行应当按照银监会关于商业银行资本充足率管理的有关要求划分银行账户和交易账户，并根据银行账户和交易账户的性质和特点，采取相应的市场风险识别、计量、监测和控制方法。</w:t>
      </w:r>
    </w:p>
    <w:p w14:paraId="25466D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商业银行应当对不同类别的市场风险（如利率风险）和不同业务种类（如衍生产品交易）的市场风险制定更详细和有针对性的风险管理政策和程序，并保持相互之间的一致性。</w:t>
      </w:r>
    </w:p>
    <w:p w14:paraId="19D288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第三节 市场风险的识别、计量、监测和控制</w:t>
      </w:r>
    </w:p>
    <w:p w14:paraId="3CD05A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商业银行应当对每项业务和产品中的市场风险因素进行分解和分析，及时、准确地识别所有交易和</w:t>
      </w:r>
      <w:proofErr w:type="gramStart"/>
      <w:r>
        <w:rPr>
          <w:rFonts w:ascii="宋体" w:eastAsia="宋体" w:hAnsi="宋体" w:cs="宋体" w:hint="eastAsia"/>
          <w:sz w:val="24"/>
        </w:rPr>
        <w:t>非交易</w:t>
      </w:r>
      <w:proofErr w:type="gramEnd"/>
      <w:r>
        <w:rPr>
          <w:rFonts w:ascii="宋体" w:eastAsia="宋体" w:hAnsi="宋体" w:cs="宋体" w:hint="eastAsia"/>
          <w:sz w:val="24"/>
        </w:rPr>
        <w:t>业务中市场风险的类别和性质。</w:t>
      </w:r>
    </w:p>
    <w:p w14:paraId="202B2F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第十六条 商业银行应当根据本行的业务性质、规模和复杂程度，对银行账户和交易账户中不同类别的市场风险选择适当的、普遍接受的计量方法，基于合理的假设前提和参数，计量承担的所有市场风险。商业银行应当尽可能准确计算可以量化的市场风险和评估难以量化的市场风险。</w:t>
      </w:r>
    </w:p>
    <w:p w14:paraId="33D456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商业银行可以采取不同的方法或模型计量银行账户和交易账户中不同类别的市场风险。市场风险的计量方式包括缺口分析、</w:t>
      </w:r>
      <w:proofErr w:type="gramStart"/>
      <w:r>
        <w:rPr>
          <w:rFonts w:ascii="宋体" w:eastAsia="宋体" w:hAnsi="宋体" w:cs="宋体" w:hint="eastAsia"/>
          <w:sz w:val="24"/>
        </w:rPr>
        <w:t>久期分析</w:t>
      </w:r>
      <w:proofErr w:type="gramEnd"/>
      <w:r>
        <w:rPr>
          <w:rFonts w:ascii="宋体" w:eastAsia="宋体" w:hAnsi="宋体" w:cs="宋体" w:hint="eastAsia"/>
          <w:sz w:val="24"/>
        </w:rPr>
        <w:t>、外汇敞口分析、敏感性分析、情景分析和运用内部模型计算风险价值等。商业银行应当充分认识到市场风险不同计量方法的优势和局限性，并采用压力测试等其他分析手段进行补充。</w:t>
      </w:r>
    </w:p>
    <w:p w14:paraId="73FFE1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商业银行应当尽量对所计量的银行账户和交易账户中的市场风险（特别是利率风险）在全行范围内进行加总，以便董事会和高级管理层了解本行的总体市场风险水平。</w:t>
      </w:r>
    </w:p>
    <w:p w14:paraId="3A8C0B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商业银行的董事会、高级管理层和与市场风险管理有关的人员应当了解本行采用的市场风险计量方法、模型及其假设前提，以便准确理解市场风险的计量结果。</w:t>
      </w:r>
    </w:p>
    <w:p w14:paraId="29A33B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商业银行应当采取措施确保假设前提、参数、数据来源和计量程序的合理性和准确性。商业银行应当对市场风险计量系统的假设前提和参数定期进行评估，制定修改假设前提和参数的内部程序。重大的假设前提和参数修改应当由高级管理层审批。</w:t>
      </w:r>
    </w:p>
    <w:p w14:paraId="7637D1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商业银行应当对交易账户头寸按市值每日至少重估一次价值。市值重</w:t>
      </w:r>
      <w:proofErr w:type="gramStart"/>
      <w:r>
        <w:rPr>
          <w:rFonts w:ascii="宋体" w:eastAsia="宋体" w:hAnsi="宋体" w:cs="宋体" w:hint="eastAsia"/>
          <w:sz w:val="24"/>
        </w:rPr>
        <w:t>估应当</w:t>
      </w:r>
      <w:proofErr w:type="gramEnd"/>
      <w:r>
        <w:rPr>
          <w:rFonts w:ascii="宋体" w:eastAsia="宋体" w:hAnsi="宋体" w:cs="宋体" w:hint="eastAsia"/>
          <w:sz w:val="24"/>
        </w:rPr>
        <w:t>由与前台相独立的中台、后台、财务会计部门或其他相关职能部门或人员负责。用于重估的定价因素应当从独立于前台的渠道获取或者经过独立的验证。前台、中台、后台、财务会计部门、负责市场风险管理的部门等用于估值的方法和假设应当尽量保持一致，在不完全一致的情况下，应当制定并使用一定的校对、调整方法。在缺乏可用于市值重估的市场价格时，商业银行应当确定选用代用数据的标准、获取途径和公允价格计算方法。</w:t>
      </w:r>
    </w:p>
    <w:p w14:paraId="567F11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银监会鼓励业务复杂程度和市场风险水平较高的商业银行逐步开</w:t>
      </w:r>
      <w:r>
        <w:rPr>
          <w:rFonts w:ascii="宋体" w:eastAsia="宋体" w:hAnsi="宋体" w:cs="宋体" w:hint="eastAsia"/>
          <w:sz w:val="24"/>
        </w:rPr>
        <w:lastRenderedPageBreak/>
        <w:t>发和使用内部模型计量风险价值，对所承担的市场风险水平进行量化估计。风险价值是指所估计的在一定的持有期和给定的置信水平下，利率、汇率等市场风险要素的变化可能对某项资金头寸、资产组合或机构造成的潜在最大损失。</w:t>
      </w:r>
    </w:p>
    <w:p w14:paraId="63C1DA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采用内部模型的商业银行应当根据本行的业务规模和性质，参照国际通行标准，合理选择、定期审查和调整模型技术（如方差-协方差法、历史模拟法和蒙特卡洛法）以及模型的假设前提和参数，并建立和实施引进新模型、调整现有模型以及检验模型准确性的内部政策和程序。模型的检验应当由独立于模型开发和运行的人员负责。</w:t>
      </w:r>
    </w:p>
    <w:p w14:paraId="1EF9E8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采用内部模型的商业银行应当将模型的运用与日常风险管理相融合，内部模型所提供的信息应当成为规划、监测和控制市场风险资产组合过程的有机组成部分。</w:t>
      </w:r>
    </w:p>
    <w:p w14:paraId="7454C9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采用内部模型的商业银行应当</w:t>
      </w:r>
      <w:proofErr w:type="gramStart"/>
      <w:r>
        <w:rPr>
          <w:rFonts w:ascii="宋体" w:eastAsia="宋体" w:hAnsi="宋体" w:cs="宋体" w:hint="eastAsia"/>
          <w:sz w:val="24"/>
        </w:rPr>
        <w:t>恰当理解</w:t>
      </w:r>
      <w:proofErr w:type="gramEnd"/>
      <w:r>
        <w:rPr>
          <w:rFonts w:ascii="宋体" w:eastAsia="宋体" w:hAnsi="宋体" w:cs="宋体" w:hint="eastAsia"/>
          <w:sz w:val="24"/>
        </w:rPr>
        <w:t>和运用市场风险内部模型的计算结果，并充分认识到内部模型的局限性，运用压力测试和其他</w:t>
      </w:r>
      <w:proofErr w:type="gramStart"/>
      <w:r>
        <w:rPr>
          <w:rFonts w:ascii="宋体" w:eastAsia="宋体" w:hAnsi="宋体" w:cs="宋体" w:hint="eastAsia"/>
          <w:sz w:val="24"/>
        </w:rPr>
        <w:t>非统计</w:t>
      </w:r>
      <w:proofErr w:type="gramEnd"/>
      <w:r>
        <w:rPr>
          <w:rFonts w:ascii="宋体" w:eastAsia="宋体" w:hAnsi="宋体" w:cs="宋体" w:hint="eastAsia"/>
          <w:sz w:val="24"/>
        </w:rPr>
        <w:t>类计量方法对内部模型方法进行补充。</w:t>
      </w:r>
    </w:p>
    <w:p w14:paraId="73BD3B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商业银行应当定期实施事后检验，将市场风险计量方法或模型的估算结果与实际结果进行比较，并以此为依据对市场风险计量方法或模型进行调整和改进。</w:t>
      </w:r>
    </w:p>
    <w:p w14:paraId="3DA7BF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商业银行应当建立全面、严密的压力测试程序，定期对突发的小概率事件，如市场价格发生剧烈变动，或者发生意外的政治、经济事件可能造成的潜在损失进行模拟和估计，以评估本行在极端不利情况下的亏损承受能力。压力测试应当包含定性和定量分析。</w:t>
      </w:r>
    </w:p>
    <w:p w14:paraId="676C84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压力测试应当选择对市场风险有重大影响的情景，包括历史上发生过重大损失的情景和假设情景。假设情景包括模型假设和参数不再适用的情形、市场价格发生剧烈变动的情形、市场流动性严重不足的情形，以及外部环境发生重大变化、可能导致重大损失或风险难以控制的情景。商业银行应当使用银监会规定的压力情景和根据本行业务性质、市场环境设计的压力情景进行压力测试。</w:t>
      </w:r>
    </w:p>
    <w:p w14:paraId="492C9A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商业银行应当根据压力测试的结果，对市场风险有重大影响的情形制定应急</w:t>
      </w:r>
      <w:r>
        <w:rPr>
          <w:rFonts w:ascii="宋体" w:eastAsia="宋体" w:hAnsi="宋体" w:cs="宋体" w:hint="eastAsia"/>
          <w:sz w:val="24"/>
        </w:rPr>
        <w:lastRenderedPageBreak/>
        <w:t>处理方案，并决定是否及如何对限额管理、资本配置及市场风险管理的其他政策和程序进行改进。董事会和高级管理层应当定期对压力测试的设计和结果进行审查，不断完善压力测试程序。</w:t>
      </w:r>
    </w:p>
    <w:p w14:paraId="4F39A7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商业银行应当对市场风险实施限额管理，制定对各类和各级限额的内部审批程序和操作规程，根据业务性质、规模、复杂程度和风险承受能力设定、定期审查和更新限额。</w:t>
      </w:r>
    </w:p>
    <w:p w14:paraId="71C93A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市场风险限额包括交易限额、风险限额及止损限额等，并可按地区、业务经营部门、资产组合、金融工具和风险类别进行分解。商业银行应当根据不同限额控制风险的不同作用及其局限性，建立不同类型和不同层次的限额相互补充的合理限额体系，有效控制市场风险。商业银行总的市场风险限额以及限额的种类、结构应当由董事会批准。</w:t>
      </w:r>
    </w:p>
    <w:p w14:paraId="4FD7A4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商业银行在设计限额体系时应当考虑以下因素：</w:t>
      </w:r>
    </w:p>
    <w:p w14:paraId="1EC1A5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（一）业务性质、规模和复杂程度；</w:t>
      </w:r>
    </w:p>
    <w:p w14:paraId="05FB67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（二）商业银行能够承担的市场风险水平；</w:t>
      </w:r>
    </w:p>
    <w:p w14:paraId="18B9CA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（三）业务经营部门的既往业绩；</w:t>
      </w:r>
    </w:p>
    <w:p w14:paraId="2AAAEC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（四）工作人员的专业水平和经验；</w:t>
      </w:r>
    </w:p>
    <w:p w14:paraId="7A3ABF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（五）定价、估值和市场风险计量系统；</w:t>
      </w:r>
    </w:p>
    <w:p w14:paraId="3AC4B9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（六）压力测试结果；</w:t>
      </w:r>
    </w:p>
    <w:p w14:paraId="280C43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（七）内部控制水平；</w:t>
      </w:r>
    </w:p>
    <w:p w14:paraId="798D33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（八）资本实力；</w:t>
      </w:r>
    </w:p>
    <w:p w14:paraId="38F1B5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（九）外部市场的发展变化情况。</w:t>
      </w:r>
    </w:p>
    <w:p w14:paraId="2BCC82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商业银行应当对超限额情况制定监控和处理程序。超限额情况应当及时向相应级别的管理层报告。该级别的管理层应当根据限额管理的政策和程序决定是否批准</w:t>
      </w:r>
      <w:proofErr w:type="gramStart"/>
      <w:r>
        <w:rPr>
          <w:rFonts w:ascii="宋体" w:eastAsia="宋体" w:hAnsi="宋体" w:cs="宋体" w:hint="eastAsia"/>
          <w:sz w:val="24"/>
        </w:rPr>
        <w:t>以及此超限额</w:t>
      </w:r>
      <w:proofErr w:type="gramEnd"/>
      <w:r>
        <w:rPr>
          <w:rFonts w:ascii="宋体" w:eastAsia="宋体" w:hAnsi="宋体" w:cs="宋体" w:hint="eastAsia"/>
          <w:sz w:val="24"/>
        </w:rPr>
        <w:t>情况可以保持多长时间。对未经批准的超限额情况应当按照限额管理的政策和程序进行处理。管理层应当根据超限额发生情况决定是否对限额</w:t>
      </w:r>
      <w:r>
        <w:rPr>
          <w:rFonts w:ascii="宋体" w:eastAsia="宋体" w:hAnsi="宋体" w:cs="宋体" w:hint="eastAsia"/>
          <w:sz w:val="24"/>
        </w:rPr>
        <w:lastRenderedPageBreak/>
        <w:t>管理体系进行调整。</w:t>
      </w:r>
    </w:p>
    <w:p w14:paraId="5FC11A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商业银行应当确保不同市场风险限额之间的一致性，并协调市场风险限额管理与流动性风险限额等其他风险类别的限额管理。</w:t>
      </w:r>
    </w:p>
    <w:p w14:paraId="0E1338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商业银行应当为市场风险的计量、监测和控制建立完备、可靠的管理信息系统，并采取相应措施确保数据的准确、可靠、及时和安全。管理信息系统应当能够支持市场风险的计量及其所实施的事后检验和压力测试，并能监测市场风险限额的遵守情况和提供市场风险报告的有关内容。商业银行应当建立相应的对账程序确保不同部门和产品业务数据的一致性和完整性，并确保向市场风险计量系统输入准确的价格和业务数据。商业银行应当根据需要对管理信息系统及时改进和更新。</w:t>
      </w:r>
    </w:p>
    <w:p w14:paraId="125F03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商业银行应当对市场风险有重大影响的情形制定应急处理方案，包括采取对冲、减少风险暴露等措施降低市场风险水平，以及建立针对自然灾害、银行系统故障和其他突发事件的应急处理或者备用系统、程序和措施，以减少银行可能发生的损失和银行声誉可能受到的损害。</w:t>
      </w:r>
    </w:p>
    <w:p w14:paraId="620E32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商业银行应当将压力测试的结果作为制定市场风险应急处理方案的重要依据，并定期对应急处理方案进行审查和测试，不断更新和完善应急处理方案。</w:t>
      </w:r>
    </w:p>
    <w:p w14:paraId="55A60C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有关市场风险情况的报告应当定期、及时向董事会、高级管理层和其他管理人员提供。不同层次和种类的报告应当遵循规定的发送范围、程序和频率。报告应当包括如下全部或部分内容：</w:t>
      </w:r>
    </w:p>
    <w:p w14:paraId="5E4150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（一）按业务、部门、地区和风险类别分别统计的市场风险头寸；</w:t>
      </w:r>
    </w:p>
    <w:p w14:paraId="0AB03C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（二）按业务、部门、地区和风险类别分别计量的市场风险水平；</w:t>
      </w:r>
    </w:p>
    <w:p w14:paraId="262036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（三）对市场风险头寸和市场风险水平的结构分析；</w:t>
      </w:r>
    </w:p>
    <w:p w14:paraId="3CDAE4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（四）盈亏情况；</w:t>
      </w:r>
    </w:p>
    <w:p w14:paraId="3475F0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（五）市场风险识别、计量、监测和控制方法及程序的变更情况；</w:t>
      </w:r>
    </w:p>
    <w:p w14:paraId="2BA139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（六）市场风险管理政策和程序的遵守情况；</w:t>
      </w:r>
    </w:p>
    <w:p w14:paraId="6316C9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（七）市场风险限额的遵守情况，包括对超限额情况的处理；</w:t>
      </w:r>
    </w:p>
    <w:p w14:paraId="7C3707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（八）事后检验和压力测试情况；</w:t>
      </w:r>
    </w:p>
    <w:p w14:paraId="6617DA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（九）内部和外部审计情况；</w:t>
      </w:r>
    </w:p>
    <w:p w14:paraId="3C1A65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（十）市场风险资本分配情况；</w:t>
      </w:r>
    </w:p>
    <w:p w14:paraId="5BBDD8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（十一）对改进市场风险管理政策、程序以及市场风险应急方案的建议；</w:t>
      </w:r>
    </w:p>
    <w:p w14:paraId="1D2C71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（十二）市场风险管理的其他情况。</w:t>
      </w:r>
    </w:p>
    <w:p w14:paraId="4D0E13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向董事会提交的市场风险报告通常包括银行的总体市场风险头寸、风险水平、盈亏状况和对市场风险限额及市场风险管理的其他政策和程序的遵守情况等内容。向高级管理层和其他管理人员提交的市场风险报告通常包括按地区、业务经营部门、资产组合、金融工具和风险类别分解后的详细信息，并具有更高的报告频率。</w:t>
      </w:r>
    </w:p>
    <w:p w14:paraId="300E31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第四节 内部控制和外部审计</w:t>
      </w:r>
    </w:p>
    <w:p w14:paraId="2B9DF5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商业银行应当按照银监会关于商业银行内部控制的有关要求，建立完善的市场风险管理内部控制体系，作为银行整体内部控制体系的有机组成部分。市场风险管理的内部控制应当有利于促进有效的业务运作，提供可靠的财务和监管报告，促使银行严格遵守相关法律、行政法规、部门规章和内部的制度、程序，确保市场风险管理体系的有效运行。</w:t>
      </w:r>
    </w:p>
    <w:p w14:paraId="65D507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为避免潜在的利益冲突，商业银行应当确保各职能部门具有明确的职责分工，以及相关职能适当分离。商业银行的市场风险管理职能与业务经营职能应当保持相对独立。交易部门应当将前台、后台严格分离，前台交易人员不得参与交易的正式确认、对账、重新估值、交易结算和款项收付；必要时可设置中台监控机制。</w:t>
      </w:r>
    </w:p>
    <w:p w14:paraId="3890DF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商业银行应当避免其薪酬制度和激励机制与市场风险管理目标产生利益冲突。董事会和高级管理层应当避免薪酬制度具有鼓励过度冒险投资的负面效应，防止绩效考核过于注重短期投资收益表现，而不考虑长期投资风险。负责市场风险管理工作人员的薪酬不应当与直接投资收益挂钩。</w:t>
      </w:r>
    </w:p>
    <w:p w14:paraId="28E2F0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第三十条 商业银行的内部审计部门应当定期（至少每年一次）对市场风险管理体系各个组成部分和环节的准确、可靠、充分和有效性进行独立的审查和评价。内部审计应当既对业务经营部门，也对负责市场风险管理的部门进行。内部审计报告应当直接提交给董事会。董事会应当督促高级管理层对内部审计所发现的问题提出改进方案并采取改进措施。内部审计部门应当跟踪检查改进措施的实施情况，并向董事会提交有关报告。</w:t>
      </w:r>
    </w:p>
    <w:p w14:paraId="2540B9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商业银行对市场风险管理体系的内部审计应当至少包括以下内容：</w:t>
      </w:r>
    </w:p>
    <w:p w14:paraId="3F0891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（一）市场风险头寸和风险水平；</w:t>
      </w:r>
    </w:p>
    <w:p w14:paraId="46BA0A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（二）市场风险管理体系文档的完备性；</w:t>
      </w:r>
    </w:p>
    <w:p w14:paraId="6A4271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（三）市场风险管理的组织结构，市场风险管理职能的独立性，市场风险管理人员的充足性、专业性和履职情况；</w:t>
      </w:r>
    </w:p>
    <w:p w14:paraId="11FEA8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（四）市场风险管理所涵盖的风险类别及其范围；</w:t>
      </w:r>
    </w:p>
    <w:p w14:paraId="718C1A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（五）市场风险管理信息系统的完备性、可靠性，市场风险头寸数据的准确性、完整性，数据来源的一致性、时效性、可靠性和独立性；</w:t>
      </w:r>
    </w:p>
    <w:p w14:paraId="26F46D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（六）市场风险管理系统所用参数和假设前提的合理性、稳定性；</w:t>
      </w:r>
    </w:p>
    <w:p w14:paraId="0A27D7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（七）市场风险计量方法的恰当性和计量结果的准确性；</w:t>
      </w:r>
    </w:p>
    <w:p w14:paraId="358550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（八）对市场风险管理政策和程序的遵守情况；</w:t>
      </w:r>
    </w:p>
    <w:p w14:paraId="5676F0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（九）市场风险限额管理的有效性；</w:t>
      </w:r>
    </w:p>
    <w:p w14:paraId="2BEA8F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（十）事后检验和压力测试系统的有效性；</w:t>
      </w:r>
    </w:p>
    <w:p w14:paraId="609C78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（十一）市场风险资本的计算和内部配置情况；</w:t>
      </w:r>
    </w:p>
    <w:p w14:paraId="6DCE7B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（十二）对重大超限额交易、未授权交易和账目不匹配情况的调查。</w:t>
      </w:r>
    </w:p>
    <w:p w14:paraId="256BC5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商业银行在引入对市场风险水平有重大影响的新产品和新业务、市场风险管理体系出现重大变动或者存在严重缺陷的情况下，应当扩大市场风险内部审计的范围和增加内部审计频率。</w:t>
      </w:r>
    </w:p>
    <w:p w14:paraId="3286E8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商业银行的内部审计人员应当具备相关的专业知识和技能，并经过相应的培训，能够充分理解市场风险识别、计量、监测、控制的方法和程序。</w:t>
      </w:r>
    </w:p>
    <w:p w14:paraId="7C9EB3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内部审计力量不足的商业银行，应当委托社会中介机构对其市场风险的性质、水平及市场风险管理体系进行审计。</w:t>
      </w:r>
    </w:p>
    <w:p w14:paraId="6F546A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银监会也鼓励其他商业银行委托社会中介机构对其市场风险的性质、水平及市场风险管理体系定期进行审查和评价。</w:t>
      </w:r>
    </w:p>
    <w:p w14:paraId="147653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第五节 市场风险资本</w:t>
      </w:r>
    </w:p>
    <w:p w14:paraId="1A5B7A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商业银行应当按照银监会关于商业银行资本充足率管理的要求，为所承担的市场风险提取充足的资本。</w:t>
      </w:r>
    </w:p>
    <w:p w14:paraId="427837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银监会鼓励业务复杂程度和市场风险水平较高的商业银行运用经风险调整的收益率进行内部资本配置和业绩考核，在全行和业务经营部门等各个层次上达到市场风险水平和盈利水平的适当平衡。</w:t>
      </w:r>
    </w:p>
    <w:p w14:paraId="18FFAF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市场风险监管</w:t>
      </w:r>
    </w:p>
    <w:p w14:paraId="23EE01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商业银行应当按照规定向银监会报送与市场风险有关的财务会计、统计报表和其他报告。委托社会中介机构对其市场风险的性质、水平及市场风险管理体系进行审计的，还应当提交外部审计报告。</w:t>
      </w:r>
    </w:p>
    <w:p w14:paraId="7CACBE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商业银行的市场风险管理政策和程序</w:t>
      </w:r>
      <w:proofErr w:type="gramStart"/>
      <w:r>
        <w:rPr>
          <w:rFonts w:ascii="宋体" w:eastAsia="宋体" w:hAnsi="宋体" w:cs="宋体" w:hint="eastAsia"/>
          <w:sz w:val="24"/>
        </w:rPr>
        <w:t>应当报银监</w:t>
      </w:r>
      <w:proofErr w:type="gramEnd"/>
      <w:r>
        <w:rPr>
          <w:rFonts w:ascii="宋体" w:eastAsia="宋体" w:hAnsi="宋体" w:cs="宋体" w:hint="eastAsia"/>
          <w:sz w:val="24"/>
        </w:rPr>
        <w:t>会备案。</w:t>
      </w:r>
    </w:p>
    <w:p w14:paraId="0A1410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商业银行应当及时向银监会报告下列事项：</w:t>
      </w:r>
    </w:p>
    <w:p w14:paraId="3EBAC8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（一）出现超过本行内部设定的市场风险限额的严重亏损；</w:t>
      </w:r>
    </w:p>
    <w:p w14:paraId="1EA052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（二）国内、国际金融市场发生的引起市场较大波动的重大事件将对本行市场风险水平及其管理状况产生的影响；</w:t>
      </w:r>
    </w:p>
    <w:p w14:paraId="07994F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（三）交易业务中的违法行为；</w:t>
      </w:r>
    </w:p>
    <w:p w14:paraId="1F7C2A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（四）其他重大意外情况。</w:t>
      </w:r>
    </w:p>
    <w:p w14:paraId="796908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商业银行应当制定市场风险重大事项报告制度，</w:t>
      </w:r>
      <w:proofErr w:type="gramStart"/>
      <w:r>
        <w:rPr>
          <w:rFonts w:ascii="宋体" w:eastAsia="宋体" w:hAnsi="宋体" w:cs="宋体" w:hint="eastAsia"/>
          <w:sz w:val="24"/>
        </w:rPr>
        <w:t>并报银监</w:t>
      </w:r>
      <w:proofErr w:type="gramEnd"/>
      <w:r>
        <w:rPr>
          <w:rFonts w:ascii="宋体" w:eastAsia="宋体" w:hAnsi="宋体" w:cs="宋体" w:hint="eastAsia"/>
          <w:sz w:val="24"/>
        </w:rPr>
        <w:t>会备案。</w:t>
      </w:r>
    </w:p>
    <w:p w14:paraId="4D80D8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第三十五条 银监会应当定期对商业银行的市场风险管理状况进行现场检查，检查的主要内容有：</w:t>
      </w:r>
    </w:p>
    <w:p w14:paraId="62FDCB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（一）董事会和高级管理层在市场风险管理中的履职情况；</w:t>
      </w:r>
    </w:p>
    <w:p w14:paraId="3D8492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（二）市场风险管理政策和程序的完善性及其实施情况；</w:t>
      </w:r>
    </w:p>
    <w:p w14:paraId="21FC83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（三）市场风险识别、计量、监测和控制的有效性；</w:t>
      </w:r>
    </w:p>
    <w:p w14:paraId="6F4C4D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（四）市场风险管理系统所用假设前提和参数的合理性、稳定性；</w:t>
      </w:r>
    </w:p>
    <w:p w14:paraId="5D3446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（五）市场风险管理信息系统的有效性；</w:t>
      </w:r>
    </w:p>
    <w:p w14:paraId="397552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（六）市场风险限额管理的有效性；</w:t>
      </w:r>
    </w:p>
    <w:p w14:paraId="64FAAC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（七）市场风险内部控制的有效性；</w:t>
      </w:r>
    </w:p>
    <w:p w14:paraId="7FBF68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（八）银行内部市场风险报告的独立性、准确性、可靠性，以及向银监会报送的与市场风险有关的报表、报告的真实性和准确性；</w:t>
      </w:r>
    </w:p>
    <w:p w14:paraId="6D1CAA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（九）市场风险资本的充足性；</w:t>
      </w:r>
    </w:p>
    <w:p w14:paraId="7FB925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（十）负责市场风险管理工作人员的专业知识、技能和履职情况；</w:t>
      </w:r>
    </w:p>
    <w:p w14:paraId="7CE98F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（十一）市场风险管理的其他情况。</w:t>
      </w:r>
    </w:p>
    <w:p w14:paraId="273B21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对于银监会在监管中发现的有关市场风险管理的问题，商业银行应当在规定的时限内提交整改方案并采取整改措施。银监会可以对商业银行的市场风险管理体系提出整改建议，包括调整市场风险计量方法、模型、假设前提和参数等方面的建议。</w:t>
      </w:r>
    </w:p>
    <w:p w14:paraId="226F7A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对于在规定的时限内未能有效采取整改措施或者市场风险管理体系存在严重缺陷的商业银行，银监会有权采取下列措施：</w:t>
      </w:r>
    </w:p>
    <w:p w14:paraId="29B8F3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（一）要求商业银行增加提交市场风险报告的次数；</w:t>
      </w:r>
    </w:p>
    <w:p w14:paraId="376452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（二）要求商业银行提供额外相关资料；</w:t>
      </w:r>
    </w:p>
    <w:p w14:paraId="1EB9D5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（三）要求商业银行通过调整资产组合等方式适当降低市场风险水平；</w:t>
      </w:r>
    </w:p>
    <w:p w14:paraId="5A3867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（四）《中华人民共和国银行业监督管理法》以及其他法律、行政法规和部</w:t>
      </w:r>
      <w:r>
        <w:rPr>
          <w:rFonts w:ascii="宋体" w:eastAsia="宋体" w:hAnsi="宋体" w:cs="宋体" w:hint="eastAsia"/>
          <w:sz w:val="24"/>
        </w:rPr>
        <w:lastRenderedPageBreak/>
        <w:t>门规章规定的有关措施。</w:t>
      </w:r>
    </w:p>
    <w:p w14:paraId="40EB52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商业银行应当按照银监会关于信息披露的有关规定，披露其市场风险状况的定量和定性信息，披露的信息应当至少包括以下内容：</w:t>
      </w:r>
    </w:p>
    <w:p w14:paraId="1EBA14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（一）所承担市场风险的类别、总体市场风险水平及不同类别市场风险的风险头寸和风险水平；</w:t>
      </w:r>
    </w:p>
    <w:p w14:paraId="63A5D7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（二）有关市场价格的敏感性分析，如利率、汇率变动对银行的收益、经济价值或财务状况的影响；</w:t>
      </w:r>
    </w:p>
    <w:p w14:paraId="6C461D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（三）市场风险管理的政策和程序，包括风险管理的总体理念、政策、程序和方法，风险管理的组织结构，市场风险计量方法及其所使用的参数和假设前提，事后检验和压力测试情况，市场风险的控制方法等；</w:t>
      </w:r>
    </w:p>
    <w:p w14:paraId="58E5C9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（四）市场风险资本状况；</w:t>
      </w:r>
    </w:p>
    <w:p w14:paraId="028180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采用内部模型的商业银行应当披露所计算的市场风险类别及其范围，计算的总体市场风险水平及不同类别的市场风险水平，报告期内最高、最低、平均和期末的风险价值，以及所使用的模型技术、所使用的参数和假设前提、事后检验和压力测试情况及检验模型准确性的内部程序等信息。</w:t>
      </w:r>
    </w:p>
    <w:p w14:paraId="3D2DF5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附则</w:t>
      </w:r>
    </w:p>
    <w:p w14:paraId="273E32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政策性银行、金融资产管理公司、城市信用社、农村信用社、信托投资公司、财务公司、金融租赁公司、汽车金融公司、邮政储蓄机构等其他金融机构参照本指引执行。</w:t>
      </w:r>
    </w:p>
    <w:p w14:paraId="182506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未设立董事会的国有商业银行，应当由其经营决策机构履行本指引规定的董事会的有关市场风险管理职责。</w:t>
      </w:r>
    </w:p>
    <w:p w14:paraId="5F6D17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在中华人民共和国境内设立的外国银行分行应当遵循其总行制定的市场风险管理政策和程序，定期向总行报送市场风险管理报告，并按照规定向银监会报送市场风险的有关报告。</w:t>
      </w:r>
    </w:p>
    <w:p w14:paraId="772D10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本指引的《附录》对本指引所涉及的有关名词进行了说明。</w:t>
      </w:r>
    </w:p>
    <w:p w14:paraId="16F12C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第四十二条国有商业银行和股份制商业银行最迟应于2007年底前，城市商业银行和其他商业银行最迟应于2008年底前达到本指引要求。</w:t>
      </w:r>
    </w:p>
    <w:p w14:paraId="3D4D90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本指引由银监会负责解释。</w:t>
      </w:r>
    </w:p>
    <w:p w14:paraId="63A38E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本指引自2005年3月1日起施行。</w:t>
      </w:r>
    </w:p>
    <w:p w14:paraId="14B057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附录：《商业银行市场风险管理指引》有关名词的说明</w:t>
      </w:r>
    </w:p>
    <w:p w14:paraId="4C1B6A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一、重新定价风险（Repricing Risk）、收益率曲线风险（Yield Curve Risk）、基准风险（Basis Risk）、期权性风险（Optionality）</w:t>
      </w:r>
    </w:p>
    <w:p w14:paraId="52C161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利率风险按照来源的不同，可以分为重新定价风险、收益率曲线风险、基准风险和期权性风险。</w:t>
      </w:r>
    </w:p>
    <w:p w14:paraId="5FC261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（一）重新定价风险（Repricing Risk）</w:t>
      </w:r>
    </w:p>
    <w:p w14:paraId="3F27C2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新定价风险也称为期限错配风险，是最主要和最常见的利率风险形式，来源于银行资产、负债和表外业务到期期限（就固定利率而言）或重新定价期限（就浮动利率而言）所存在的差异。这种重新定价的不对称性使银行的收益或内在经济价值会随着利率的变动而变化。例如，如果银行以短期存款作为长期固定利率贷款的融资来源，当利率上升时，贷款的利息收入是固定的，但存款的利息支出却会随着利率的上升而增加，从而使银行的未来收益减少和经济价值降低。</w:t>
      </w:r>
    </w:p>
    <w:p w14:paraId="736C6C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（二）收益率曲线风险（Yield Curve Risk）</w:t>
      </w:r>
    </w:p>
    <w:p w14:paraId="217E37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新定价的不对称性也会使收益率曲线斜率、形态发生变化，即收益率曲线的非平行移动，对银行的收益或内在经济价值产生不利影响，从而形成收益率曲线风险，也称为利率期限结构变化风险。例如，若以五年期政府债券的空头头寸为10年期政府债券的多头头寸进行保值，当</w:t>
      </w:r>
      <w:proofErr w:type="gramStart"/>
      <w:r>
        <w:rPr>
          <w:rFonts w:ascii="宋体" w:eastAsia="宋体" w:hAnsi="宋体" w:cs="宋体" w:hint="eastAsia"/>
          <w:sz w:val="24"/>
        </w:rPr>
        <w:t>收益率曲线变陡的</w:t>
      </w:r>
      <w:proofErr w:type="gramEnd"/>
      <w:r>
        <w:rPr>
          <w:rFonts w:ascii="宋体" w:eastAsia="宋体" w:hAnsi="宋体" w:cs="宋体" w:hint="eastAsia"/>
          <w:sz w:val="24"/>
        </w:rPr>
        <w:t>时候，虽然上述安排已经对收益率曲线的平行移动进行了保值，但该10年期债券多头头寸的经济价值还是会下降。</w:t>
      </w:r>
    </w:p>
    <w:p w14:paraId="022D15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（三）基准风险（Basis Risk）</w:t>
      </w:r>
    </w:p>
    <w:p w14:paraId="1693CA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基准风险也称为利率定价基础风险，是另一种重要的利率风险来源。在利息收入和利息支出所依据的基准利率变动不一致的情况下，虽然资产、负债和表外</w:t>
      </w:r>
      <w:r>
        <w:rPr>
          <w:rFonts w:ascii="宋体" w:eastAsia="宋体" w:hAnsi="宋体" w:cs="宋体" w:hint="eastAsia"/>
          <w:sz w:val="24"/>
        </w:rPr>
        <w:lastRenderedPageBreak/>
        <w:t>业务的重新定价特征相似，但因其现金流和收益的利差发生了变化，也会对银行的收益或内在经济价值产生不利影响。例如，一家银行可能用一年期存款作为一年</w:t>
      </w:r>
      <w:proofErr w:type="gramStart"/>
      <w:r>
        <w:rPr>
          <w:rFonts w:ascii="宋体" w:eastAsia="宋体" w:hAnsi="宋体" w:cs="宋体" w:hint="eastAsia"/>
          <w:sz w:val="24"/>
        </w:rPr>
        <w:t>期贷</w:t>
      </w:r>
      <w:proofErr w:type="gramEnd"/>
      <w:r>
        <w:rPr>
          <w:rFonts w:ascii="宋体" w:eastAsia="宋体" w:hAnsi="宋体" w:cs="宋体" w:hint="eastAsia"/>
          <w:sz w:val="24"/>
        </w:rPr>
        <w:t>款的融资来源，贷款按照美国国库券利率每月重新定价一次，而存款则按照伦敦同业拆借市场利率每月重新定价一次。虽然用一年期的存款为来源发放一年期的贷款，由于利率敏感性负债与利率敏感性资产的重新定价期限完全相同而不存在重新定价风险，但因为其基准利率的变化可能不完全相关，变化不同步，仍然会使该银行面临着因基准利率的利差发生变化而带来的基准风险。</w:t>
      </w:r>
    </w:p>
    <w:p w14:paraId="3ED523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（四）期权性风险（Optionality）</w:t>
      </w:r>
    </w:p>
    <w:p w14:paraId="11AEA6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期权性风险是一种越来越重要的利率风险，来源于银行资产、负债和表外业务中所隐含的期权。一般而言，期权赋予其持有者买入、卖出或以某种方式改变某一金融工具或金融合同的现金流量的权利，而非义务。期权可以是单独的金融工具，如场内（交易所）交易期权和场外期权合同，也可以隐含于其他的标准化金融工具之中，如债券或存款的提前兑付、贷款的提前偿还等选择性条款。一般而言，期权和期权性条款都是在对买方有利而对卖方不利时执行，因此，此类期权性工具因具有不对称的支付特征而会给卖方带来风险。比如，若利率变动对存款人或借款人有利，存款人就可能选择重新安排存款，借款人可能选择重新安排贷款，从而对银行产生不利影响。如今，越来越多的期权品种因具有较高的杠杆效应，还会进一步增大期权头寸可能会对银行财务状况产生的不利影响。</w:t>
      </w:r>
    </w:p>
    <w:p w14:paraId="743B40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二、缺口分析（Gap Analysis）</w:t>
      </w:r>
    </w:p>
    <w:p w14:paraId="2024BD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缺口分析是衡量利率变动对银行当期收益的影响的一种方法。具体而言，就是将银行的所有生息资产和付息负债按照重新定价的期限划分到不同的时间段（如1个月以下，1~3个月，3个月~1年，1~5年，5年以上等）。在每个时间段内，将利率敏感性资产减去利率敏感性负债，再加上表外业务头寸，就得到该时间段内的重新定价“缺口”。以该缺口乘以假定的利率变动，即得出这一利率变动对净利息收入变动的大致影响。当某一时段内的负债大于资产（包括表外业务头寸）时，就产生了负缺口，即负债敏感型缺口，此时市场利率上升会导致银行的净利息收入下降。相反，当某一时段内的资产（包括表外业务头寸）大于负债时，就产生了正缺口，即资产敏感型缺口，此时市场利率下降会导致银行的净</w:t>
      </w:r>
      <w:r>
        <w:rPr>
          <w:rFonts w:ascii="宋体" w:eastAsia="宋体" w:hAnsi="宋体" w:cs="宋体" w:hint="eastAsia"/>
          <w:sz w:val="24"/>
        </w:rPr>
        <w:lastRenderedPageBreak/>
        <w:t>利息收入下降。缺口分析中的假定利率变动可以通过多种方式来确定，如根据历史经验确定、根据银行管理层的判断确定和模拟潜在的未来利率变动等方式。</w:t>
      </w:r>
    </w:p>
    <w:p w14:paraId="3C90EC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缺口分析是对利率变动进行敏感性分析的方法之一，是银行业较早采用的利率风险计量方法。因为其计算简便、清晰易懂，目前仍然被广泛使用。但是，缺口分析也存在一定的局限性。第一，缺口分析假定同一时间段内的所有头寸到期时间或重新定价时间相同，因此忽略了同一时段内不同头寸的到期时间或利率重新定价期限的差异。在同一时间段内的加总程度越高，对计量结果精确性的影响就越大。第二，缺口分析只考虑了由重新定价期限的不同而带来的利率风险，即重新定价风险，未考虑当利率水平变化时，因各种金融产品基准利率的调整幅度不同而带来的利率风险，即基准风险。同时，缺口分析也未考虑因利率环境改变而引起的支付时间的变化，即忽略了与期权有关的头寸在收入敏感性方面的差异。第三，非利息收入和费用是银行当期收益的重要来源，但大多数缺口分析未能反映利率变动对非利息收入和费用的影响。第四，缺口分析主要衡量利率变动对银行当期收益的影响，未考虑利率变动对银行经济价值的影响，所以只能反映利率变动的短期影响。因此，缺口分析只是一种初级的、粗略的利率风险计量方法。</w:t>
      </w:r>
    </w:p>
    <w:p w14:paraId="1EC93F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w:t>
      </w:r>
      <w:proofErr w:type="gramStart"/>
      <w:r>
        <w:rPr>
          <w:rFonts w:ascii="宋体" w:eastAsia="宋体" w:hAnsi="宋体" w:cs="宋体" w:hint="eastAsia"/>
          <w:sz w:val="24"/>
        </w:rPr>
        <w:t>久期分析</w:t>
      </w:r>
      <w:proofErr w:type="gramEnd"/>
      <w:r>
        <w:rPr>
          <w:rFonts w:ascii="宋体" w:eastAsia="宋体" w:hAnsi="宋体" w:cs="宋体" w:hint="eastAsia"/>
          <w:sz w:val="24"/>
        </w:rPr>
        <w:t>（Duration Analysis）</w:t>
      </w:r>
    </w:p>
    <w:p w14:paraId="29A23B6C"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久期分析</w:t>
      </w:r>
      <w:proofErr w:type="gramEnd"/>
      <w:r>
        <w:rPr>
          <w:rFonts w:ascii="宋体" w:eastAsia="宋体" w:hAnsi="宋体" w:cs="宋体" w:hint="eastAsia"/>
          <w:sz w:val="24"/>
        </w:rPr>
        <w:t>也称为持续</w:t>
      </w:r>
      <w:proofErr w:type="gramStart"/>
      <w:r>
        <w:rPr>
          <w:rFonts w:ascii="宋体" w:eastAsia="宋体" w:hAnsi="宋体" w:cs="宋体" w:hint="eastAsia"/>
          <w:sz w:val="24"/>
        </w:rPr>
        <w:t>期分析</w:t>
      </w:r>
      <w:proofErr w:type="gramEnd"/>
      <w:r>
        <w:rPr>
          <w:rFonts w:ascii="宋体" w:eastAsia="宋体" w:hAnsi="宋体" w:cs="宋体" w:hint="eastAsia"/>
          <w:sz w:val="24"/>
        </w:rPr>
        <w:t>或期限弹性分析，是衡量利率变动对银行经济价值影响的一种方法。具体而言，就是对各时段的缺口赋予相应的敏感性权重，得到加权缺口，然后对所有时段的加权缺口进行汇总，以此估算某一给定的小幅（通常小于1%）利率变动可能会对银行经济价值产生的影响（用经济价值变动的百分比表示）。各个时段的敏感性权重通常是由假定的利率变动乘以该时段头寸的假定</w:t>
      </w:r>
      <w:proofErr w:type="gramStart"/>
      <w:r>
        <w:rPr>
          <w:rFonts w:ascii="宋体" w:eastAsia="宋体" w:hAnsi="宋体" w:cs="宋体" w:hint="eastAsia"/>
          <w:sz w:val="24"/>
        </w:rPr>
        <w:t>平均久期来</w:t>
      </w:r>
      <w:proofErr w:type="gramEnd"/>
      <w:r>
        <w:rPr>
          <w:rFonts w:ascii="宋体" w:eastAsia="宋体" w:hAnsi="宋体" w:cs="宋体" w:hint="eastAsia"/>
          <w:sz w:val="24"/>
        </w:rPr>
        <w:t>确定。一般而言，金融工具的到期日或距下一次重新定价日的时间越长，并且在到期日之前支付的金额越小，</w:t>
      </w:r>
      <w:proofErr w:type="gramStart"/>
      <w:r>
        <w:rPr>
          <w:rFonts w:ascii="宋体" w:eastAsia="宋体" w:hAnsi="宋体" w:cs="宋体" w:hint="eastAsia"/>
          <w:sz w:val="24"/>
        </w:rPr>
        <w:t>则久期的</w:t>
      </w:r>
      <w:proofErr w:type="gramEnd"/>
      <w:r>
        <w:rPr>
          <w:rFonts w:ascii="宋体" w:eastAsia="宋体" w:hAnsi="宋体" w:cs="宋体" w:hint="eastAsia"/>
          <w:sz w:val="24"/>
        </w:rPr>
        <w:t>绝对值越高，表明利率变动将会对银行的经济价值产生较大的影响。</w:t>
      </w:r>
      <w:proofErr w:type="gramStart"/>
      <w:r>
        <w:rPr>
          <w:rFonts w:ascii="宋体" w:eastAsia="宋体" w:hAnsi="宋体" w:cs="宋体" w:hint="eastAsia"/>
          <w:sz w:val="24"/>
        </w:rPr>
        <w:t>久期分析</w:t>
      </w:r>
      <w:proofErr w:type="gramEnd"/>
      <w:r>
        <w:rPr>
          <w:rFonts w:ascii="宋体" w:eastAsia="宋体" w:hAnsi="宋体" w:cs="宋体" w:hint="eastAsia"/>
          <w:sz w:val="24"/>
        </w:rPr>
        <w:t>也是对利率变动进行敏感性分析的方法之一。</w:t>
      </w:r>
    </w:p>
    <w:p w14:paraId="4FCE79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银行可以对以上的标准</w:t>
      </w:r>
      <w:proofErr w:type="gramStart"/>
      <w:r>
        <w:rPr>
          <w:rFonts w:ascii="宋体" w:eastAsia="宋体" w:hAnsi="宋体" w:cs="宋体" w:hint="eastAsia"/>
          <w:sz w:val="24"/>
        </w:rPr>
        <w:t>久期分析</w:t>
      </w:r>
      <w:proofErr w:type="gramEnd"/>
      <w:r>
        <w:rPr>
          <w:rFonts w:ascii="宋体" w:eastAsia="宋体" w:hAnsi="宋体" w:cs="宋体" w:hint="eastAsia"/>
          <w:sz w:val="24"/>
        </w:rPr>
        <w:t>法进行演变，如可以不采用对每一时段头寸使用</w:t>
      </w:r>
      <w:proofErr w:type="gramStart"/>
      <w:r>
        <w:rPr>
          <w:rFonts w:ascii="宋体" w:eastAsia="宋体" w:hAnsi="宋体" w:cs="宋体" w:hint="eastAsia"/>
          <w:sz w:val="24"/>
        </w:rPr>
        <w:t>平均久期的</w:t>
      </w:r>
      <w:proofErr w:type="gramEnd"/>
      <w:r>
        <w:rPr>
          <w:rFonts w:ascii="宋体" w:eastAsia="宋体" w:hAnsi="宋体" w:cs="宋体" w:hint="eastAsia"/>
          <w:sz w:val="24"/>
        </w:rPr>
        <w:t>做法，而是通过计算每项资产、负债和表外头寸的</w:t>
      </w:r>
      <w:proofErr w:type="gramStart"/>
      <w:r>
        <w:rPr>
          <w:rFonts w:ascii="宋体" w:eastAsia="宋体" w:hAnsi="宋体" w:cs="宋体" w:hint="eastAsia"/>
          <w:sz w:val="24"/>
        </w:rPr>
        <w:t>精确久期来</w:t>
      </w:r>
      <w:proofErr w:type="gramEnd"/>
      <w:r>
        <w:rPr>
          <w:rFonts w:ascii="宋体" w:eastAsia="宋体" w:hAnsi="宋体" w:cs="宋体" w:hint="eastAsia"/>
          <w:sz w:val="24"/>
        </w:rPr>
        <w:t>计量市场利率变化所产生的影响，从而消除加总头寸/现金流量时可能产生的误差。</w:t>
      </w:r>
      <w:r>
        <w:rPr>
          <w:rFonts w:ascii="宋体" w:eastAsia="宋体" w:hAnsi="宋体" w:cs="宋体" w:hint="eastAsia"/>
          <w:sz w:val="24"/>
        </w:rPr>
        <w:lastRenderedPageBreak/>
        <w:t>另外，银行还可以采用有效</w:t>
      </w:r>
      <w:proofErr w:type="gramStart"/>
      <w:r>
        <w:rPr>
          <w:rFonts w:ascii="宋体" w:eastAsia="宋体" w:hAnsi="宋体" w:cs="宋体" w:hint="eastAsia"/>
          <w:sz w:val="24"/>
        </w:rPr>
        <w:t>久期分析</w:t>
      </w:r>
      <w:proofErr w:type="gramEnd"/>
      <w:r>
        <w:rPr>
          <w:rFonts w:ascii="宋体" w:eastAsia="宋体" w:hAnsi="宋体" w:cs="宋体" w:hint="eastAsia"/>
          <w:sz w:val="24"/>
        </w:rPr>
        <w:t>法，即对不同的时段运用不同的权重，根据在特定的利率变化情况下，假想金融工具市场价值的实际百分比变化，来设计各时段风险权重，从而更好地反映市场利率的显著变动所导致的价格的非线性变化。</w:t>
      </w:r>
    </w:p>
    <w:p w14:paraId="3F235F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与缺口分析相比较，</w:t>
      </w:r>
      <w:proofErr w:type="gramStart"/>
      <w:r>
        <w:rPr>
          <w:rFonts w:ascii="宋体" w:eastAsia="宋体" w:hAnsi="宋体" w:cs="宋体" w:hint="eastAsia"/>
          <w:sz w:val="24"/>
        </w:rPr>
        <w:t>久期分析</w:t>
      </w:r>
      <w:proofErr w:type="gramEnd"/>
      <w:r>
        <w:rPr>
          <w:rFonts w:ascii="宋体" w:eastAsia="宋体" w:hAnsi="宋体" w:cs="宋体" w:hint="eastAsia"/>
          <w:sz w:val="24"/>
        </w:rPr>
        <w:t>是一种更为先进的利率风险计量方法。缺口分析侧重于计量利率变动对银行短期收益的影响，而</w:t>
      </w:r>
      <w:proofErr w:type="gramStart"/>
      <w:r>
        <w:rPr>
          <w:rFonts w:ascii="宋体" w:eastAsia="宋体" w:hAnsi="宋体" w:cs="宋体" w:hint="eastAsia"/>
          <w:sz w:val="24"/>
        </w:rPr>
        <w:t>久期分析</w:t>
      </w:r>
      <w:proofErr w:type="gramEnd"/>
      <w:r>
        <w:rPr>
          <w:rFonts w:ascii="宋体" w:eastAsia="宋体" w:hAnsi="宋体" w:cs="宋体" w:hint="eastAsia"/>
          <w:sz w:val="24"/>
        </w:rPr>
        <w:t>则能计量利率风险对银行经济价值的影响，即估算利率变动对所有头寸的未来现金流现值的潜在影响，从而能够对利率变动的长期影响进行评估，更为准确地估算利率风险对银行的影响。但是，</w:t>
      </w:r>
      <w:proofErr w:type="gramStart"/>
      <w:r>
        <w:rPr>
          <w:rFonts w:ascii="宋体" w:eastAsia="宋体" w:hAnsi="宋体" w:cs="宋体" w:hint="eastAsia"/>
          <w:sz w:val="24"/>
        </w:rPr>
        <w:t>久期分析</w:t>
      </w:r>
      <w:proofErr w:type="gramEnd"/>
      <w:r>
        <w:rPr>
          <w:rFonts w:ascii="宋体" w:eastAsia="宋体" w:hAnsi="宋体" w:cs="宋体" w:hint="eastAsia"/>
          <w:sz w:val="24"/>
        </w:rPr>
        <w:t>仍然存在一定的局限性。第一，如果在计算敏感性权重时对每一时段使用平均久期，即采用标准</w:t>
      </w:r>
      <w:proofErr w:type="gramStart"/>
      <w:r>
        <w:rPr>
          <w:rFonts w:ascii="宋体" w:eastAsia="宋体" w:hAnsi="宋体" w:cs="宋体" w:hint="eastAsia"/>
          <w:sz w:val="24"/>
        </w:rPr>
        <w:t>久期分析</w:t>
      </w:r>
      <w:proofErr w:type="gramEnd"/>
      <w:r>
        <w:rPr>
          <w:rFonts w:ascii="宋体" w:eastAsia="宋体" w:hAnsi="宋体" w:cs="宋体" w:hint="eastAsia"/>
          <w:sz w:val="24"/>
        </w:rPr>
        <w:t>法，</w:t>
      </w:r>
      <w:proofErr w:type="gramStart"/>
      <w:r>
        <w:rPr>
          <w:rFonts w:ascii="宋体" w:eastAsia="宋体" w:hAnsi="宋体" w:cs="宋体" w:hint="eastAsia"/>
          <w:sz w:val="24"/>
        </w:rPr>
        <w:t>久期分析</w:t>
      </w:r>
      <w:proofErr w:type="gramEnd"/>
      <w:r>
        <w:rPr>
          <w:rFonts w:ascii="宋体" w:eastAsia="宋体" w:hAnsi="宋体" w:cs="宋体" w:hint="eastAsia"/>
          <w:sz w:val="24"/>
        </w:rPr>
        <w:t>仍然只能反映重新定价风险，不能反映基准风险，以及因利率和支付时间的不同而导致的头寸的实际利率敏感性差异，也不能很好地反映期权性风险。第二，对于利率的大幅变动（大于1％），由于头寸价格的变化与利率的变动无法近似为线性关系，因此，</w:t>
      </w:r>
      <w:proofErr w:type="gramStart"/>
      <w:r>
        <w:rPr>
          <w:rFonts w:ascii="宋体" w:eastAsia="宋体" w:hAnsi="宋体" w:cs="宋体" w:hint="eastAsia"/>
          <w:sz w:val="24"/>
        </w:rPr>
        <w:t>久期分析</w:t>
      </w:r>
      <w:proofErr w:type="gramEnd"/>
      <w:r>
        <w:rPr>
          <w:rFonts w:ascii="宋体" w:eastAsia="宋体" w:hAnsi="宋体" w:cs="宋体" w:hint="eastAsia"/>
          <w:sz w:val="24"/>
        </w:rPr>
        <w:t>的结果就不再准确。</w:t>
      </w:r>
    </w:p>
    <w:p w14:paraId="4B175E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四、外汇敞口分析（Foreign Currency Exposure Analysis）</w:t>
      </w:r>
    </w:p>
    <w:p w14:paraId="5A88A0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外汇敞口分析是衡量汇率变动对银行当期收益的影响的一种方法。外汇敞口主要来源于银行表内外业务中的货币错配。当在某一时段内，银行某一币种的多头头寸与空头头寸不一致时，所产生的差额就形成了外汇敞口。在存在外汇敞口的情况下，汇率变动可能会给银行的当期收益或经济价值带来损失，从而形成汇率风险。在进行敞口分析时，银行应当分析单一币种的外汇敞口，以及各币种敞口折成报告货币并加总轧差后形成的外汇总敞口。对单一币种的外汇敞口，银行应当分析即期外汇敞口、远期外汇敞口和即期、远期加总轧差后的外汇敞口。银行还应当对交易业务和</w:t>
      </w:r>
      <w:proofErr w:type="gramStart"/>
      <w:r>
        <w:rPr>
          <w:rFonts w:ascii="宋体" w:eastAsia="宋体" w:hAnsi="宋体" w:cs="宋体" w:hint="eastAsia"/>
          <w:sz w:val="24"/>
        </w:rPr>
        <w:t>非交易</w:t>
      </w:r>
      <w:proofErr w:type="gramEnd"/>
      <w:r>
        <w:rPr>
          <w:rFonts w:ascii="宋体" w:eastAsia="宋体" w:hAnsi="宋体" w:cs="宋体" w:hint="eastAsia"/>
          <w:sz w:val="24"/>
        </w:rPr>
        <w:t>业务形成的外汇敞口加以区分。对因存在外汇敞口而产生的汇率风险，银行通常采用套期保值和限额管理等方式进行控制。外汇敞口限额包括对单一币种的外汇敞口限额和外汇总敞口限额。外汇敞口分析是银行业较早采用的汇率风险计量方法，具有计算简便、清晰易懂的优点。但是，外汇敞口分析也存在一定的局限性，主要是忽略了各币种汇率变动的相关性，难以揭示由于各币种汇率变动的相关性所带来的汇率风险。</w:t>
      </w:r>
    </w:p>
    <w:p w14:paraId="468754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五、敏感性分析（Sensitivity Analysis）</w:t>
      </w:r>
    </w:p>
    <w:p w14:paraId="50C915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敏感性分析是指在保持其他条件不变的前提下，研究单个市场风险要素（利率、汇率、股票价格和商品价格）的变化可能会对金融工具或资产组合的收益或经济价值产生的影响。例如，缺口分析可用于衡量银行当期收益对利率变动的敏感性；</w:t>
      </w:r>
      <w:proofErr w:type="gramStart"/>
      <w:r>
        <w:rPr>
          <w:rFonts w:ascii="宋体" w:eastAsia="宋体" w:hAnsi="宋体" w:cs="宋体" w:hint="eastAsia"/>
          <w:sz w:val="24"/>
        </w:rPr>
        <w:t>久期分析</w:t>
      </w:r>
      <w:proofErr w:type="gramEnd"/>
      <w:r>
        <w:rPr>
          <w:rFonts w:ascii="宋体" w:eastAsia="宋体" w:hAnsi="宋体" w:cs="宋体" w:hint="eastAsia"/>
          <w:sz w:val="24"/>
        </w:rPr>
        <w:t>可用于衡量银行经济价值对利率变动的敏感性。巴塞尔委员会在2004年发布的《利率风险管理与监管原则》中，要求银行评估标准利率冲击（如利率上升或下降200个基点）对银行经济价值的影响，也是一种利率敏感性分析方法，目的是使监管当局能够根据标准利率冲击的评估结果，评价银行的内部计量系统是否能充分反映其实际利率风险水平及其资本充足程度，并对不同机构所承担的利率风险进行比较。如果在标准利率冲击下，银行经济价值的下降幅度超过一级资本、二级资本之和的20％，监管机构就必须关注其资本充足状况，必要时还应要求银行降低风险水平和/或增加资本。</w:t>
      </w:r>
    </w:p>
    <w:p w14:paraId="4D4875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敏感性分析计算简单且便于理解，在市场风险分析中得到了广泛应用。但是敏感性分析也存在一定的局限性，主要表现在对于较复杂的金融工具或资产组合，无法计量其收益或经济价值相对市场风险要素的非线性变化。因此，在使用敏感性分析时要注意其适用范围，并在必要时辅以其他的市场风险分析方法。</w:t>
      </w:r>
    </w:p>
    <w:p w14:paraId="6FD66D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六、情景分析（Scenario Analysis）</w:t>
      </w:r>
    </w:p>
    <w:p w14:paraId="1027F5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与敏感性分析对单一因素进行分析不同，情景分析是一种多因素分析方法，结合设定的各种可能情景的发生概率，研究多种因素同时作用时可能产生的影响。在情景分析过程中要注意考虑各种头寸的相关关系和相互作用。情景分析中所用的情景通常包括基准情景、最好的情景和最坏的情景。情景可以人为设定（如直接使用历史上发生过的情景），也可以从对市场风险要素历史数据变动的统计分析中得到，或通过运行描述在特定情况下市场风险要素变动的随机过程得到。如银行可以分析利率、汇率同时发生变化时可能会对其市场风险水平产生的影响，也可以分析在发生历史上出现过的政治、经济事件或金融危机以及一些假设事件时，其市场风险状况可能发生的变化。</w:t>
      </w:r>
    </w:p>
    <w:p w14:paraId="680A9D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七、风险价值（Value at </w:t>
      </w:r>
      <w:proofErr w:type="spellStart"/>
      <w:r>
        <w:rPr>
          <w:rFonts w:ascii="宋体" w:eastAsia="宋体" w:hAnsi="宋体" w:cs="宋体" w:hint="eastAsia"/>
          <w:sz w:val="24"/>
        </w:rPr>
        <w:t>Risk,VaR</w:t>
      </w:r>
      <w:proofErr w:type="spellEnd"/>
      <w:r>
        <w:rPr>
          <w:rFonts w:ascii="宋体" w:eastAsia="宋体" w:hAnsi="宋体" w:cs="宋体" w:hint="eastAsia"/>
          <w:sz w:val="24"/>
        </w:rPr>
        <w:t>）</w:t>
      </w:r>
    </w:p>
    <w:p w14:paraId="7A3752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风险价值是指在一定的持有期和给定的置信水平下，利率、汇率等市场风险要素发生变化时可能对某项资金头寸、资产组合或机构造成的潜在最大损失。例</w:t>
      </w:r>
      <w:r>
        <w:rPr>
          <w:rFonts w:ascii="宋体" w:eastAsia="宋体" w:hAnsi="宋体" w:cs="宋体" w:hint="eastAsia"/>
          <w:sz w:val="24"/>
        </w:rPr>
        <w:lastRenderedPageBreak/>
        <w:t>如，在持有期为1天、置信水平为99％的情况下，若所计算的风险价值为1万美元，则表明该银行的资产组合在1天中的损失有99％的可能性不会超过1万美元。风险价值通常是由银行的市场风险内部定量管理模型来估算。目前常用的风险价值模型技术主要有三种：方差－协方差法（Variance-Covariance Method）、历史模拟法（Historical Simulation Method）和蒙特卡洛法（Monte Carlo Simulation Method）。现在，风险价值已成为计量市场风险的主要指标，也是银行采用内部模型计算市场风险资本要求的主要依据。</w:t>
      </w:r>
    </w:p>
    <w:p w14:paraId="376549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市场风险内部模型的技术方法、假设前提和参数设置可以有多种选择，在进行内部风险管理时，银行通常都根据本行的发展战略、风险管理目标和业务复杂程度自行设定。只是对于市场风险监管资本的计算，巴塞尔委员会和大多数监管当局才做出了一些统一规定，目的是使不同银行所计算的市场风险监管资本具有一致性和可比性，同时从审慎监管的角度出发，对一些参数，如持有</w:t>
      </w:r>
      <w:proofErr w:type="gramStart"/>
      <w:r>
        <w:rPr>
          <w:rFonts w:ascii="宋体" w:eastAsia="宋体" w:hAnsi="宋体" w:cs="宋体" w:hint="eastAsia"/>
          <w:sz w:val="24"/>
        </w:rPr>
        <w:t>期做出</w:t>
      </w:r>
      <w:proofErr w:type="gramEnd"/>
      <w:r>
        <w:rPr>
          <w:rFonts w:ascii="宋体" w:eastAsia="宋体" w:hAnsi="宋体" w:cs="宋体" w:hint="eastAsia"/>
          <w:sz w:val="24"/>
        </w:rPr>
        <w:t>了相对保守的规定。巴塞尔委员会在1996年的《资本协议市场风险补充规定》中对市场风险内部模型主要提出了以下定量要求：置信水平采用99％的单尾置信区间；持有期为10个营业日；市场风险要素价格的历史观测期至少为一年；至少每三个月更新一次数据。但是，在模型技术方面，巴塞尔委员会和各国监管当局均未做出硬性要求，允许银行自行选择三种常用模型技术中的任何一种。即使是对</w:t>
      </w:r>
      <w:proofErr w:type="spellStart"/>
      <w:r>
        <w:rPr>
          <w:rFonts w:ascii="宋体" w:eastAsia="宋体" w:hAnsi="宋体" w:cs="宋体" w:hint="eastAsia"/>
          <w:sz w:val="24"/>
        </w:rPr>
        <w:t>VaR</w:t>
      </w:r>
      <w:proofErr w:type="spellEnd"/>
      <w:r>
        <w:rPr>
          <w:rFonts w:ascii="宋体" w:eastAsia="宋体" w:hAnsi="宋体" w:cs="宋体" w:hint="eastAsia"/>
          <w:sz w:val="24"/>
        </w:rPr>
        <w:t>模型参数设置做出的定量规定，也仅限于在计算市场风险监管资本时遵循，商业银行实施内部风险管理完全可以选用不同的参数值。如巴塞尔委员会要求计算监管资本应采用99%的置信水平，而不少银行在内部管理时却选用95%、97.5%的置信水平。此外，考虑到市场风险内部模型本身存在的一些缺陷，巴塞尔委员会要求在计算市场风险监管资本时，必须将计算出来的风险价值乘以一个乘数因子（multiplication factor），使所得出的资本数额足以抵御市场发生不利变化可能对银行造成的损失。乘数因子一般由各国监管当局根据其对银行风险管理体系质量的评估自行确定，巴塞尔委员会规定该值不得低于3。</w:t>
      </w:r>
    </w:p>
    <w:p w14:paraId="43B518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目前，市场风险内部模型已成为市场风险的主要计量方法。与缺口分析、</w:t>
      </w:r>
      <w:proofErr w:type="gramStart"/>
      <w:r>
        <w:rPr>
          <w:rFonts w:ascii="宋体" w:eastAsia="宋体" w:hAnsi="宋体" w:cs="宋体" w:hint="eastAsia"/>
          <w:sz w:val="24"/>
        </w:rPr>
        <w:t>久期分析</w:t>
      </w:r>
      <w:proofErr w:type="gramEnd"/>
      <w:r>
        <w:rPr>
          <w:rFonts w:ascii="宋体" w:eastAsia="宋体" w:hAnsi="宋体" w:cs="宋体" w:hint="eastAsia"/>
          <w:sz w:val="24"/>
        </w:rPr>
        <w:t>等传统的市场风险计量方法相比，市场风险内部模型的主要优点是可以将不同业务、不同类别的市场风险用一个确切的数值（</w:t>
      </w:r>
      <w:proofErr w:type="spellStart"/>
      <w:r>
        <w:rPr>
          <w:rFonts w:ascii="宋体" w:eastAsia="宋体" w:hAnsi="宋体" w:cs="宋体" w:hint="eastAsia"/>
          <w:sz w:val="24"/>
        </w:rPr>
        <w:t>VaR</w:t>
      </w:r>
      <w:proofErr w:type="spellEnd"/>
      <w:r>
        <w:rPr>
          <w:rFonts w:ascii="宋体" w:eastAsia="宋体" w:hAnsi="宋体" w:cs="宋体" w:hint="eastAsia"/>
          <w:sz w:val="24"/>
        </w:rPr>
        <w:t>值）表示出来，是一种能在不同业务和风险类别之间进行比较和汇总的市场风险计量方法，而且将隐性</w:t>
      </w:r>
      <w:r>
        <w:rPr>
          <w:rFonts w:ascii="宋体" w:eastAsia="宋体" w:hAnsi="宋体" w:cs="宋体" w:hint="eastAsia"/>
          <w:sz w:val="24"/>
        </w:rPr>
        <w:lastRenderedPageBreak/>
        <w:t>风险显性化之后，有利于进行风险的监测、管理和控制。同时，由于风险价值具有高度的概括性，简明易懂，也适宜董事会和高级管理层了解本行市场风险的总体水平。但是，市场风险内部模型法也存在一定的局限性。第一，市场风险内部模型计算的风险水平高度概括，不能反映资产组合的构成及其对价格波动的敏感性，因此对具体的风险管理过程作用有限，需要辅之以敏感性分析、情景分析等</w:t>
      </w:r>
      <w:proofErr w:type="gramStart"/>
      <w:r>
        <w:rPr>
          <w:rFonts w:ascii="宋体" w:eastAsia="宋体" w:hAnsi="宋体" w:cs="宋体" w:hint="eastAsia"/>
          <w:sz w:val="24"/>
        </w:rPr>
        <w:t>非统计</w:t>
      </w:r>
      <w:proofErr w:type="gramEnd"/>
      <w:r>
        <w:rPr>
          <w:rFonts w:ascii="宋体" w:eastAsia="宋体" w:hAnsi="宋体" w:cs="宋体" w:hint="eastAsia"/>
          <w:sz w:val="24"/>
        </w:rPr>
        <w:t>类方法。第二，市场风险内部模型方法未涵盖价格剧烈波动等可能会对银行造成重大损失的突发性小概率事件，因此需要采用压力测试对其进行补充。第三，大多数市场风险内部模型只能计量交易业务中的市场风险，不能计量</w:t>
      </w:r>
      <w:proofErr w:type="gramStart"/>
      <w:r>
        <w:rPr>
          <w:rFonts w:ascii="宋体" w:eastAsia="宋体" w:hAnsi="宋体" w:cs="宋体" w:hint="eastAsia"/>
          <w:sz w:val="24"/>
        </w:rPr>
        <w:t>非交易</w:t>
      </w:r>
      <w:proofErr w:type="gramEnd"/>
      <w:r>
        <w:rPr>
          <w:rFonts w:ascii="宋体" w:eastAsia="宋体" w:hAnsi="宋体" w:cs="宋体" w:hint="eastAsia"/>
          <w:sz w:val="24"/>
        </w:rPr>
        <w:t>业务中的市场风险。因此，使用市场风险内部模型的银行应当充分认识其局限性，</w:t>
      </w:r>
      <w:proofErr w:type="gramStart"/>
      <w:r>
        <w:rPr>
          <w:rFonts w:ascii="宋体" w:eastAsia="宋体" w:hAnsi="宋体" w:cs="宋体" w:hint="eastAsia"/>
          <w:sz w:val="24"/>
        </w:rPr>
        <w:t>恰当理解</w:t>
      </w:r>
      <w:proofErr w:type="gramEnd"/>
      <w:r>
        <w:rPr>
          <w:rFonts w:ascii="宋体" w:eastAsia="宋体" w:hAnsi="宋体" w:cs="宋体" w:hint="eastAsia"/>
          <w:sz w:val="24"/>
        </w:rPr>
        <w:t>和运用模型的计算结果。</w:t>
      </w:r>
    </w:p>
    <w:p w14:paraId="156FD4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八、事后检验（Back Testing）</w:t>
      </w:r>
    </w:p>
    <w:p w14:paraId="7E3D9A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事后检验是指将市场风险计量方法或模型的估算结果与实际发生的损益进行比较，以检验计量方法或模型的准确性、可靠性，并据此对计量方法或模型进行调整和改进的一种方法。若估算结果与实际结果近似，则表明该风险计量方法或模型的准确性和可靠性较高；若两者差距较大，则表明该风险计量方法或模型的准确性和可靠性较低，或者是事后检验的假设前提存在问题；介于这两种情况之间的检验结果，则暗示该风险计量方法或模型存在问题，但结论不确定。目前，事后检验作为检验市场风险计量方法或模型的一种手段还处在发展过程中。不同银行采用的事后检验方法以及对事后检验结果的解释标准均有所不同。</w:t>
      </w:r>
    </w:p>
    <w:p w14:paraId="1C67A0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巴塞尔委员会1996年的《资本协议市场风险补充规定》要求采用内部模型计算市场风险资本的银行对模型进行事后检验，以检验并提高模型的准确性和可靠性。监管当局应根据事后检验的结果决定是否通过设定附加因子（plus factor）来提高市场风险的监管资本要求。附加因子设定在最低乘数因子（巴塞尔委员会规定为3）之上，取值在0~1之间。如果监管当局对模型的事后检验结果比较满意，模型也满足了监管当局规定的其他定量和定性标准，就可以将附加因子设为0，否则可以设为0~1之间的</w:t>
      </w:r>
      <w:proofErr w:type="gramStart"/>
      <w:r>
        <w:rPr>
          <w:rFonts w:ascii="宋体" w:eastAsia="宋体" w:hAnsi="宋体" w:cs="宋体" w:hint="eastAsia"/>
          <w:sz w:val="24"/>
        </w:rPr>
        <w:t>一</w:t>
      </w:r>
      <w:proofErr w:type="gramEnd"/>
      <w:r>
        <w:rPr>
          <w:rFonts w:ascii="宋体" w:eastAsia="宋体" w:hAnsi="宋体" w:cs="宋体" w:hint="eastAsia"/>
          <w:sz w:val="24"/>
        </w:rPr>
        <w:t>个数，即通过增大所计算</w:t>
      </w:r>
      <w:proofErr w:type="spellStart"/>
      <w:r>
        <w:rPr>
          <w:rFonts w:ascii="宋体" w:eastAsia="宋体" w:hAnsi="宋体" w:cs="宋体" w:hint="eastAsia"/>
          <w:sz w:val="24"/>
        </w:rPr>
        <w:t>VaR</w:t>
      </w:r>
      <w:proofErr w:type="spellEnd"/>
      <w:r>
        <w:rPr>
          <w:rFonts w:ascii="宋体" w:eastAsia="宋体" w:hAnsi="宋体" w:cs="宋体" w:hint="eastAsia"/>
          <w:sz w:val="24"/>
        </w:rPr>
        <w:t>值的乘数因子，对内部模型存在缺陷的银行提出更高的监管资本要求。</w:t>
      </w:r>
    </w:p>
    <w:p w14:paraId="4E77EC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九、压力测试（Stress Testing）</w:t>
      </w:r>
    </w:p>
    <w:p w14:paraId="69BFBA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银行不仅应采用各种市场风险计量方法对在一般市场情况下所承受的市场风险进行分析，还应当通过压力测试来估算突发的小概率事件等极端不利情况可能对其造成的潜在损失，如在利率、汇率、股票价格等市场风险要素发生剧烈变动、国内生产总值大幅下降、发生意外的政治和经济事件或者几种情形同时发生的情况下，银行可能遭受的损失。压力测试的目的是评估银行在极端不利情况下的亏损承受能力，主要采用敏感性分析和情景分析方法进行模拟和估计。</w:t>
      </w:r>
    </w:p>
    <w:p w14:paraId="7B5D2B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运用敏感性分析方法进行压力测试时，需要回答的问题如：汇率冲击对银行净外汇头寸的影响，利率冲击对银行经济价值或收益产生的影响等等。在运用情景分析方法进行压力测试时，应当选择可能对市场风险产生最大影响的情景，包括历史上发生过重大损失的情景（如1997年的亚洲金融危机）和假设情景。假设情景又包括模型假设和参数不再适用的情形、市场价格发生剧烈变动的情形、市场流动性严重不足的情形，以及外部环境发生重大变化、可能导致重大损失或风险难以控制的情景。这些情景或者由监管当局规定，或者由商业银行根据自己的资产组合特点来设计。在设计压力情景时，既要考虑市场风险要素变动等微观因素，又要考虑一国经济结构和宏观经济政策变化等宏观层面因素。</w:t>
      </w:r>
    </w:p>
    <w:p w14:paraId="405B6D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十、银行账户与交易账户（Banking Book and Trading Book）</w:t>
      </w:r>
    </w:p>
    <w:p w14:paraId="0E910F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的表内外资产可分为银行账户和交易账户资产两大类。巴塞尔委员会2004年的《新资本协议》对其1996年《资本协议市场风险补充规定》中的交易账户定义进行了修改，修改后的定义为：交易账户记录的是银行为交易目的或规避交易账户其他项目的风险而持有的可以自由交易的金融工具和商品头寸。记入交易账户的头寸必须在交易方面不受任何条款限制，或者能够完全规避自身风险。而且，银行应当对交易账户头寸经常进行准确估值，并积极管理该项投资组合。为交易目的而持有的头寸是指，在短期内有目的地持有以便转手出售、从实际或预期的短期价格波动中获利或者锁定套利（lock in arbitrage profits）的头寸，如自营头寸、代客买卖头寸和做市交易（market making）形成的头寸。记入交易账户的头寸应当满足以下基本要求：一是具有经高级管理层批准的书面的头寸/金融工具和投资组合的交易策略（包括持有期限）；二是具有明确的头寸管理政策和程序；三是具有明确的监控头寸与银行交易策略是否一致的政策和程</w:t>
      </w:r>
      <w:r>
        <w:rPr>
          <w:rFonts w:ascii="宋体" w:eastAsia="宋体" w:hAnsi="宋体" w:cs="宋体" w:hint="eastAsia"/>
          <w:sz w:val="24"/>
        </w:rPr>
        <w:lastRenderedPageBreak/>
        <w:t>序，包括监控交易规模和交易账户的头寸余额。是否具有交易目的在交易之初就已确定，此后一般不能随意更改。与交易账户相对应，银行的其他业务归入银行账户，最典型的是存贷款业务。交易账户中的项目通常按市场价格计价（mark-to-market），当缺乏可参考的市场价格时，可以按模型定价（mark-to-model）。按模型定价是指将从市场获得的其他相关数据输入模型，计算或推算</w:t>
      </w:r>
      <w:proofErr w:type="gramStart"/>
      <w:r>
        <w:rPr>
          <w:rFonts w:ascii="宋体" w:eastAsia="宋体" w:hAnsi="宋体" w:cs="宋体" w:hint="eastAsia"/>
          <w:sz w:val="24"/>
        </w:rPr>
        <w:t>出交易</w:t>
      </w:r>
      <w:proofErr w:type="gramEnd"/>
      <w:r>
        <w:rPr>
          <w:rFonts w:ascii="宋体" w:eastAsia="宋体" w:hAnsi="宋体" w:cs="宋体" w:hint="eastAsia"/>
          <w:sz w:val="24"/>
        </w:rPr>
        <w:t>头寸的价值。银行账户中的项目则通常按历史成本计价。</w:t>
      </w:r>
    </w:p>
    <w:p w14:paraId="6E13E3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商业银行应当制定关于账户划分的内部政策和程序，内容应包括：对交易业务的界定，应列入交易账户的金融工具，对交易和</w:t>
      </w:r>
      <w:proofErr w:type="gramStart"/>
      <w:r>
        <w:rPr>
          <w:rFonts w:ascii="宋体" w:eastAsia="宋体" w:hAnsi="宋体" w:cs="宋体" w:hint="eastAsia"/>
          <w:sz w:val="24"/>
        </w:rPr>
        <w:t>非交易</w:t>
      </w:r>
      <w:proofErr w:type="gramEnd"/>
      <w:r>
        <w:rPr>
          <w:rFonts w:ascii="宋体" w:eastAsia="宋体" w:hAnsi="宋体" w:cs="宋体" w:hint="eastAsia"/>
          <w:sz w:val="24"/>
        </w:rPr>
        <w:t>岗位及其职责的严格划分，金融工具或投资组合的交易策略，交易头寸的管理政策和程序，监控交易头寸与交易策略是否一致的程序等。同时，银行应保留完整的交易和账户划分记录，以便进行查询，并接受内部、外部审计和监管当局的监督检查。同时，商业银行应当根据银行账户和交易账户的性质和特点，采取相应的市场风险识别、计量、监测和控制方法。</w:t>
      </w:r>
    </w:p>
    <w:p w14:paraId="0C0D61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另外，划分银行账户和交易账户，也是准确计算市场风险监管资本的基础。巴塞尔委员会于1996年1月颁布的《资本协议市场风险补充规定》以及大多数国家据此制定的资本协议将市场风险纳入了资本要求的范围，但未涵盖全部的市场风险，所包括的是在交易账户中的利率和股票价格风险以及在银行和交易账户中的汇率和商品价格风险。因此，若账户划分不当，会影响市场风险资本要求的准确程度；若银行在两个账户之间随意调节头寸，则会为其根据需要调整所计算的资本充足</w:t>
      </w:r>
      <w:proofErr w:type="gramStart"/>
      <w:r>
        <w:rPr>
          <w:rFonts w:ascii="宋体" w:eastAsia="宋体" w:hAnsi="宋体" w:cs="宋体" w:hint="eastAsia"/>
          <w:sz w:val="24"/>
        </w:rPr>
        <w:t>率提供</w:t>
      </w:r>
      <w:proofErr w:type="gramEnd"/>
      <w:r>
        <w:rPr>
          <w:rFonts w:ascii="宋体" w:eastAsia="宋体" w:hAnsi="宋体" w:cs="宋体" w:hint="eastAsia"/>
          <w:sz w:val="24"/>
        </w:rPr>
        <w:t>监管套利机会。目前，实行市场风险监管资本要求的国家/地区的银行监管当局都制定了银行账户、交易账户划分的基本原则，并要求商业银行据此制定内部的政策和程序，详细规定账户划分标准和程序。监管当局则定期对银行的账户划分情况进行检查，检查重点是其内部账户划分的政策、程序是否符合监管当局的要求，是否遵守了内部的账户划分政策和程序，是否为减少监管资本要求而人为地在两个账户之间调节头寸等。</w:t>
      </w:r>
    </w:p>
    <w:p w14:paraId="785F7E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十一、限额（Limits）管理</w:t>
      </w:r>
    </w:p>
    <w:p w14:paraId="027BF7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商业银行实施市场风险管理，应当确保将所承担的市场风险控制在可以承受的合理范围内，使市场风险水平与其风险管理能力和资本实力相匹配，限额管理</w:t>
      </w:r>
      <w:r>
        <w:rPr>
          <w:rFonts w:ascii="宋体" w:eastAsia="宋体" w:hAnsi="宋体" w:cs="宋体" w:hint="eastAsia"/>
          <w:sz w:val="24"/>
        </w:rPr>
        <w:lastRenderedPageBreak/>
        <w:t>正是对市场风险进行控制的一项重要手段。银行应当根据所采用的市场风险计量方法设定市场风险限额。市场风险限额可以分配到不同的地区、业务单元和交易员，还可以按资产组合、金融工具和风险类别进行分解。银行负责市场风险管理的部门应当监测对市场风险限额的遵守情况，并及时将超限额情况报告给管理层。常用的市场风险限额包括交易限额、风险限额和止损限额等。</w:t>
      </w:r>
    </w:p>
    <w:p w14:paraId="68D5D2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交易限额（Limits on Net and Gross Positions）是指对总交易头寸或净交易头寸设定的限额。总头寸限额对特定交易工具的多头头寸或空头头寸给予限制，净头寸限额对多头头寸和空头头寸相抵后的净额加以限制。在实践中，银行通常将这两种交易限额结合使用。</w:t>
      </w:r>
    </w:p>
    <w:p w14:paraId="6E046A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风险限额是指对按照一定的计量方法所计量的市场风险设定的限额，如对内部模型计量的风险价值设定的限额（Value-at-Risk Limits）和对期权性头寸设定的期权性头寸限额（Limits on Options Positions）等。期权性头寸限额是指对反映期权价值的敏感性参数设定的限额，通常包括：对衡量期权价值对基准资产价格变动率的Delta、衡量Delta对基准资产价格变动率的Gamma、衡量期权价值对市场预期的基准资产价格波动性的敏感度的Vega、衡量期权临近到期日时价值变化的Theta以及衡量期权价值对短期利率变动率的Rho设定的限额。</w:t>
      </w:r>
    </w:p>
    <w:p w14:paraId="3A6536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止损限额（Stop-Loss Limits）即允许的最大损失额。通常，当某项头寸的累计损失达到或接近止损限额时，就必须对该头寸进行对冲交易或将其变现。典型的止损限额具有追溯力，即止</w:t>
      </w:r>
      <w:proofErr w:type="gramStart"/>
      <w:r>
        <w:rPr>
          <w:rFonts w:ascii="宋体" w:eastAsia="宋体" w:hAnsi="宋体" w:cs="宋体" w:hint="eastAsia"/>
          <w:sz w:val="24"/>
        </w:rPr>
        <w:t>损</w:t>
      </w:r>
      <w:proofErr w:type="gramEnd"/>
      <w:r>
        <w:rPr>
          <w:rFonts w:ascii="宋体" w:eastAsia="宋体" w:hAnsi="宋体" w:cs="宋体" w:hint="eastAsia"/>
          <w:sz w:val="24"/>
        </w:rPr>
        <w:t>限额适用于一日、一周或一个月内等一段时间内的累计损失。</w:t>
      </w:r>
    </w:p>
    <w:p w14:paraId="57FA44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十二、按经风险调整的收益率（Risk-Adjusted Rate of Return）</w:t>
      </w:r>
    </w:p>
    <w:p w14:paraId="372B40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长期以来，衡量企业盈利能力普遍采用的是股本收益率（ROE）和资产收益率（ROA）指标，其缺陷是只考虑了企业的账面盈利而忽略了未充分考虑风险因素。银行是经营特殊商品的高风险企业，以不考虑风险因素的指标衡量其盈利能力，具有很大的局限性。目前，国际银行业的发展趋势是采用按经风险调整的收益率，综合考核银行的盈利能力和风险管理能力。按经风险调整的收益率克服了传统绩效考核中盈利目标未充分反映风险成本的缺陷，使银行的收益与风险直接挂钩、有机结合，体现了业务发展与风险管理的内在统一，实现了经营目标与绩</w:t>
      </w:r>
      <w:r>
        <w:rPr>
          <w:rFonts w:ascii="宋体" w:eastAsia="宋体" w:hAnsi="宋体" w:cs="宋体" w:hint="eastAsia"/>
          <w:sz w:val="24"/>
        </w:rPr>
        <w:lastRenderedPageBreak/>
        <w:t>效考核的统一。使用按经风险调整的收益率，有利于在银行内部建立良好的激励机制，从根本上改变银行忽视风险、盲目追求利润的经营方式，激励银行充分了解所承担的风险并自觉地识别、计量、监测和控制这些风险，从而在审慎经营的前提下拓展业务、创造利润。</w:t>
      </w:r>
    </w:p>
    <w:p w14:paraId="115194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在按经风险调整的收益率中，目前被广泛接受和普遍使用的是按经风险调整的资本收益率（Risk-Adjusted Return on Capital，RAROC）。按经风险调整的资本收益率是指经预期损失（Expected Loss，EL）和以经济资本（Capital at Risk，</w:t>
      </w:r>
      <w:proofErr w:type="spellStart"/>
      <w:r>
        <w:rPr>
          <w:rFonts w:ascii="宋体" w:eastAsia="宋体" w:hAnsi="宋体" w:cs="宋体" w:hint="eastAsia"/>
          <w:sz w:val="24"/>
        </w:rPr>
        <w:t>CaR</w:t>
      </w:r>
      <w:proofErr w:type="spellEnd"/>
      <w:r>
        <w:rPr>
          <w:rFonts w:ascii="宋体" w:eastAsia="宋体" w:hAnsi="宋体" w:cs="宋体" w:hint="eastAsia"/>
          <w:sz w:val="24"/>
        </w:rPr>
        <w:t>）计量的非预期损失（ Unexpected Loss，UL）调整后的收益率，其计算公式如下：</w:t>
      </w:r>
    </w:p>
    <w:p w14:paraId="01BC61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RAROC = （收益－预期损失）/ 经济资本（或非预期损失）</w:t>
      </w:r>
    </w:p>
    <w:p w14:paraId="32E31C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风险调整的收益率，如RAROC强调，银行承担风险是有成本的。在RAROC计算公式的分子项中，风险带来的预期损失被量化为当期成本，直接对当期盈利进行扣减，以此衡量经风险调整后的收益；在分母项中，则以经济资本，或非预期损失代替传统ROE指标中的所有者权益，意即银行应为不可预计的风险提取相应的经济资本。整个公式衡量的是经济资本的使用效益。</w:t>
      </w:r>
    </w:p>
    <w:p w14:paraId="4DD443A8"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目前，RAROC等按经风险调整的收益率已在国际先进银行中得到了广泛运用，在其内部各个层面的经营管理活动中发挥着重要作用。在单笔业务层面上，RAROC可用于衡量一笔业务的风险与收益是否匹配，为银行决定是否开展该笔业务以及如何进行定价提供依据。在资产组合层面上，银行在考虑单笔业务的风险和资产组合效应之后，可依据RAROC衡量资产组合的风险与收益是否匹配，及时对RAROC指标呈现明显不利变化趋势的资产组合进行处理，为效益更好的业务腾出空间。在银行总体层面上，RAROC可用于目标设定、业务决策、资本配置和绩效考核等。高级管理层在确定银行能承担的总体风险水平，即风险偏好之后，计算银行需要的总体经济资本，以此评价自身的资本充足状况；将经济资本在各类风险、各个业务部门和各类业务之间进行分配（资本配置），以有效控制银行的总体风险，并通过分配经济资本优化资源配置；同时，将股东回报要求转化为对全行、各业务部门和各个业务线的经营目标，用于绩效考核，使银行实现在可承受风险水平之下的收益最大化，并最终实现股东价值的最大化。</w:t>
      </w:r>
      <w:r>
        <w:rPr>
          <w:rFonts w:ascii="宋体" w:eastAsia="宋体" w:hAnsi="宋体" w:cs="宋体" w:hint="eastAsia"/>
          <w:sz w:val="24"/>
        </w:rPr>
        <w:tab/>
      </w:r>
    </w:p>
    <w:p w14:paraId="63345F71"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41.《企业法律纠纷案件管理若干规定》（试行）</w:t>
      </w:r>
      <w:r>
        <w:rPr>
          <w:rFonts w:ascii="宋体" w:eastAsia="宋体" w:hAnsi="宋体" w:cs="宋体" w:hint="eastAsia"/>
          <w:b/>
          <w:bCs/>
          <w:sz w:val="24"/>
        </w:rPr>
        <w:tab/>
      </w:r>
    </w:p>
    <w:p w14:paraId="6B3E62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发文机构：北京市人民政府国有资产监督管理委员会</w:t>
      </w:r>
      <w:r>
        <w:rPr>
          <w:rFonts w:ascii="宋体" w:eastAsia="宋体" w:hAnsi="宋体" w:cs="宋体" w:hint="eastAsia"/>
          <w:sz w:val="24"/>
        </w:rPr>
        <w:tab/>
      </w:r>
    </w:p>
    <w:p w14:paraId="536793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文号：京国资法规字〔2005〕2号</w:t>
      </w:r>
      <w:r>
        <w:rPr>
          <w:rFonts w:ascii="宋体" w:eastAsia="宋体" w:hAnsi="宋体" w:cs="宋体" w:hint="eastAsia"/>
          <w:sz w:val="24"/>
        </w:rPr>
        <w:tab/>
      </w:r>
      <w:r>
        <w:rPr>
          <w:rFonts w:ascii="宋体" w:eastAsia="宋体" w:hAnsi="宋体" w:cs="宋体" w:hint="eastAsia"/>
          <w:sz w:val="24"/>
        </w:rPr>
        <w:tab/>
      </w:r>
    </w:p>
    <w:p w14:paraId="4798DD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加强对企业国有资产的监督管理，维护出资人和所出资企业的合法权益，保障国有资产安全，防止国有资产流失，推动所出资企业建立健全企业法律顾问制度和法律风险防范机制，规范所出资企业法律纠纷案件的管理，根据《企业国有资产监督管理暂行条例》，结合工作实际，制定本规定。</w:t>
      </w:r>
    </w:p>
    <w:p w14:paraId="4E7115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本规定适用于市政府授权北京市人民政府国有资产监督管理委员会（以下简称“市国资委”）依法履行出资人职责的企业（以下简称“所出资企业”）法律纠纷案件的管理工作。</w:t>
      </w:r>
    </w:p>
    <w:p w14:paraId="6348F1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本规定所称企业法律纠纷案件，是指企业作为当事人一方的诉讼、仲裁或者可能引起诉讼、仲裁的经济纠纷和案件。</w:t>
      </w:r>
    </w:p>
    <w:p w14:paraId="005CC6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所出资企业应当加强对法律纠纷案件的管理，定期对本单位发生的法律纠纷案件情况进行统计，并对其发案原因、发案趋势、处理结果进行综合分析和评估，建立健全企业法律顾问制度和有效防范法律风险的机制。</w:t>
      </w:r>
    </w:p>
    <w:p w14:paraId="023E8F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所出资企业依法独立处理法律纠纷案件。企业法定代表人是处理法律纠纷案件的第一责任人。</w:t>
      </w:r>
    </w:p>
    <w:p w14:paraId="352055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所出资企业发生法律纠纷案件，应当由企业法定代表人统一负责，由企业总法律顾问组织处理；未实行企业总法律顾问制度的，由分管有关业务的企业负责人组织，有关业务机构配合，企业法律事务机构具体处理法律纠纷案件。</w:t>
      </w:r>
    </w:p>
    <w:p w14:paraId="3472E7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出现法律纠纷案件，所出资企业相关机构和人员应当及时向企业法定代表人和总法律顾问报告。</w:t>
      </w:r>
    </w:p>
    <w:p w14:paraId="371D93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企业总法律顾问或分管有关业务的企业负责人应当组织有关机构和人员做好案件情况分析、相关证据收集等工作，制定切实可行的处理方案，妥善处理法律纠纷案件。</w:t>
      </w:r>
    </w:p>
    <w:p w14:paraId="04AF3A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市国资委和所出资企业对法律纠纷案件情况实行报告制度。</w:t>
      </w:r>
    </w:p>
    <w:p w14:paraId="515C53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有下列情形之一的法律纠纷案件，所出资企业应当及时向市国资委报告，市</w:t>
      </w:r>
      <w:proofErr w:type="gramStart"/>
      <w:r>
        <w:rPr>
          <w:rFonts w:ascii="宋体" w:eastAsia="宋体" w:hAnsi="宋体" w:cs="宋体" w:hint="eastAsia"/>
          <w:sz w:val="24"/>
        </w:rPr>
        <w:t>国资委可予以</w:t>
      </w:r>
      <w:proofErr w:type="gramEnd"/>
      <w:r>
        <w:rPr>
          <w:rFonts w:ascii="宋体" w:eastAsia="宋体" w:hAnsi="宋体" w:cs="宋体" w:hint="eastAsia"/>
          <w:sz w:val="24"/>
        </w:rPr>
        <w:t>指导：</w:t>
      </w:r>
    </w:p>
    <w:p w14:paraId="5E0499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（一）可能严重影响出资人合法权益的；</w:t>
      </w:r>
    </w:p>
    <w:p w14:paraId="717168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（二）可能对企业改革发展和社会稳定产生重大影响的。</w:t>
      </w:r>
    </w:p>
    <w:p w14:paraId="26D37C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所出资企业应当在每年12月底前将本企业及子企业本年度发生的法律纠纷案件的汇总情况向市国资委报告。</w:t>
      </w:r>
    </w:p>
    <w:p w14:paraId="1A5864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所出资企业应当督促子企业在规定时间内报告本企业发生的法律纠纷案件汇总情况。</w:t>
      </w:r>
    </w:p>
    <w:p w14:paraId="4C1BBC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本规定所称子企业，是指所出资企业直接出资设立的全资和控股企业。</w:t>
      </w:r>
    </w:p>
    <w:p w14:paraId="5F086D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所出资企业就法律纠纷案件汇总情况向市国资委报告的，应当包括案件总体情况、原因分析、处理结果和改进工作的对策措施等，并填报《企业法律纠纷案件情况汇总表》。</w:t>
      </w:r>
    </w:p>
    <w:p w14:paraId="6150FF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报送市国资委的报告应当由企业法定代表人或者主要负责人签发。</w:t>
      </w:r>
    </w:p>
    <w:p w14:paraId="7B6CC5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市国资委对所出资企业报告的法律纠纷案件汇总情况进行分析，剖析典型案例，总结经验教训，提出完善企业法律风险防范机制的措施和建议。</w:t>
      </w:r>
    </w:p>
    <w:p w14:paraId="16E531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所出资企业的相关负责人、有关机构和人员应当依法履行职责。因法律纠纷案件处理不及时或处理不当，造成企业国有资产损失的，市国资委将依照有关规定追究相关人员的责任。</w:t>
      </w:r>
    </w:p>
    <w:p w14:paraId="71B59B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所出资企业未按照本规定报告的，市国资委将予以通报批评。</w:t>
      </w:r>
    </w:p>
    <w:p w14:paraId="5F1BAF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市政府授权市国资委管理的其他企（事）业单位参照本规定执行。</w:t>
      </w:r>
    </w:p>
    <w:p w14:paraId="443AFD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本规定自2005年10月1日起施行。</w:t>
      </w:r>
      <w:r>
        <w:rPr>
          <w:rFonts w:ascii="宋体" w:eastAsia="宋体" w:hAnsi="宋体" w:cs="宋体" w:hint="eastAsia"/>
          <w:sz w:val="24"/>
        </w:rPr>
        <w:tab/>
      </w:r>
    </w:p>
    <w:p w14:paraId="26196F95"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38DA5B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附件1</w:t>
      </w:r>
    </w:p>
    <w:p w14:paraId="2C067BA7" w14:textId="77777777" w:rsidR="00F50CD8" w:rsidRDefault="00000000">
      <w:pPr>
        <w:spacing w:afterLines="50" w:after="156" w:line="360" w:lineRule="auto"/>
        <w:ind w:firstLineChars="200" w:firstLine="480"/>
        <w:rPr>
          <w:rFonts w:ascii="宋体" w:eastAsia="宋体" w:hAnsi="宋体" w:cs="宋体" w:hint="eastAsia"/>
          <w:sz w:val="24"/>
        </w:rPr>
      </w:pPr>
      <w:bookmarkStart w:id="0" w:name="No45"/>
      <w:bookmarkEnd w:id="0"/>
      <w:r>
        <w:rPr>
          <w:rFonts w:ascii="宋体" w:eastAsia="宋体" w:hAnsi="宋体" w:cs="宋体" w:hint="eastAsia"/>
          <w:sz w:val="24"/>
        </w:rPr>
        <w:t>企业法律纠纷案件情况汇总表（一）</w:t>
      </w:r>
    </w:p>
    <w:p w14:paraId="0FC291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填报单位（盖章）：      填报时间：   年   月   日</w:t>
      </w:r>
    </w:p>
    <w:tbl>
      <w:tblPr>
        <w:tblpPr w:leftFromText="180" w:rightFromText="180" w:vertAnchor="text" w:horzAnchor="page" w:tblpXSpec="center" w:tblpY="600"/>
        <w:tblOverlap w:val="never"/>
        <w:tblW w:w="10816" w:type="dxa"/>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35"/>
        <w:gridCol w:w="5668"/>
        <w:gridCol w:w="1706"/>
        <w:gridCol w:w="807"/>
      </w:tblGrid>
      <w:tr w:rsidR="00F50CD8" w14:paraId="4D6999BC" w14:textId="77777777">
        <w:trPr>
          <w:trHeight w:val="624"/>
          <w:tblCellSpacing w:w="15" w:type="dxa"/>
          <w:jc w:val="center"/>
        </w:trPr>
        <w:tc>
          <w:tcPr>
            <w:tcW w:w="0" w:type="auto"/>
            <w:vMerge w:val="restart"/>
            <w:shd w:val="clear" w:color="auto" w:fill="FFFFFF"/>
            <w:vAlign w:val="center"/>
          </w:tcPr>
          <w:p w14:paraId="3658BC47" w14:textId="77777777" w:rsidR="00F50CD8" w:rsidRDefault="00000000">
            <w:pPr>
              <w:spacing w:afterLines="50" w:after="156" w:line="360" w:lineRule="auto"/>
              <w:ind w:firstLineChars="200" w:firstLine="480"/>
              <w:rPr>
                <w:rFonts w:ascii="宋体" w:eastAsia="宋体" w:hAnsi="宋体" w:cs="宋体" w:hint="eastAsia"/>
                <w:sz w:val="24"/>
              </w:rPr>
            </w:pPr>
            <w:bookmarkStart w:id="1" w:name="No46"/>
            <w:bookmarkEnd w:id="1"/>
            <w:r>
              <w:rPr>
                <w:rFonts w:ascii="宋体" w:eastAsia="宋体" w:hAnsi="宋体" w:cs="宋体" w:hint="eastAsia"/>
                <w:sz w:val="24"/>
              </w:rPr>
              <w:t>案件总数</w:t>
            </w:r>
            <w:r>
              <w:rPr>
                <w:rFonts w:ascii="宋体" w:eastAsia="宋体" w:hAnsi="宋体" w:cs="宋体" w:hint="eastAsia"/>
                <w:sz w:val="24"/>
              </w:rPr>
              <w:br/>
            </w:r>
            <w:r>
              <w:rPr>
                <w:rFonts w:ascii="宋体" w:eastAsia="宋体" w:hAnsi="宋体" w:cs="宋体" w:hint="eastAsia"/>
                <w:sz w:val="24"/>
              </w:rPr>
              <w:br/>
            </w:r>
            <w:r>
              <w:rPr>
                <w:rFonts w:ascii="宋体" w:eastAsia="宋体" w:hAnsi="宋体" w:cs="宋体" w:hint="eastAsia"/>
                <w:sz w:val="24"/>
              </w:rPr>
              <w:br/>
            </w:r>
            <w:r>
              <w:rPr>
                <w:rFonts w:ascii="宋体" w:eastAsia="宋体" w:hAnsi="宋体" w:cs="宋体" w:hint="eastAsia"/>
                <w:sz w:val="24"/>
              </w:rPr>
              <w:br/>
            </w:r>
            <w:r>
              <w:rPr>
                <w:rFonts w:ascii="宋体" w:eastAsia="宋体" w:hAnsi="宋体" w:cs="宋体" w:hint="eastAsia"/>
                <w:sz w:val="24"/>
              </w:rPr>
              <w:br/>
            </w:r>
          </w:p>
        </w:tc>
        <w:tc>
          <w:tcPr>
            <w:tcW w:w="0" w:type="auto"/>
            <w:vMerge w:val="restart"/>
            <w:shd w:val="clear" w:color="auto" w:fill="FFFFFF"/>
            <w:vAlign w:val="center"/>
          </w:tcPr>
          <w:p w14:paraId="053BC8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件</w:t>
            </w:r>
            <w:r>
              <w:rPr>
                <w:rFonts w:ascii="宋体" w:eastAsia="宋体" w:hAnsi="宋体" w:cs="宋体" w:hint="eastAsia"/>
                <w:sz w:val="24"/>
              </w:rPr>
              <w:br/>
            </w:r>
            <w:r>
              <w:rPr>
                <w:rFonts w:ascii="宋体" w:eastAsia="宋体" w:hAnsi="宋体" w:cs="宋体" w:hint="eastAsia"/>
                <w:sz w:val="24"/>
              </w:rPr>
              <w:br/>
            </w:r>
            <w:r>
              <w:rPr>
                <w:rFonts w:ascii="宋体" w:eastAsia="宋体" w:hAnsi="宋体" w:cs="宋体" w:hint="eastAsia"/>
                <w:sz w:val="24"/>
              </w:rPr>
              <w:br/>
            </w:r>
            <w:r>
              <w:rPr>
                <w:rFonts w:ascii="宋体" w:eastAsia="宋体" w:hAnsi="宋体" w:cs="宋体" w:hint="eastAsia"/>
                <w:sz w:val="24"/>
              </w:rPr>
              <w:br/>
            </w:r>
            <w:r>
              <w:rPr>
                <w:rFonts w:ascii="宋体" w:eastAsia="宋体" w:hAnsi="宋体" w:cs="宋体" w:hint="eastAsia"/>
                <w:sz w:val="24"/>
              </w:rPr>
              <w:br/>
            </w:r>
          </w:p>
        </w:tc>
        <w:tc>
          <w:tcPr>
            <w:tcW w:w="0" w:type="auto"/>
            <w:vMerge w:val="restart"/>
            <w:shd w:val="clear" w:color="auto" w:fill="FFFFFF"/>
            <w:vAlign w:val="center"/>
          </w:tcPr>
          <w:p w14:paraId="61965E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涉 诉</w:t>
            </w:r>
          </w:p>
        </w:tc>
        <w:tc>
          <w:tcPr>
            <w:tcW w:w="0" w:type="auto"/>
            <w:vMerge w:val="restart"/>
            <w:shd w:val="clear" w:color="auto" w:fill="FFFFFF"/>
            <w:vAlign w:val="center"/>
          </w:tcPr>
          <w:p w14:paraId="60C054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件</w:t>
            </w:r>
          </w:p>
        </w:tc>
      </w:tr>
      <w:tr w:rsidR="00F50CD8" w14:paraId="6E792932" w14:textId="77777777">
        <w:trPr>
          <w:trHeight w:val="624"/>
          <w:tblCellSpacing w:w="15" w:type="dxa"/>
          <w:jc w:val="center"/>
        </w:trPr>
        <w:tc>
          <w:tcPr>
            <w:tcW w:w="0" w:type="auto"/>
            <w:vMerge/>
            <w:shd w:val="clear" w:color="auto" w:fill="FFFFFF"/>
            <w:vAlign w:val="center"/>
          </w:tcPr>
          <w:p w14:paraId="673BB043"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77E5FAEA"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4CD7D785"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0F73F48B" w14:textId="77777777" w:rsidR="00F50CD8" w:rsidRDefault="00F50CD8">
            <w:pPr>
              <w:spacing w:afterLines="50" w:after="156" w:line="360" w:lineRule="auto"/>
              <w:ind w:firstLineChars="200" w:firstLine="480"/>
              <w:rPr>
                <w:rFonts w:ascii="宋体" w:eastAsia="宋体" w:hAnsi="宋体" w:cs="宋体" w:hint="eastAsia"/>
                <w:sz w:val="24"/>
              </w:rPr>
            </w:pPr>
          </w:p>
        </w:tc>
      </w:tr>
      <w:tr w:rsidR="00F50CD8" w14:paraId="48972B30" w14:textId="77777777">
        <w:trPr>
          <w:trHeight w:val="624"/>
          <w:tblCellSpacing w:w="15" w:type="dxa"/>
          <w:jc w:val="center"/>
        </w:trPr>
        <w:tc>
          <w:tcPr>
            <w:tcW w:w="0" w:type="auto"/>
            <w:vMerge/>
            <w:shd w:val="clear" w:color="auto" w:fill="FFFFFF"/>
            <w:vAlign w:val="center"/>
          </w:tcPr>
          <w:p w14:paraId="392E65EA"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44089A80"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val="restart"/>
            <w:shd w:val="clear" w:color="auto" w:fill="FFFFFF"/>
            <w:vAlign w:val="center"/>
          </w:tcPr>
          <w:p w14:paraId="191BE7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仲 裁</w:t>
            </w:r>
          </w:p>
        </w:tc>
        <w:tc>
          <w:tcPr>
            <w:tcW w:w="0" w:type="auto"/>
            <w:vMerge w:val="restart"/>
            <w:shd w:val="clear" w:color="auto" w:fill="FFFFFF"/>
            <w:vAlign w:val="center"/>
          </w:tcPr>
          <w:p w14:paraId="5E99AD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件</w:t>
            </w:r>
          </w:p>
        </w:tc>
      </w:tr>
      <w:tr w:rsidR="00F50CD8" w14:paraId="39DCB789" w14:textId="77777777">
        <w:trPr>
          <w:trHeight w:val="624"/>
          <w:tblCellSpacing w:w="15" w:type="dxa"/>
          <w:jc w:val="center"/>
        </w:trPr>
        <w:tc>
          <w:tcPr>
            <w:tcW w:w="0" w:type="auto"/>
            <w:vMerge/>
            <w:shd w:val="clear" w:color="auto" w:fill="FFFFFF"/>
            <w:vAlign w:val="center"/>
          </w:tcPr>
          <w:p w14:paraId="6A60B537"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1B14E496"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0B920DA9"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7D22C496" w14:textId="77777777" w:rsidR="00F50CD8" w:rsidRDefault="00F50CD8">
            <w:pPr>
              <w:spacing w:afterLines="50" w:after="156" w:line="360" w:lineRule="auto"/>
              <w:ind w:firstLineChars="200" w:firstLine="480"/>
              <w:rPr>
                <w:rFonts w:ascii="宋体" w:eastAsia="宋体" w:hAnsi="宋体" w:cs="宋体" w:hint="eastAsia"/>
                <w:sz w:val="24"/>
              </w:rPr>
            </w:pPr>
          </w:p>
        </w:tc>
      </w:tr>
      <w:tr w:rsidR="00F50CD8" w14:paraId="53B4161F" w14:textId="77777777">
        <w:trPr>
          <w:trHeight w:val="624"/>
          <w:tblCellSpacing w:w="15" w:type="dxa"/>
          <w:jc w:val="center"/>
        </w:trPr>
        <w:tc>
          <w:tcPr>
            <w:tcW w:w="0" w:type="auto"/>
            <w:vMerge/>
            <w:shd w:val="clear" w:color="auto" w:fill="FFFFFF"/>
            <w:vAlign w:val="center"/>
          </w:tcPr>
          <w:p w14:paraId="6379E526"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5658CF99"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val="restart"/>
            <w:shd w:val="clear" w:color="auto" w:fill="FFFFFF"/>
            <w:vAlign w:val="center"/>
          </w:tcPr>
          <w:p w14:paraId="282116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其 他</w:t>
            </w:r>
          </w:p>
        </w:tc>
        <w:tc>
          <w:tcPr>
            <w:tcW w:w="0" w:type="auto"/>
            <w:vMerge w:val="restart"/>
            <w:shd w:val="clear" w:color="auto" w:fill="FFFFFF"/>
            <w:vAlign w:val="center"/>
          </w:tcPr>
          <w:p w14:paraId="187821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件</w:t>
            </w:r>
          </w:p>
        </w:tc>
      </w:tr>
      <w:tr w:rsidR="00F50CD8" w14:paraId="3F30BB0B" w14:textId="77777777">
        <w:trPr>
          <w:trHeight w:val="624"/>
          <w:tblCellSpacing w:w="15" w:type="dxa"/>
          <w:jc w:val="center"/>
        </w:trPr>
        <w:tc>
          <w:tcPr>
            <w:tcW w:w="0" w:type="auto"/>
            <w:vMerge/>
            <w:shd w:val="clear" w:color="auto" w:fill="FFFFFF"/>
            <w:vAlign w:val="center"/>
          </w:tcPr>
          <w:p w14:paraId="3EC18CC3"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2241E517"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54FE6B6F"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3F6C777D" w14:textId="77777777" w:rsidR="00F50CD8" w:rsidRDefault="00F50CD8">
            <w:pPr>
              <w:spacing w:afterLines="50" w:after="156" w:line="360" w:lineRule="auto"/>
              <w:ind w:firstLineChars="200" w:firstLine="480"/>
              <w:rPr>
                <w:rFonts w:ascii="宋体" w:eastAsia="宋体" w:hAnsi="宋体" w:cs="宋体" w:hint="eastAsia"/>
                <w:sz w:val="24"/>
              </w:rPr>
            </w:pPr>
          </w:p>
        </w:tc>
      </w:tr>
      <w:tr w:rsidR="00F50CD8" w14:paraId="3436A378" w14:textId="77777777">
        <w:trPr>
          <w:trHeight w:val="624"/>
          <w:tblCellSpacing w:w="15" w:type="dxa"/>
          <w:jc w:val="center"/>
        </w:trPr>
        <w:tc>
          <w:tcPr>
            <w:tcW w:w="0" w:type="auto"/>
            <w:gridSpan w:val="2"/>
            <w:vMerge w:val="restart"/>
            <w:shd w:val="clear" w:color="auto" w:fill="FFFFFF"/>
            <w:vAlign w:val="center"/>
          </w:tcPr>
          <w:p w14:paraId="4B847D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涉案总金额</w:t>
            </w:r>
          </w:p>
        </w:tc>
        <w:tc>
          <w:tcPr>
            <w:tcW w:w="0" w:type="auto"/>
            <w:gridSpan w:val="2"/>
            <w:vMerge w:val="restart"/>
            <w:shd w:val="clear" w:color="auto" w:fill="FFFFFF"/>
            <w:vAlign w:val="center"/>
          </w:tcPr>
          <w:p w14:paraId="34D040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万元</w:t>
            </w:r>
          </w:p>
        </w:tc>
      </w:tr>
      <w:tr w:rsidR="00F50CD8" w14:paraId="221AF2C9" w14:textId="77777777">
        <w:trPr>
          <w:trHeight w:val="624"/>
          <w:tblCellSpacing w:w="15" w:type="dxa"/>
          <w:jc w:val="center"/>
        </w:trPr>
        <w:tc>
          <w:tcPr>
            <w:tcW w:w="0" w:type="auto"/>
            <w:gridSpan w:val="2"/>
            <w:vMerge/>
            <w:shd w:val="clear" w:color="auto" w:fill="FFFFFF"/>
            <w:vAlign w:val="center"/>
          </w:tcPr>
          <w:p w14:paraId="2F29FD86"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gridSpan w:val="2"/>
            <w:vMerge/>
            <w:shd w:val="clear" w:color="auto" w:fill="FFFFFF"/>
            <w:vAlign w:val="center"/>
          </w:tcPr>
          <w:p w14:paraId="78EFC9BB" w14:textId="77777777" w:rsidR="00F50CD8" w:rsidRDefault="00F50CD8">
            <w:pPr>
              <w:spacing w:afterLines="50" w:after="156" w:line="360" w:lineRule="auto"/>
              <w:ind w:firstLineChars="200" w:firstLine="480"/>
              <w:rPr>
                <w:rFonts w:ascii="宋体" w:eastAsia="宋体" w:hAnsi="宋体" w:cs="宋体" w:hint="eastAsia"/>
                <w:sz w:val="24"/>
              </w:rPr>
            </w:pPr>
          </w:p>
        </w:tc>
      </w:tr>
      <w:tr w:rsidR="00F50CD8" w14:paraId="1FEBCD51" w14:textId="77777777">
        <w:trPr>
          <w:tblCellSpacing w:w="15" w:type="dxa"/>
          <w:jc w:val="center"/>
        </w:trPr>
        <w:tc>
          <w:tcPr>
            <w:tcW w:w="0" w:type="auto"/>
            <w:gridSpan w:val="2"/>
            <w:shd w:val="clear" w:color="auto" w:fill="FFFFFF"/>
            <w:vAlign w:val="center"/>
          </w:tcPr>
          <w:p w14:paraId="7EE0D9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造成经济损失</w:t>
            </w:r>
          </w:p>
        </w:tc>
        <w:tc>
          <w:tcPr>
            <w:tcW w:w="0" w:type="auto"/>
            <w:gridSpan w:val="2"/>
            <w:shd w:val="clear" w:color="auto" w:fill="FFFFFF"/>
            <w:vAlign w:val="center"/>
          </w:tcPr>
          <w:p w14:paraId="130773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万元</w:t>
            </w:r>
          </w:p>
        </w:tc>
      </w:tr>
      <w:tr w:rsidR="00F50CD8" w14:paraId="7CBFC2AE" w14:textId="77777777">
        <w:trPr>
          <w:tblCellSpacing w:w="15" w:type="dxa"/>
          <w:jc w:val="center"/>
        </w:trPr>
        <w:tc>
          <w:tcPr>
            <w:tcW w:w="0" w:type="auto"/>
            <w:gridSpan w:val="2"/>
            <w:shd w:val="clear" w:color="auto" w:fill="FFFFFF"/>
            <w:vAlign w:val="center"/>
          </w:tcPr>
          <w:p w14:paraId="343070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挽回经济损失</w:t>
            </w:r>
          </w:p>
        </w:tc>
        <w:tc>
          <w:tcPr>
            <w:tcW w:w="0" w:type="auto"/>
            <w:gridSpan w:val="2"/>
            <w:shd w:val="clear" w:color="auto" w:fill="FFFFFF"/>
            <w:vAlign w:val="center"/>
          </w:tcPr>
          <w:p w14:paraId="41588A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万元</w:t>
            </w:r>
          </w:p>
        </w:tc>
      </w:tr>
      <w:tr w:rsidR="00F50CD8" w14:paraId="2F0272E3" w14:textId="77777777">
        <w:trPr>
          <w:tblCellSpacing w:w="15" w:type="dxa"/>
          <w:jc w:val="center"/>
        </w:trPr>
        <w:tc>
          <w:tcPr>
            <w:tcW w:w="0" w:type="auto"/>
            <w:vMerge w:val="restart"/>
            <w:shd w:val="clear" w:color="auto" w:fill="FFFFFF"/>
            <w:vAlign w:val="center"/>
          </w:tcPr>
          <w:p w14:paraId="639C8B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按涉案</w:t>
            </w:r>
            <w:r>
              <w:rPr>
                <w:rFonts w:ascii="宋体" w:eastAsia="宋体" w:hAnsi="宋体" w:cs="宋体" w:hint="eastAsia"/>
                <w:sz w:val="24"/>
              </w:rPr>
              <w:br/>
              <w:t>金额</w:t>
            </w:r>
            <w:r>
              <w:rPr>
                <w:rFonts w:ascii="宋体" w:eastAsia="宋体" w:hAnsi="宋体" w:cs="宋体" w:hint="eastAsia"/>
                <w:sz w:val="24"/>
              </w:rPr>
              <w:br/>
              <w:t>分类</w:t>
            </w:r>
            <w:r>
              <w:rPr>
                <w:rFonts w:ascii="宋体" w:eastAsia="宋体" w:hAnsi="宋体" w:cs="宋体" w:hint="eastAsia"/>
                <w:sz w:val="24"/>
              </w:rPr>
              <w:br/>
            </w:r>
            <w:r>
              <w:rPr>
                <w:rFonts w:ascii="宋体" w:eastAsia="宋体" w:hAnsi="宋体" w:cs="宋体" w:hint="eastAsia"/>
                <w:sz w:val="24"/>
              </w:rPr>
              <w:br/>
            </w:r>
            <w:r>
              <w:rPr>
                <w:rFonts w:ascii="宋体" w:eastAsia="宋体" w:hAnsi="宋体" w:cs="宋体" w:hint="eastAsia"/>
                <w:sz w:val="24"/>
              </w:rPr>
              <w:br/>
            </w:r>
            <w:r>
              <w:rPr>
                <w:rFonts w:ascii="宋体" w:eastAsia="宋体" w:hAnsi="宋体" w:cs="宋体" w:hint="eastAsia"/>
                <w:sz w:val="24"/>
              </w:rPr>
              <w:br/>
            </w:r>
            <w:r>
              <w:rPr>
                <w:rFonts w:ascii="宋体" w:eastAsia="宋体" w:hAnsi="宋体" w:cs="宋体" w:hint="eastAsia"/>
                <w:sz w:val="24"/>
              </w:rPr>
              <w:br/>
            </w:r>
            <w:r>
              <w:rPr>
                <w:rFonts w:ascii="宋体" w:eastAsia="宋体" w:hAnsi="宋体" w:cs="宋体" w:hint="eastAsia"/>
                <w:sz w:val="24"/>
              </w:rPr>
              <w:br/>
            </w:r>
          </w:p>
        </w:tc>
        <w:tc>
          <w:tcPr>
            <w:tcW w:w="0" w:type="auto"/>
            <w:shd w:val="clear" w:color="auto" w:fill="FFFFFF"/>
            <w:vAlign w:val="center"/>
          </w:tcPr>
          <w:p w14:paraId="079970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100万元以下</w:t>
            </w:r>
          </w:p>
        </w:tc>
        <w:tc>
          <w:tcPr>
            <w:tcW w:w="0" w:type="auto"/>
            <w:gridSpan w:val="2"/>
            <w:shd w:val="clear" w:color="auto" w:fill="FFFFFF"/>
            <w:vAlign w:val="center"/>
          </w:tcPr>
          <w:p w14:paraId="248C22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件</w:t>
            </w:r>
          </w:p>
        </w:tc>
      </w:tr>
      <w:tr w:rsidR="00F50CD8" w14:paraId="49C95369" w14:textId="77777777">
        <w:trPr>
          <w:tblCellSpacing w:w="15" w:type="dxa"/>
          <w:jc w:val="center"/>
        </w:trPr>
        <w:tc>
          <w:tcPr>
            <w:tcW w:w="0" w:type="auto"/>
            <w:vMerge/>
            <w:shd w:val="clear" w:color="auto" w:fill="FFFFFF"/>
            <w:vAlign w:val="center"/>
          </w:tcPr>
          <w:p w14:paraId="0BFE2A1C"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30A23E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100万元-500万元</w:t>
            </w:r>
          </w:p>
        </w:tc>
        <w:tc>
          <w:tcPr>
            <w:tcW w:w="0" w:type="auto"/>
            <w:gridSpan w:val="2"/>
            <w:shd w:val="clear" w:color="auto" w:fill="FFFFFF"/>
            <w:vAlign w:val="center"/>
          </w:tcPr>
          <w:p w14:paraId="5B3636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件</w:t>
            </w:r>
          </w:p>
        </w:tc>
      </w:tr>
      <w:tr w:rsidR="00F50CD8" w14:paraId="496EF5CB" w14:textId="77777777">
        <w:trPr>
          <w:tblCellSpacing w:w="15" w:type="dxa"/>
          <w:jc w:val="center"/>
        </w:trPr>
        <w:tc>
          <w:tcPr>
            <w:tcW w:w="0" w:type="auto"/>
            <w:vMerge/>
            <w:shd w:val="clear" w:color="auto" w:fill="FFFFFF"/>
            <w:vAlign w:val="center"/>
          </w:tcPr>
          <w:p w14:paraId="4B91AEAC"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2EE6D9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500万元-1000万元</w:t>
            </w:r>
          </w:p>
        </w:tc>
        <w:tc>
          <w:tcPr>
            <w:tcW w:w="0" w:type="auto"/>
            <w:gridSpan w:val="2"/>
            <w:shd w:val="clear" w:color="auto" w:fill="FFFFFF"/>
            <w:vAlign w:val="center"/>
          </w:tcPr>
          <w:p w14:paraId="6942F9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件</w:t>
            </w:r>
          </w:p>
        </w:tc>
      </w:tr>
      <w:tr w:rsidR="00F50CD8" w14:paraId="5F846DC3" w14:textId="77777777">
        <w:trPr>
          <w:tblCellSpacing w:w="15" w:type="dxa"/>
          <w:jc w:val="center"/>
        </w:trPr>
        <w:tc>
          <w:tcPr>
            <w:tcW w:w="0" w:type="auto"/>
            <w:vMerge/>
            <w:shd w:val="clear" w:color="auto" w:fill="FFFFFF"/>
            <w:vAlign w:val="center"/>
          </w:tcPr>
          <w:p w14:paraId="40D84CF4"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450D0F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1000万元-5000万元</w:t>
            </w:r>
          </w:p>
        </w:tc>
        <w:tc>
          <w:tcPr>
            <w:tcW w:w="0" w:type="auto"/>
            <w:gridSpan w:val="2"/>
            <w:shd w:val="clear" w:color="auto" w:fill="FFFFFF"/>
            <w:vAlign w:val="center"/>
          </w:tcPr>
          <w:p w14:paraId="210BDF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件</w:t>
            </w:r>
          </w:p>
        </w:tc>
      </w:tr>
      <w:tr w:rsidR="00F50CD8" w14:paraId="26AD8C0C" w14:textId="77777777">
        <w:trPr>
          <w:tblCellSpacing w:w="15" w:type="dxa"/>
          <w:jc w:val="center"/>
        </w:trPr>
        <w:tc>
          <w:tcPr>
            <w:tcW w:w="0" w:type="auto"/>
            <w:vMerge/>
            <w:shd w:val="clear" w:color="auto" w:fill="FFFFFF"/>
            <w:vAlign w:val="center"/>
          </w:tcPr>
          <w:p w14:paraId="7673CB85"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5353AC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5000万元-1亿元</w:t>
            </w:r>
          </w:p>
        </w:tc>
        <w:tc>
          <w:tcPr>
            <w:tcW w:w="0" w:type="auto"/>
            <w:gridSpan w:val="2"/>
            <w:shd w:val="clear" w:color="auto" w:fill="FFFFFF"/>
            <w:vAlign w:val="center"/>
          </w:tcPr>
          <w:p w14:paraId="4C1D9A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件</w:t>
            </w:r>
          </w:p>
        </w:tc>
      </w:tr>
      <w:tr w:rsidR="00F50CD8" w14:paraId="5DD44BE7" w14:textId="77777777">
        <w:trPr>
          <w:tblCellSpacing w:w="15" w:type="dxa"/>
          <w:jc w:val="center"/>
        </w:trPr>
        <w:tc>
          <w:tcPr>
            <w:tcW w:w="0" w:type="auto"/>
            <w:vMerge/>
            <w:shd w:val="clear" w:color="auto" w:fill="FFFFFF"/>
            <w:vAlign w:val="center"/>
          </w:tcPr>
          <w:p w14:paraId="6AE26F77"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0BDB10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1亿元以上</w:t>
            </w:r>
          </w:p>
        </w:tc>
        <w:tc>
          <w:tcPr>
            <w:tcW w:w="0" w:type="auto"/>
            <w:gridSpan w:val="2"/>
            <w:shd w:val="clear" w:color="auto" w:fill="FFFFFF"/>
            <w:vAlign w:val="center"/>
          </w:tcPr>
          <w:p w14:paraId="6E1605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件</w:t>
            </w:r>
          </w:p>
        </w:tc>
      </w:tr>
      <w:tr w:rsidR="00F50CD8" w14:paraId="027C5A39" w14:textId="77777777">
        <w:trPr>
          <w:tblCellSpacing w:w="15" w:type="dxa"/>
          <w:jc w:val="center"/>
        </w:trPr>
        <w:tc>
          <w:tcPr>
            <w:tcW w:w="0" w:type="auto"/>
            <w:vMerge w:val="restart"/>
            <w:shd w:val="clear" w:color="auto" w:fill="FFFFFF"/>
            <w:vAlign w:val="center"/>
          </w:tcPr>
          <w:p w14:paraId="3470CD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按案由</w:t>
            </w:r>
            <w:r>
              <w:rPr>
                <w:rFonts w:ascii="宋体" w:eastAsia="宋体" w:hAnsi="宋体" w:cs="宋体" w:hint="eastAsia"/>
                <w:sz w:val="24"/>
              </w:rPr>
              <w:br/>
              <w:t>分类</w:t>
            </w:r>
            <w:r>
              <w:rPr>
                <w:rFonts w:ascii="宋体" w:eastAsia="宋体" w:hAnsi="宋体" w:cs="宋体" w:hint="eastAsia"/>
                <w:sz w:val="24"/>
              </w:rPr>
              <w:br/>
            </w:r>
            <w:r>
              <w:rPr>
                <w:rFonts w:ascii="宋体" w:eastAsia="宋体" w:hAnsi="宋体" w:cs="宋体" w:hint="eastAsia"/>
                <w:sz w:val="24"/>
              </w:rPr>
              <w:br/>
            </w:r>
            <w:r>
              <w:rPr>
                <w:rFonts w:ascii="宋体" w:eastAsia="宋体" w:hAnsi="宋体" w:cs="宋体" w:hint="eastAsia"/>
                <w:sz w:val="24"/>
              </w:rPr>
              <w:br/>
            </w:r>
            <w:r>
              <w:rPr>
                <w:rFonts w:ascii="宋体" w:eastAsia="宋体" w:hAnsi="宋体" w:cs="宋体" w:hint="eastAsia"/>
                <w:sz w:val="24"/>
              </w:rPr>
              <w:br/>
            </w:r>
            <w:r>
              <w:rPr>
                <w:rFonts w:ascii="宋体" w:eastAsia="宋体" w:hAnsi="宋体" w:cs="宋体" w:hint="eastAsia"/>
                <w:sz w:val="24"/>
              </w:rPr>
              <w:br/>
            </w:r>
          </w:p>
        </w:tc>
        <w:tc>
          <w:tcPr>
            <w:tcW w:w="0" w:type="auto"/>
            <w:shd w:val="clear" w:color="auto" w:fill="FFFFFF"/>
            <w:vAlign w:val="center"/>
          </w:tcPr>
          <w:p w14:paraId="667E5B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担保类</w:t>
            </w:r>
          </w:p>
        </w:tc>
        <w:tc>
          <w:tcPr>
            <w:tcW w:w="0" w:type="auto"/>
            <w:gridSpan w:val="2"/>
            <w:shd w:val="clear" w:color="auto" w:fill="FFFFFF"/>
            <w:vAlign w:val="center"/>
          </w:tcPr>
          <w:p w14:paraId="18835C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件</w:t>
            </w:r>
          </w:p>
        </w:tc>
      </w:tr>
      <w:tr w:rsidR="00F50CD8" w14:paraId="5C69066B" w14:textId="77777777">
        <w:trPr>
          <w:tblCellSpacing w:w="15" w:type="dxa"/>
          <w:jc w:val="center"/>
        </w:trPr>
        <w:tc>
          <w:tcPr>
            <w:tcW w:w="0" w:type="auto"/>
            <w:vMerge/>
            <w:shd w:val="clear" w:color="auto" w:fill="FFFFFF"/>
            <w:vAlign w:val="center"/>
          </w:tcPr>
          <w:p w14:paraId="779DF3C7"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019E06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合同类</w:t>
            </w:r>
          </w:p>
        </w:tc>
        <w:tc>
          <w:tcPr>
            <w:tcW w:w="0" w:type="auto"/>
            <w:gridSpan w:val="2"/>
            <w:shd w:val="clear" w:color="auto" w:fill="FFFFFF"/>
            <w:vAlign w:val="center"/>
          </w:tcPr>
          <w:p w14:paraId="266DC6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件</w:t>
            </w:r>
          </w:p>
        </w:tc>
      </w:tr>
      <w:tr w:rsidR="00F50CD8" w14:paraId="24E199D3" w14:textId="77777777">
        <w:trPr>
          <w:tblCellSpacing w:w="15" w:type="dxa"/>
          <w:jc w:val="center"/>
        </w:trPr>
        <w:tc>
          <w:tcPr>
            <w:tcW w:w="0" w:type="auto"/>
            <w:vMerge/>
            <w:shd w:val="clear" w:color="auto" w:fill="FFFFFF"/>
            <w:vAlign w:val="center"/>
          </w:tcPr>
          <w:p w14:paraId="4428219B"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529E1A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债权债务类</w:t>
            </w:r>
          </w:p>
        </w:tc>
        <w:tc>
          <w:tcPr>
            <w:tcW w:w="0" w:type="auto"/>
            <w:gridSpan w:val="2"/>
            <w:shd w:val="clear" w:color="auto" w:fill="FFFFFF"/>
            <w:vAlign w:val="center"/>
          </w:tcPr>
          <w:p w14:paraId="1671C0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件</w:t>
            </w:r>
          </w:p>
        </w:tc>
      </w:tr>
      <w:tr w:rsidR="00F50CD8" w14:paraId="6B40A850" w14:textId="77777777">
        <w:trPr>
          <w:tblCellSpacing w:w="15" w:type="dxa"/>
          <w:jc w:val="center"/>
        </w:trPr>
        <w:tc>
          <w:tcPr>
            <w:tcW w:w="0" w:type="auto"/>
            <w:vMerge/>
            <w:shd w:val="clear" w:color="auto" w:fill="FFFFFF"/>
            <w:vAlign w:val="center"/>
          </w:tcPr>
          <w:p w14:paraId="7DD70B17"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3DD170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权属纠纷类</w:t>
            </w:r>
          </w:p>
        </w:tc>
        <w:tc>
          <w:tcPr>
            <w:tcW w:w="0" w:type="auto"/>
            <w:gridSpan w:val="2"/>
            <w:shd w:val="clear" w:color="auto" w:fill="FFFFFF"/>
            <w:vAlign w:val="center"/>
          </w:tcPr>
          <w:p w14:paraId="26D8EE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件</w:t>
            </w:r>
          </w:p>
        </w:tc>
      </w:tr>
      <w:tr w:rsidR="00F50CD8" w14:paraId="13DB7CE9" w14:textId="77777777">
        <w:trPr>
          <w:tblCellSpacing w:w="15" w:type="dxa"/>
          <w:jc w:val="center"/>
        </w:trPr>
        <w:tc>
          <w:tcPr>
            <w:tcW w:w="0" w:type="auto"/>
            <w:vMerge/>
            <w:shd w:val="clear" w:color="auto" w:fill="FFFFFF"/>
            <w:vAlign w:val="center"/>
          </w:tcPr>
          <w:p w14:paraId="2A85EC8A"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6ED03E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其 他</w:t>
            </w:r>
          </w:p>
        </w:tc>
        <w:tc>
          <w:tcPr>
            <w:tcW w:w="0" w:type="auto"/>
            <w:gridSpan w:val="2"/>
            <w:shd w:val="clear" w:color="auto" w:fill="FFFFFF"/>
            <w:vAlign w:val="center"/>
          </w:tcPr>
          <w:p w14:paraId="45EC43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件</w:t>
            </w:r>
          </w:p>
        </w:tc>
      </w:tr>
    </w:tbl>
    <w:p w14:paraId="6653A7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填报人：</w:t>
      </w:r>
    </w:p>
    <w:p w14:paraId="32535D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附件2</w:t>
      </w:r>
    </w:p>
    <w:p w14:paraId="432B5BD2" w14:textId="77777777" w:rsidR="00F50CD8" w:rsidRDefault="00000000">
      <w:pPr>
        <w:spacing w:afterLines="50" w:after="156" w:line="360" w:lineRule="auto"/>
        <w:ind w:firstLineChars="200" w:firstLine="480"/>
        <w:rPr>
          <w:rFonts w:ascii="宋体" w:eastAsia="宋体" w:hAnsi="宋体" w:cs="宋体" w:hint="eastAsia"/>
          <w:sz w:val="24"/>
        </w:rPr>
      </w:pPr>
      <w:bookmarkStart w:id="2" w:name="No48"/>
      <w:bookmarkEnd w:id="2"/>
      <w:r>
        <w:rPr>
          <w:rFonts w:ascii="宋体" w:eastAsia="宋体" w:hAnsi="宋体" w:cs="宋体" w:hint="eastAsia"/>
          <w:sz w:val="24"/>
        </w:rPr>
        <w:t>企业法律纠纷案件情况汇总表（二）</w:t>
      </w:r>
    </w:p>
    <w:p w14:paraId="716E6F83" w14:textId="77777777" w:rsidR="00F50CD8" w:rsidRDefault="00000000">
      <w:pPr>
        <w:spacing w:afterLines="50" w:after="156" w:line="360" w:lineRule="auto"/>
        <w:ind w:firstLineChars="200" w:firstLine="480"/>
        <w:rPr>
          <w:rFonts w:ascii="宋体" w:eastAsia="宋体" w:hAnsi="宋体" w:cs="宋体" w:hint="eastAsia"/>
          <w:sz w:val="24"/>
        </w:rPr>
      </w:pPr>
      <w:bookmarkStart w:id="3" w:name="No49"/>
      <w:bookmarkEnd w:id="3"/>
      <w:r>
        <w:rPr>
          <w:rFonts w:ascii="宋体" w:eastAsia="宋体" w:hAnsi="宋体" w:cs="宋体" w:hint="eastAsia"/>
          <w:sz w:val="24"/>
        </w:rPr>
        <w:t>填报单位（盖章）：       填报时间：   年  月  日</w:t>
      </w:r>
    </w:p>
    <w:tbl>
      <w:tblPr>
        <w:tblpPr w:leftFromText="180" w:rightFromText="180" w:vertAnchor="text" w:horzAnchor="page" w:tblpXSpec="center" w:tblpY="601"/>
        <w:tblOverlap w:val="never"/>
        <w:tblW w:w="10816" w:type="dxa"/>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9"/>
        <w:gridCol w:w="1476"/>
        <w:gridCol w:w="1476"/>
        <w:gridCol w:w="966"/>
        <w:gridCol w:w="2156"/>
        <w:gridCol w:w="1476"/>
        <w:gridCol w:w="1476"/>
        <w:gridCol w:w="981"/>
      </w:tblGrid>
      <w:tr w:rsidR="00F50CD8" w14:paraId="73D30EFC" w14:textId="77777777">
        <w:trPr>
          <w:trHeight w:val="624"/>
          <w:tblCellSpacing w:w="15" w:type="dxa"/>
          <w:jc w:val="center"/>
        </w:trPr>
        <w:tc>
          <w:tcPr>
            <w:tcW w:w="0" w:type="auto"/>
            <w:vMerge w:val="restart"/>
            <w:shd w:val="clear" w:color="auto" w:fill="FFFFFF"/>
            <w:vAlign w:val="center"/>
          </w:tcPr>
          <w:p w14:paraId="34B8E7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序号</w:t>
            </w:r>
          </w:p>
        </w:tc>
        <w:tc>
          <w:tcPr>
            <w:tcW w:w="0" w:type="auto"/>
            <w:vMerge w:val="restart"/>
            <w:shd w:val="clear" w:color="auto" w:fill="FFFFFF"/>
            <w:vAlign w:val="center"/>
          </w:tcPr>
          <w:p w14:paraId="34A297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案件名称</w:t>
            </w:r>
          </w:p>
        </w:tc>
        <w:tc>
          <w:tcPr>
            <w:tcW w:w="0" w:type="auto"/>
            <w:vMerge w:val="restart"/>
            <w:shd w:val="clear" w:color="auto" w:fill="FFFFFF"/>
            <w:vAlign w:val="center"/>
          </w:tcPr>
          <w:p w14:paraId="5CABCF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涉案金额</w:t>
            </w:r>
          </w:p>
        </w:tc>
        <w:tc>
          <w:tcPr>
            <w:tcW w:w="0" w:type="auto"/>
            <w:vMerge w:val="restart"/>
            <w:shd w:val="clear" w:color="auto" w:fill="FFFFFF"/>
            <w:vAlign w:val="center"/>
          </w:tcPr>
          <w:p w14:paraId="46543C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案 由</w:t>
            </w:r>
          </w:p>
        </w:tc>
        <w:tc>
          <w:tcPr>
            <w:tcW w:w="0" w:type="auto"/>
            <w:vMerge w:val="restart"/>
            <w:shd w:val="clear" w:color="auto" w:fill="FFFFFF"/>
            <w:vAlign w:val="center"/>
          </w:tcPr>
          <w:p w14:paraId="2898EB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是否涉</w:t>
            </w:r>
            <w:proofErr w:type="gramStart"/>
            <w:r>
              <w:rPr>
                <w:rFonts w:ascii="宋体" w:eastAsia="宋体" w:hAnsi="宋体" w:cs="宋体" w:hint="eastAsia"/>
                <w:sz w:val="24"/>
              </w:rPr>
              <w:t>诉或仲</w:t>
            </w:r>
            <w:proofErr w:type="gramEnd"/>
            <w:r>
              <w:rPr>
                <w:rFonts w:ascii="宋体" w:eastAsia="宋体" w:hAnsi="宋体" w:cs="宋体" w:hint="eastAsia"/>
                <w:sz w:val="24"/>
              </w:rPr>
              <w:br/>
              <w:t>裁</w:t>
            </w:r>
          </w:p>
        </w:tc>
        <w:tc>
          <w:tcPr>
            <w:tcW w:w="0" w:type="auto"/>
            <w:vMerge w:val="restart"/>
            <w:shd w:val="clear" w:color="auto" w:fill="FFFFFF"/>
            <w:vAlign w:val="center"/>
          </w:tcPr>
          <w:p w14:paraId="0D7C20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案件结果</w:t>
            </w:r>
          </w:p>
        </w:tc>
        <w:tc>
          <w:tcPr>
            <w:tcW w:w="0" w:type="auto"/>
            <w:vMerge w:val="restart"/>
            <w:shd w:val="clear" w:color="auto" w:fill="FFFFFF"/>
            <w:vAlign w:val="center"/>
          </w:tcPr>
          <w:p w14:paraId="6E058B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处理情况</w:t>
            </w:r>
          </w:p>
        </w:tc>
        <w:tc>
          <w:tcPr>
            <w:tcW w:w="0" w:type="auto"/>
            <w:vMerge w:val="restart"/>
            <w:shd w:val="clear" w:color="auto" w:fill="FFFFFF"/>
            <w:vAlign w:val="center"/>
          </w:tcPr>
          <w:p w14:paraId="65B88B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备 注</w:t>
            </w:r>
          </w:p>
        </w:tc>
      </w:tr>
      <w:tr w:rsidR="00F50CD8" w14:paraId="321504D8" w14:textId="77777777">
        <w:trPr>
          <w:trHeight w:val="624"/>
          <w:tblCellSpacing w:w="15" w:type="dxa"/>
          <w:jc w:val="center"/>
        </w:trPr>
        <w:tc>
          <w:tcPr>
            <w:tcW w:w="0" w:type="auto"/>
            <w:vMerge/>
            <w:shd w:val="clear" w:color="auto" w:fill="FFFFFF"/>
            <w:vAlign w:val="center"/>
          </w:tcPr>
          <w:p w14:paraId="02F2E105"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3AAF3FE1"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70326405"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5833F705"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5C986789"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5DC8E21D"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7E974939"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vMerge/>
            <w:shd w:val="clear" w:color="auto" w:fill="FFFFFF"/>
            <w:vAlign w:val="center"/>
          </w:tcPr>
          <w:p w14:paraId="0CE115FB" w14:textId="77777777" w:rsidR="00F50CD8" w:rsidRDefault="00F50CD8">
            <w:pPr>
              <w:spacing w:afterLines="50" w:after="156" w:line="360" w:lineRule="auto"/>
              <w:ind w:firstLineChars="200" w:firstLine="480"/>
              <w:rPr>
                <w:rFonts w:ascii="宋体" w:eastAsia="宋体" w:hAnsi="宋体" w:cs="宋体" w:hint="eastAsia"/>
                <w:sz w:val="24"/>
              </w:rPr>
            </w:pPr>
          </w:p>
        </w:tc>
      </w:tr>
      <w:tr w:rsidR="00F50CD8" w14:paraId="731F2909" w14:textId="77777777">
        <w:trPr>
          <w:tblCellSpacing w:w="15" w:type="dxa"/>
          <w:jc w:val="center"/>
        </w:trPr>
        <w:tc>
          <w:tcPr>
            <w:tcW w:w="0" w:type="auto"/>
            <w:shd w:val="clear" w:color="auto" w:fill="FFFFFF"/>
            <w:vAlign w:val="center"/>
          </w:tcPr>
          <w:p w14:paraId="6B6790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w:t>
            </w:r>
          </w:p>
        </w:tc>
        <w:tc>
          <w:tcPr>
            <w:tcW w:w="0" w:type="auto"/>
            <w:shd w:val="clear" w:color="auto" w:fill="FFFFFF"/>
            <w:vAlign w:val="center"/>
          </w:tcPr>
          <w:p w14:paraId="7F30F392"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13FD2FE3"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7322D713"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1AA1FC46"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5357D362"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6B553B27"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3FCB3E3B" w14:textId="77777777" w:rsidR="00F50CD8" w:rsidRDefault="00F50CD8">
            <w:pPr>
              <w:spacing w:afterLines="50" w:after="156" w:line="360" w:lineRule="auto"/>
              <w:ind w:firstLineChars="200" w:firstLine="480"/>
              <w:rPr>
                <w:rFonts w:ascii="宋体" w:eastAsia="宋体" w:hAnsi="宋体" w:cs="宋体" w:hint="eastAsia"/>
                <w:sz w:val="24"/>
              </w:rPr>
            </w:pPr>
          </w:p>
        </w:tc>
      </w:tr>
      <w:tr w:rsidR="00F50CD8" w14:paraId="28D7694A" w14:textId="77777777">
        <w:trPr>
          <w:tblCellSpacing w:w="15" w:type="dxa"/>
          <w:jc w:val="center"/>
        </w:trPr>
        <w:tc>
          <w:tcPr>
            <w:tcW w:w="0" w:type="auto"/>
            <w:shd w:val="clear" w:color="auto" w:fill="FFFFFF"/>
            <w:vAlign w:val="center"/>
          </w:tcPr>
          <w:p w14:paraId="0D7622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w:t>
            </w:r>
          </w:p>
        </w:tc>
        <w:tc>
          <w:tcPr>
            <w:tcW w:w="0" w:type="auto"/>
            <w:shd w:val="clear" w:color="auto" w:fill="FFFFFF"/>
            <w:vAlign w:val="center"/>
          </w:tcPr>
          <w:p w14:paraId="081D099D"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5D067971"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5C6DC0BC"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7987E095"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6CBFB0BB"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10EBF8D6"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47B5E9CE" w14:textId="77777777" w:rsidR="00F50CD8" w:rsidRDefault="00F50CD8">
            <w:pPr>
              <w:spacing w:afterLines="50" w:after="156" w:line="360" w:lineRule="auto"/>
              <w:ind w:firstLineChars="200" w:firstLine="480"/>
              <w:rPr>
                <w:rFonts w:ascii="宋体" w:eastAsia="宋体" w:hAnsi="宋体" w:cs="宋体" w:hint="eastAsia"/>
                <w:sz w:val="24"/>
              </w:rPr>
            </w:pPr>
          </w:p>
        </w:tc>
      </w:tr>
      <w:tr w:rsidR="00F50CD8" w14:paraId="4A8FDABE" w14:textId="77777777">
        <w:trPr>
          <w:tblCellSpacing w:w="15" w:type="dxa"/>
          <w:jc w:val="center"/>
        </w:trPr>
        <w:tc>
          <w:tcPr>
            <w:tcW w:w="0" w:type="auto"/>
            <w:shd w:val="clear" w:color="auto" w:fill="FFFFFF"/>
            <w:vAlign w:val="center"/>
          </w:tcPr>
          <w:p w14:paraId="6AEF13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w:t>
            </w:r>
          </w:p>
        </w:tc>
        <w:tc>
          <w:tcPr>
            <w:tcW w:w="0" w:type="auto"/>
            <w:shd w:val="clear" w:color="auto" w:fill="FFFFFF"/>
            <w:vAlign w:val="center"/>
          </w:tcPr>
          <w:p w14:paraId="70CAEFC2"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345CC769"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665ACA34"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440C1C89"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1FAF7FF9"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2ACD42E2"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1F8BA043" w14:textId="77777777" w:rsidR="00F50CD8" w:rsidRDefault="00F50CD8">
            <w:pPr>
              <w:spacing w:afterLines="50" w:after="156" w:line="360" w:lineRule="auto"/>
              <w:ind w:firstLineChars="200" w:firstLine="480"/>
              <w:rPr>
                <w:rFonts w:ascii="宋体" w:eastAsia="宋体" w:hAnsi="宋体" w:cs="宋体" w:hint="eastAsia"/>
                <w:sz w:val="24"/>
              </w:rPr>
            </w:pPr>
          </w:p>
        </w:tc>
      </w:tr>
      <w:tr w:rsidR="00F50CD8" w14:paraId="24810256" w14:textId="77777777">
        <w:trPr>
          <w:tblCellSpacing w:w="15" w:type="dxa"/>
          <w:jc w:val="center"/>
        </w:trPr>
        <w:tc>
          <w:tcPr>
            <w:tcW w:w="0" w:type="auto"/>
            <w:shd w:val="clear" w:color="auto" w:fill="FFFFFF"/>
            <w:vAlign w:val="center"/>
          </w:tcPr>
          <w:p w14:paraId="0BC791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w:t>
            </w:r>
          </w:p>
        </w:tc>
        <w:tc>
          <w:tcPr>
            <w:tcW w:w="0" w:type="auto"/>
            <w:shd w:val="clear" w:color="auto" w:fill="FFFFFF"/>
            <w:vAlign w:val="center"/>
          </w:tcPr>
          <w:p w14:paraId="02350D75"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4852005E"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0CE4FF34"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481F2B55"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6ECE339E"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779F2922"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2FF9FD8E" w14:textId="77777777" w:rsidR="00F50CD8" w:rsidRDefault="00F50CD8">
            <w:pPr>
              <w:spacing w:afterLines="50" w:after="156" w:line="360" w:lineRule="auto"/>
              <w:ind w:firstLineChars="200" w:firstLine="480"/>
              <w:rPr>
                <w:rFonts w:ascii="宋体" w:eastAsia="宋体" w:hAnsi="宋体" w:cs="宋体" w:hint="eastAsia"/>
                <w:sz w:val="24"/>
              </w:rPr>
            </w:pPr>
          </w:p>
        </w:tc>
      </w:tr>
      <w:tr w:rsidR="00F50CD8" w14:paraId="0805E08F" w14:textId="77777777">
        <w:trPr>
          <w:tblCellSpacing w:w="15" w:type="dxa"/>
          <w:jc w:val="center"/>
        </w:trPr>
        <w:tc>
          <w:tcPr>
            <w:tcW w:w="0" w:type="auto"/>
            <w:shd w:val="clear" w:color="auto" w:fill="FFFFFF"/>
            <w:vAlign w:val="center"/>
          </w:tcPr>
          <w:p w14:paraId="044357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w:t>
            </w:r>
          </w:p>
        </w:tc>
        <w:tc>
          <w:tcPr>
            <w:tcW w:w="0" w:type="auto"/>
            <w:shd w:val="clear" w:color="auto" w:fill="FFFFFF"/>
            <w:vAlign w:val="center"/>
          </w:tcPr>
          <w:p w14:paraId="26768944"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2C7CC1D5"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4924D0D6"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246C6E05"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6EC58C35"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2BA0B7A7"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4FB258CF" w14:textId="77777777" w:rsidR="00F50CD8" w:rsidRDefault="00F50CD8">
            <w:pPr>
              <w:spacing w:afterLines="50" w:after="156" w:line="360" w:lineRule="auto"/>
              <w:ind w:firstLineChars="200" w:firstLine="480"/>
              <w:rPr>
                <w:rFonts w:ascii="宋体" w:eastAsia="宋体" w:hAnsi="宋体" w:cs="宋体" w:hint="eastAsia"/>
                <w:sz w:val="24"/>
              </w:rPr>
            </w:pPr>
          </w:p>
        </w:tc>
      </w:tr>
      <w:tr w:rsidR="00F50CD8" w14:paraId="19A194CF" w14:textId="77777777">
        <w:trPr>
          <w:tblCellSpacing w:w="15" w:type="dxa"/>
          <w:jc w:val="center"/>
        </w:trPr>
        <w:tc>
          <w:tcPr>
            <w:tcW w:w="0" w:type="auto"/>
            <w:shd w:val="clear" w:color="auto" w:fill="FFFFFF"/>
            <w:vAlign w:val="center"/>
          </w:tcPr>
          <w:p w14:paraId="64847B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w:t>
            </w:r>
          </w:p>
        </w:tc>
        <w:tc>
          <w:tcPr>
            <w:tcW w:w="0" w:type="auto"/>
            <w:shd w:val="clear" w:color="auto" w:fill="FFFFFF"/>
            <w:vAlign w:val="center"/>
          </w:tcPr>
          <w:p w14:paraId="49914DD7"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6664088B"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26A8BBBA"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32369262"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729A7BD6"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2B8DB076"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75B7721C" w14:textId="77777777" w:rsidR="00F50CD8" w:rsidRDefault="00F50CD8">
            <w:pPr>
              <w:spacing w:afterLines="50" w:after="156" w:line="360" w:lineRule="auto"/>
              <w:ind w:firstLineChars="200" w:firstLine="480"/>
              <w:rPr>
                <w:rFonts w:ascii="宋体" w:eastAsia="宋体" w:hAnsi="宋体" w:cs="宋体" w:hint="eastAsia"/>
                <w:sz w:val="24"/>
              </w:rPr>
            </w:pPr>
          </w:p>
        </w:tc>
      </w:tr>
      <w:tr w:rsidR="00F50CD8" w14:paraId="6E8FA2E9" w14:textId="77777777">
        <w:trPr>
          <w:tblCellSpacing w:w="15" w:type="dxa"/>
          <w:jc w:val="center"/>
        </w:trPr>
        <w:tc>
          <w:tcPr>
            <w:tcW w:w="0" w:type="auto"/>
            <w:shd w:val="clear" w:color="auto" w:fill="FFFFFF"/>
            <w:vAlign w:val="center"/>
          </w:tcPr>
          <w:p w14:paraId="66D68D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7</w:t>
            </w:r>
          </w:p>
        </w:tc>
        <w:tc>
          <w:tcPr>
            <w:tcW w:w="0" w:type="auto"/>
            <w:shd w:val="clear" w:color="auto" w:fill="FFFFFF"/>
            <w:vAlign w:val="center"/>
          </w:tcPr>
          <w:p w14:paraId="50092D08"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0B1178C8"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38534136"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6CF98311"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3B2603D5"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3C6DE882"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5F7D8CCE" w14:textId="77777777" w:rsidR="00F50CD8" w:rsidRDefault="00F50CD8">
            <w:pPr>
              <w:spacing w:afterLines="50" w:after="156" w:line="360" w:lineRule="auto"/>
              <w:ind w:firstLineChars="200" w:firstLine="480"/>
              <w:rPr>
                <w:rFonts w:ascii="宋体" w:eastAsia="宋体" w:hAnsi="宋体" w:cs="宋体" w:hint="eastAsia"/>
                <w:sz w:val="24"/>
              </w:rPr>
            </w:pPr>
          </w:p>
        </w:tc>
      </w:tr>
      <w:tr w:rsidR="00F50CD8" w14:paraId="71D1678C" w14:textId="77777777">
        <w:trPr>
          <w:tblCellSpacing w:w="15" w:type="dxa"/>
          <w:jc w:val="center"/>
        </w:trPr>
        <w:tc>
          <w:tcPr>
            <w:tcW w:w="0" w:type="auto"/>
            <w:shd w:val="clear" w:color="auto" w:fill="FFFFFF"/>
            <w:vAlign w:val="center"/>
          </w:tcPr>
          <w:p w14:paraId="1769A9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8</w:t>
            </w:r>
          </w:p>
        </w:tc>
        <w:tc>
          <w:tcPr>
            <w:tcW w:w="0" w:type="auto"/>
            <w:shd w:val="clear" w:color="auto" w:fill="FFFFFF"/>
            <w:vAlign w:val="center"/>
          </w:tcPr>
          <w:p w14:paraId="4BA998EE"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445CD181"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37DE230C"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5FF34D63"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13ECBA7D"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7BBB19FC"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53E0CAD0" w14:textId="77777777" w:rsidR="00F50CD8" w:rsidRDefault="00F50CD8">
            <w:pPr>
              <w:spacing w:afterLines="50" w:after="156" w:line="360" w:lineRule="auto"/>
              <w:ind w:firstLineChars="200" w:firstLine="480"/>
              <w:rPr>
                <w:rFonts w:ascii="宋体" w:eastAsia="宋体" w:hAnsi="宋体" w:cs="宋体" w:hint="eastAsia"/>
                <w:sz w:val="24"/>
              </w:rPr>
            </w:pPr>
          </w:p>
        </w:tc>
      </w:tr>
      <w:tr w:rsidR="00F50CD8" w14:paraId="4C2792EB" w14:textId="77777777">
        <w:trPr>
          <w:tblCellSpacing w:w="15" w:type="dxa"/>
          <w:jc w:val="center"/>
        </w:trPr>
        <w:tc>
          <w:tcPr>
            <w:tcW w:w="0" w:type="auto"/>
            <w:shd w:val="clear" w:color="auto" w:fill="FFFFFF"/>
            <w:vAlign w:val="center"/>
          </w:tcPr>
          <w:p w14:paraId="097E6B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9</w:t>
            </w:r>
          </w:p>
        </w:tc>
        <w:tc>
          <w:tcPr>
            <w:tcW w:w="0" w:type="auto"/>
            <w:shd w:val="clear" w:color="auto" w:fill="FFFFFF"/>
            <w:vAlign w:val="center"/>
          </w:tcPr>
          <w:p w14:paraId="51FB9B87"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3C8A5905"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2285D987"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03F6D92D"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2FF6519D"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17A5CBB4"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4E847FCC" w14:textId="77777777" w:rsidR="00F50CD8" w:rsidRDefault="00F50CD8">
            <w:pPr>
              <w:spacing w:afterLines="50" w:after="156" w:line="360" w:lineRule="auto"/>
              <w:ind w:firstLineChars="200" w:firstLine="480"/>
              <w:rPr>
                <w:rFonts w:ascii="宋体" w:eastAsia="宋体" w:hAnsi="宋体" w:cs="宋体" w:hint="eastAsia"/>
                <w:sz w:val="24"/>
              </w:rPr>
            </w:pPr>
          </w:p>
        </w:tc>
      </w:tr>
      <w:tr w:rsidR="00F50CD8" w14:paraId="3C81BE87" w14:textId="77777777">
        <w:trPr>
          <w:tblCellSpacing w:w="15" w:type="dxa"/>
          <w:jc w:val="center"/>
        </w:trPr>
        <w:tc>
          <w:tcPr>
            <w:tcW w:w="0" w:type="auto"/>
            <w:shd w:val="clear" w:color="auto" w:fill="FFFFFF"/>
            <w:vAlign w:val="center"/>
          </w:tcPr>
          <w:p w14:paraId="253C2B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10</w:t>
            </w:r>
          </w:p>
        </w:tc>
        <w:tc>
          <w:tcPr>
            <w:tcW w:w="0" w:type="auto"/>
            <w:shd w:val="clear" w:color="auto" w:fill="FFFFFF"/>
            <w:vAlign w:val="center"/>
          </w:tcPr>
          <w:p w14:paraId="104E1CE0"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1FB67918"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36505EA4"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444B9A03"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2360362A"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3D0AB144" w14:textId="77777777" w:rsidR="00F50CD8" w:rsidRDefault="00F50CD8">
            <w:pPr>
              <w:spacing w:afterLines="50" w:after="156" w:line="360" w:lineRule="auto"/>
              <w:ind w:firstLineChars="200" w:firstLine="480"/>
              <w:rPr>
                <w:rFonts w:ascii="宋体" w:eastAsia="宋体" w:hAnsi="宋体" w:cs="宋体" w:hint="eastAsia"/>
                <w:sz w:val="24"/>
              </w:rPr>
            </w:pPr>
          </w:p>
        </w:tc>
        <w:tc>
          <w:tcPr>
            <w:tcW w:w="0" w:type="auto"/>
            <w:shd w:val="clear" w:color="auto" w:fill="FFFFFF"/>
            <w:vAlign w:val="center"/>
          </w:tcPr>
          <w:p w14:paraId="5E3F4688" w14:textId="77777777" w:rsidR="00F50CD8" w:rsidRDefault="00F50CD8">
            <w:pPr>
              <w:spacing w:afterLines="50" w:after="156" w:line="360" w:lineRule="auto"/>
              <w:ind w:firstLineChars="200" w:firstLine="480"/>
              <w:rPr>
                <w:rFonts w:ascii="宋体" w:eastAsia="宋体" w:hAnsi="宋体" w:cs="宋体" w:hint="eastAsia"/>
                <w:sz w:val="24"/>
              </w:rPr>
            </w:pPr>
          </w:p>
        </w:tc>
      </w:tr>
    </w:tbl>
    <w:p w14:paraId="587702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填表人：</w:t>
      </w:r>
    </w:p>
    <w:p w14:paraId="68B46B49"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备注：该表填报范围为涉案金额在1000万元以上或达到净资产10%以上的案件。</w:t>
      </w:r>
    </w:p>
    <w:p w14:paraId="6C84BB6A"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42.《不良金融资产处置尽职指引》</w:t>
      </w:r>
    </w:p>
    <w:p w14:paraId="3B16C0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发文机构：中国银行业监督管理委员会(已撤销)，财政部</w:t>
      </w:r>
      <w:r>
        <w:rPr>
          <w:rFonts w:ascii="宋体" w:eastAsia="宋体" w:hAnsi="宋体" w:cs="宋体" w:hint="eastAsia"/>
          <w:sz w:val="24"/>
        </w:rPr>
        <w:tab/>
      </w:r>
    </w:p>
    <w:p w14:paraId="72F421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文号：银监发〔2005〕72号</w:t>
      </w:r>
      <w:r>
        <w:rPr>
          <w:rFonts w:ascii="宋体" w:eastAsia="宋体" w:hAnsi="宋体" w:cs="宋体" w:hint="eastAsia"/>
          <w:sz w:val="24"/>
        </w:rPr>
        <w:tab/>
      </w:r>
    </w:p>
    <w:p w14:paraId="1AC2CB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3DF7C0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规范不良金融资产处置行为，明确不良金融资产处置工作尽职要求，防范道德风险，促进提高资产处置效率，根据《中华人民共和国银行业监督管理法》、《中华人民共和国商业银行法》和《金融资产管理公司条例》等法律法规，制定本指引。</w:t>
      </w:r>
    </w:p>
    <w:p w14:paraId="64AB5B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本指引适用于在中华人民共和国境内设立的政策性银行、商业银行（以下统称银行业金融机构）和金融资产管理公司。经中国银行业监督管理委员会批准设立的其他金融机构可参照执行。</w:t>
      </w:r>
    </w:p>
    <w:p w14:paraId="1CE4E2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本指引中的不良金融资产、不良金融资产处置、不良金融资产工作人员是指：</w:t>
      </w:r>
    </w:p>
    <w:p w14:paraId="13D623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（一）不良金融资产指银行业金融机构和金融资产管理公司经营中形成、通过购买或其他方式取得的不良信贷资产和非信贷资产，如不良债权、股权和实物类资产等。</w:t>
      </w:r>
    </w:p>
    <w:p w14:paraId="1925AB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不良金融资产处置指银行业金融机构和金融资产管理公司对不良金融资产开展的资产处置前期调查、资产处置方式选择、资产定价、资产处置方案制定、审核审批和执行等各项活动。与不良金融资产处置相关的资产剥离（转让）、收购和管理等活动也适用本指引的相关规定。</w:t>
      </w:r>
    </w:p>
    <w:p w14:paraId="552F57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（三）不良金融资产工作人员指银行业金融机构和金融资产管理公司参与不良金融资产剥离（转让）、收购、管理和处置的相关人员。</w:t>
      </w:r>
    </w:p>
    <w:p w14:paraId="144C46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银行业金融机构和金融资产管理公司在处置不良金融资产时，应遵守法律、法规、规章和政策等规定，在坚持公开、公平、公正和竞争、择优的基础上，努力实现处置净回收现值最大化。</w:t>
      </w:r>
    </w:p>
    <w:p w14:paraId="4D2C55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银行业金融机构和金融资产管理公司应建立全面规范的不良金融资</w:t>
      </w:r>
      <w:r>
        <w:rPr>
          <w:rFonts w:ascii="宋体" w:eastAsia="宋体" w:hAnsi="宋体" w:cs="宋体" w:hint="eastAsia"/>
          <w:sz w:val="24"/>
        </w:rPr>
        <w:lastRenderedPageBreak/>
        <w:t>产处置业务规章制度，完善决策机制和操作程序，明确尽职要求。定期或在有关法律、法规、规章和政策发生变化时，对不良金融资产处置业务规章制度进行评审和修订。</w:t>
      </w:r>
    </w:p>
    <w:p w14:paraId="38D642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银行业金融机构和金融资产管理公司应采取有效措施，确保不良金融资产工作人员熟悉并掌握不良金融资产处置相关法律、法规、规章、政策和本指引有关规定。</w:t>
      </w:r>
    </w:p>
    <w:p w14:paraId="0EB614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不良金融资产工作人员与剥离（转让）方、债务人、担保人、持股企业、资产受让（受托）方、受托中介机构存在直接或间接利益关系的，或经认定对不良金融资产形成有直接责任的，在不良金融资产处置中应当回避。</w:t>
      </w:r>
    </w:p>
    <w:p w14:paraId="7A3CCC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不良金融资产工作人员不得同时从事资产评估（定价）、资产处置和相关审核审批工作。</w:t>
      </w:r>
    </w:p>
    <w:p w14:paraId="097314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银行业金融机构和金融资产管理公司应建立不良金融资产处置</w:t>
      </w:r>
      <w:proofErr w:type="gramStart"/>
      <w:r>
        <w:rPr>
          <w:rFonts w:ascii="宋体" w:eastAsia="宋体" w:hAnsi="宋体" w:cs="宋体" w:hint="eastAsia"/>
          <w:sz w:val="24"/>
        </w:rPr>
        <w:t>尽职问</w:t>
      </w:r>
      <w:proofErr w:type="gramEnd"/>
      <w:r>
        <w:rPr>
          <w:rFonts w:ascii="宋体" w:eastAsia="宋体" w:hAnsi="宋体" w:cs="宋体" w:hint="eastAsia"/>
          <w:sz w:val="24"/>
        </w:rPr>
        <w:t>责制，规定在不良金融资产剥离（转让）、收购、管理和处置过程中有关单位、部门和岗位的职责，对违反有关法律、法规、规章、政策和本指引规定的行为进行责任认定，并按规定对有关责任人进行处理。</w:t>
      </w:r>
    </w:p>
    <w:p w14:paraId="1EE367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资产剥离（转让）和收购尽职要求</w:t>
      </w:r>
    </w:p>
    <w:p w14:paraId="14F8F6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银行业金融机构和金融资产管理公司剥离（转让）不良金融资产：</w:t>
      </w:r>
    </w:p>
    <w:p w14:paraId="2E1809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剥离（转让）方应做好对剥离（转让）资产的数据核对、债权（担保）情况调查、档案资料整理、不良金融资产形成原因分析等工作；剥离（转让）方应向收购方提供剥离（转让）资产的清单、现有全部的档案资料和相应的电子信息数据；剥离（转让）方应对己方数据信息的实实性和准确性以及移送档案资料的完整性做出相应承诺，并协助收购方做好资产接收前的调查工作。</w:t>
      </w:r>
    </w:p>
    <w:p w14:paraId="6B3A9B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（二）剥离（转让）方应设定剥离（转让）工作程序，明确剥离（转让）工作职责，并按权限进行审批。审批部门要独立于其他部门，直接向最高管理层负责。</w:t>
      </w:r>
    </w:p>
    <w:p w14:paraId="426DA4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（三）剥离（转让）方和收购方应在资产转让协议中对有关资产权利的维护、</w:t>
      </w:r>
      <w:r>
        <w:rPr>
          <w:rFonts w:ascii="宋体" w:eastAsia="宋体" w:hAnsi="宋体" w:cs="宋体" w:hint="eastAsia"/>
          <w:sz w:val="24"/>
        </w:rPr>
        <w:lastRenderedPageBreak/>
        <w:t>担保权利的变更以及已起诉和执行项目主体资格的变更等具体事项做出明确约定，共同做好剥离（转让）资产相关权利的转让和承接工作。银行业金融机构向金融资产管理公司剥离（转让）资产不应附有限制转让条款，附有限制转让条款的应由剥离（转让）方负责解除。</w:t>
      </w:r>
    </w:p>
    <w:p w14:paraId="035137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w:t>
      </w:r>
      <w:proofErr w:type="gramStart"/>
      <w:r>
        <w:rPr>
          <w:rFonts w:ascii="宋体" w:eastAsia="宋体" w:hAnsi="宋体" w:cs="宋体" w:hint="eastAsia"/>
          <w:sz w:val="24"/>
        </w:rPr>
        <w:t>自资产</w:t>
      </w:r>
      <w:proofErr w:type="gramEnd"/>
      <w:r>
        <w:rPr>
          <w:rFonts w:ascii="宋体" w:eastAsia="宋体" w:hAnsi="宋体" w:cs="宋体" w:hint="eastAsia"/>
          <w:sz w:val="24"/>
        </w:rPr>
        <w:t>交易基准日至资产交割日期间，剥离（转让）方应征</w:t>
      </w:r>
      <w:proofErr w:type="gramStart"/>
      <w:r>
        <w:rPr>
          <w:rFonts w:ascii="宋体" w:eastAsia="宋体" w:hAnsi="宋体" w:cs="宋体" w:hint="eastAsia"/>
          <w:sz w:val="24"/>
        </w:rPr>
        <w:t>得收购</w:t>
      </w:r>
      <w:proofErr w:type="gramEnd"/>
      <w:r>
        <w:rPr>
          <w:rFonts w:ascii="宋体" w:eastAsia="宋体" w:hAnsi="宋体" w:cs="宋体" w:hint="eastAsia"/>
          <w:sz w:val="24"/>
        </w:rPr>
        <w:t>方同意并根据授权，继续对剥离（转让）资产进行债权、担保权利管理和维护，代收剥离（转让）资产合同项下的现金等资产，并及时交付给收购方，由此发生的合理费用由收购方承担。</w:t>
      </w:r>
    </w:p>
    <w:p w14:paraId="5DBC14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银行业金融机构和金融资产管理公司收购不良金融资产：</w:t>
      </w:r>
    </w:p>
    <w:p w14:paraId="1373D8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收购方应对收购不良金融资产的状况、权属关系、市场前景以及收购的可行性等进行调查。调查可以采取现场调查和非现场调查方式。当缺乏大规模现场调查条件时，应将现场调查和非现场调查相结合，以真实、全面地反映资产价值和风险。当涉及较大金额收购时，收购方应聘请独立、专业的中介机构对收购资产进行尽职调查。</w:t>
      </w:r>
    </w:p>
    <w:p w14:paraId="5E360E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（二）收购方应设定收购程序，明确收购工作职责，按权限严格审批。审批部门要独立于其他部门，直接向最高管理层负责。</w:t>
      </w:r>
    </w:p>
    <w:p w14:paraId="5ACC84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（三）收购方应认真核对收购资产的数据、合同、协议、抵债物和抵押（质）物权属证明文件、涉</w:t>
      </w:r>
      <w:proofErr w:type="gramStart"/>
      <w:r>
        <w:rPr>
          <w:rFonts w:ascii="宋体" w:eastAsia="宋体" w:hAnsi="宋体" w:cs="宋体" w:hint="eastAsia"/>
          <w:sz w:val="24"/>
        </w:rPr>
        <w:t>诉法律</w:t>
      </w:r>
      <w:proofErr w:type="gramEnd"/>
      <w:r>
        <w:rPr>
          <w:rFonts w:ascii="宋体" w:eastAsia="宋体" w:hAnsi="宋体" w:cs="宋体" w:hint="eastAsia"/>
          <w:sz w:val="24"/>
        </w:rPr>
        <w:t>文书及其他相关资料的合法性、真实性、完整性和有效性，核对应在合理的时间内完成，并及时办理交接手续，接收转让资产，并进行管理和维护。</w:t>
      </w:r>
    </w:p>
    <w:p w14:paraId="72F32E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剥离（转让）方和收购方在不良金融资产移交过程中应建立和完善联系沟通机制，相互配合与协作，有效管理不良金融资产，联手打击逃废债行为，共同防止资产流失和债权悬空，最大限度地保全资产。</w:t>
      </w:r>
    </w:p>
    <w:p w14:paraId="763CA8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剥离（转让）方在剥离（转让）不良贷款过程中，应当对拟剥离（转让）不良贷款是否存在违法违规行为，包括贷款调查、贷款审批和发放、贷后管理、资产保全是否尽职等进行认定，并将结果以书面形式记录存档。发现违法违规行为的，依法、依规追究责任，并将结果抄报监管部门。</w:t>
      </w:r>
    </w:p>
    <w:p w14:paraId="1028CA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收购方在收购过程中发现剥离（转让）方违规发放贷款，贷后管理、资产保全</w:t>
      </w:r>
      <w:proofErr w:type="gramStart"/>
      <w:r>
        <w:rPr>
          <w:rFonts w:ascii="宋体" w:eastAsia="宋体" w:hAnsi="宋体" w:cs="宋体" w:hint="eastAsia"/>
          <w:sz w:val="24"/>
        </w:rPr>
        <w:t>不</w:t>
      </w:r>
      <w:proofErr w:type="gramEnd"/>
      <w:r>
        <w:rPr>
          <w:rFonts w:ascii="宋体" w:eastAsia="宋体" w:hAnsi="宋体" w:cs="宋体" w:hint="eastAsia"/>
          <w:sz w:val="24"/>
        </w:rPr>
        <w:t>尽职，剥离（转让）中操作不规范，弄虚作假，掩盖违法违规行为，隐瞒损失等情形的，应及时向剥离（转让）方反映，由剥离（转让）方进行责任认定和处理。同时，剥离（转让）方和收购方应将上述情况以书面形式进行确认，并抄报监管部门。</w:t>
      </w:r>
    </w:p>
    <w:p w14:paraId="07DD86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剥离（转让）方和收购方应当以协议的形式规定，如果剥离（转让）中存在弄虚作假、隐瞒报失等情况的，收购方可以要求剥离（转让）方予以纠正，也可以拒绝接受该项资产。</w:t>
      </w:r>
    </w:p>
    <w:p w14:paraId="588E49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资产管理尽职要求</w:t>
      </w:r>
    </w:p>
    <w:p w14:paraId="65AA7D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银行业金融机构和金融资产管理公司应建立不良金融资产管理制度，实施有效的管理策略，明确管理职责，做好不良金融资产档案管理、权益维护、风险监测等日常管理工作。定期对资产管理策略进行评价和调整。</w:t>
      </w:r>
    </w:p>
    <w:p w14:paraId="589A88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银行业金融机构和金融资产管理公司应全面搜集、核实和及时更新债务人（担保人）的资产负债、生产经营、涉</w:t>
      </w:r>
      <w:proofErr w:type="gramStart"/>
      <w:r>
        <w:rPr>
          <w:rFonts w:ascii="宋体" w:eastAsia="宋体" w:hAnsi="宋体" w:cs="宋体" w:hint="eastAsia"/>
          <w:sz w:val="24"/>
        </w:rPr>
        <w:t>诉情况</w:t>
      </w:r>
      <w:proofErr w:type="gramEnd"/>
      <w:r>
        <w:rPr>
          <w:rFonts w:ascii="宋体" w:eastAsia="宋体" w:hAnsi="宋体" w:cs="宋体" w:hint="eastAsia"/>
          <w:sz w:val="24"/>
        </w:rPr>
        <w:t>等信息资料，搜集、核实的过程和结果应以书面或电子形式记载并归入档案。对确实难以搜集、核实相关信息的，应提供必要的佐证材料和相应的记录。</w:t>
      </w:r>
    </w:p>
    <w:p w14:paraId="3B6CCE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银行业金融机构和金融资产管理公司应定期或根据实际需要对不良金融资产有关情况进行现场调查。</w:t>
      </w:r>
    </w:p>
    <w:p w14:paraId="582DFE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银行业金融机构和金融资产管理公司应加强不良债权管理。</w:t>
      </w:r>
    </w:p>
    <w:p w14:paraId="77825A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（一）认真整理、审查和完善不良债权的法律文件和相关管理资料，包括对纸质文件和相应电子信息的管理和更新。</w:t>
      </w:r>
    </w:p>
    <w:p w14:paraId="5ECAF1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（二）密切监控主债权诉讼时效、保证期间和申请执行期限等，及时主张权利，确保债权始终受司法保护。</w:t>
      </w:r>
    </w:p>
    <w:p w14:paraId="2AAB23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（三）跟踪涉</w:t>
      </w:r>
      <w:proofErr w:type="gramStart"/>
      <w:r>
        <w:rPr>
          <w:rFonts w:ascii="宋体" w:eastAsia="宋体" w:hAnsi="宋体" w:cs="宋体" w:hint="eastAsia"/>
          <w:sz w:val="24"/>
        </w:rPr>
        <w:t>诉项目</w:t>
      </w:r>
      <w:proofErr w:type="gramEnd"/>
      <w:r>
        <w:rPr>
          <w:rFonts w:ascii="宋体" w:eastAsia="宋体" w:hAnsi="宋体" w:cs="宋体" w:hint="eastAsia"/>
          <w:sz w:val="24"/>
        </w:rPr>
        <w:t>进展情况，及时主张权利。</w:t>
      </w:r>
    </w:p>
    <w:p w14:paraId="028989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（四）密切关注抵押（质）物价值的不利变化，及时采取补救措施。对因客观原因或其他不可抗力而无法及时发现和补救的，应做出必要说明和记录。</w:t>
      </w:r>
    </w:p>
    <w:p w14:paraId="717F04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（五）调查和了解债务人（担保人）的其他债务和担保情况以及其他债权人对该债务人（担保人）的债务追偿情况。</w:t>
      </w:r>
    </w:p>
    <w:p w14:paraId="30CE24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及时发现债务人（担保人）主体资格丧失、隐匿、转移和毁损资产，擅自处置抵押物或将抵押物再次抵押给其他债权人等有可能导致债权被悬空的事件或行为，采取措施制止、补救和进行必要说明，并报告监管部门。</w:t>
      </w:r>
    </w:p>
    <w:p w14:paraId="6F54A0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银行业金融机构和金融资产管理公司应加强股权类资产管理。</w:t>
      </w:r>
    </w:p>
    <w:p w14:paraId="1C93B8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建立和完善股权管理制度。根据持股比例向持股企业派出（选聘）股东代表、董事、监事等人员，参与企业重大决策。建立股权管理授权制度。派出（选聘）的股东代表、董事、监事应定期总结报告其在持股企业中的工作。银行业金融机构和金融资产管理公司应定期对派出（选聘）股东代表、董事、监事的履职情况进行考核。</w:t>
      </w:r>
    </w:p>
    <w:p w14:paraId="6A1E86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（二）密切关注持股企业资产负债、生产经营和关联交易等重大事项及其变化。</w:t>
      </w:r>
    </w:p>
    <w:p w14:paraId="302634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（三）依法维护股东权益，采取措施制止损害股东合法权益的行为。</w:t>
      </w:r>
    </w:p>
    <w:p w14:paraId="44BAC3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（四）督促持股企业转换经营机制，建立和完善法人治理结构，提高经营管理效益，努力实现股权资产保值增值。对阶段性持股要尽可能创造条件实现退出。</w:t>
      </w:r>
    </w:p>
    <w:p w14:paraId="4BD92A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（五）根据持股比例参与企业利润分配。</w:t>
      </w:r>
    </w:p>
    <w:p w14:paraId="654DCD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（六）当持股企业因管理、环境等因素发生不利变化，将导致持有股权风险显著增大时，应及时采取有效措施维护自身合法权益。</w:t>
      </w:r>
    </w:p>
    <w:p w14:paraId="74CAEB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银行业金融机构和金融资产管理公司应加强实物类资产管理。</w:t>
      </w:r>
    </w:p>
    <w:p w14:paraId="27A936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（一）遵循有利于变现和成本效益原则，根据</w:t>
      </w:r>
      <w:proofErr w:type="gramStart"/>
      <w:r>
        <w:rPr>
          <w:rFonts w:ascii="宋体" w:eastAsia="宋体" w:hAnsi="宋体" w:cs="宋体" w:hint="eastAsia"/>
          <w:sz w:val="24"/>
        </w:rPr>
        <w:t>不</w:t>
      </w:r>
      <w:proofErr w:type="gramEnd"/>
      <w:r>
        <w:rPr>
          <w:rFonts w:ascii="宋体" w:eastAsia="宋体" w:hAnsi="宋体" w:cs="宋体" w:hint="eastAsia"/>
          <w:sz w:val="24"/>
        </w:rPr>
        <w:t>同类实物类资产的特点制定并采取适当的管理策略。</w:t>
      </w:r>
    </w:p>
    <w:p w14:paraId="21A677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（二）明确管理责任人，做好实物类资产经营管理和日常维护工作，重要权证实施集中管理。</w:t>
      </w:r>
    </w:p>
    <w:p w14:paraId="0A51F6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（三）建立实物类</w:t>
      </w:r>
      <w:proofErr w:type="gramStart"/>
      <w:r>
        <w:rPr>
          <w:rFonts w:ascii="宋体" w:eastAsia="宋体" w:hAnsi="宋体" w:cs="宋体" w:hint="eastAsia"/>
          <w:sz w:val="24"/>
        </w:rPr>
        <w:t>资产台</w:t>
      </w:r>
      <w:proofErr w:type="gramEnd"/>
      <w:r>
        <w:rPr>
          <w:rFonts w:ascii="宋体" w:eastAsia="宋体" w:hAnsi="宋体" w:cs="宋体" w:hint="eastAsia"/>
          <w:sz w:val="24"/>
        </w:rPr>
        <w:t>账，定期进行盘点清查，账实核对，及时掌握实物</w:t>
      </w:r>
      <w:r>
        <w:rPr>
          <w:rFonts w:ascii="宋体" w:eastAsia="宋体" w:hAnsi="宋体" w:cs="宋体" w:hint="eastAsia"/>
          <w:sz w:val="24"/>
        </w:rPr>
        <w:lastRenderedPageBreak/>
        <w:t>类资产的形态及价值状态的异常变化和风险隐患，积极采取有效措施，防止贬损或丢失。</w:t>
      </w:r>
    </w:p>
    <w:p w14:paraId="057A32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（四）建立实物类资产信息数据库，及时收集、更新和分析管理、处置信息。</w:t>
      </w:r>
    </w:p>
    <w:p w14:paraId="3BEB25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（五）抵债资产非</w:t>
      </w:r>
      <w:proofErr w:type="gramStart"/>
      <w:r>
        <w:rPr>
          <w:rFonts w:ascii="宋体" w:eastAsia="宋体" w:hAnsi="宋体" w:cs="宋体" w:hint="eastAsia"/>
          <w:sz w:val="24"/>
        </w:rPr>
        <w:t>经规定</w:t>
      </w:r>
      <w:proofErr w:type="gramEnd"/>
      <w:r>
        <w:rPr>
          <w:rFonts w:ascii="宋体" w:eastAsia="宋体" w:hAnsi="宋体" w:cs="宋体" w:hint="eastAsia"/>
          <w:sz w:val="24"/>
        </w:rPr>
        <w:t>程序批准不能自用，并须按照有关规定尽快处置变现。</w:t>
      </w:r>
    </w:p>
    <w:p w14:paraId="4702DD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不良债权主要包括银行持有的次级、可疑及损失类贷款，金融资产管理公司收购或接收的不良金融债权，以及其他非银行金融机构持有的不良债权。</w:t>
      </w:r>
    </w:p>
    <w:p w14:paraId="53E733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股权类资产主要包括政策性债转股、商业性债转股、抵债股权、质押股权等。</w:t>
      </w:r>
    </w:p>
    <w:p w14:paraId="679CB4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实物类资产主要包括收购的以及资产处置中收回的以物抵债资产、受托管理的实物资产，以及其他能实现债权清偿权利的实物资产。</w:t>
      </w:r>
    </w:p>
    <w:p w14:paraId="01B859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银行业金融机构和金融资产管理公司应定期对不良金融资产进行分析，选择有利处置时机，及时启动处置程序，防止资产因处置不及时造成贬值或流失。</w:t>
      </w:r>
    </w:p>
    <w:p w14:paraId="186047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资产处置前期调查尽职要求</w:t>
      </w:r>
    </w:p>
    <w:p w14:paraId="409479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银行业金融机构和金融资产管理公司处置不良金融资产前，应对拟处置资产开展前期调查分析。前期调查分析应充分利用现有档案资料和日常管理中获得的各种有效信息。当现有信息与实际情况发生较大出入或重大变化时，应进行现场调查。</w:t>
      </w:r>
    </w:p>
    <w:p w14:paraId="1AFD78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对于经法院裁定终结执行、破产或经县级以上工商行政管理部门注销的债务人及其他回收价值低的资产，可根据实际情况进行专项调查、重点调查或典型抽样调查。</w:t>
      </w:r>
    </w:p>
    <w:p w14:paraId="090698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银行业金融机构和金融资产管理公司应记录前期调查过程，整理分类并妥善保管各类调查资料和证据材料。重要项目要形成书面调查报告。前期调查资料和调查报告应对后续资产处置方式选择、定价和方案制作等形成必要的支持。</w:t>
      </w:r>
    </w:p>
    <w:p w14:paraId="5D0DD5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第二十二条 负责调查的不良金融资产工作人员应保证在调查报告中对可能影响到资产价值判断和处置方式选择的重要事项不存在虚假记载、重大遗漏和误导性陈述，并已对所获信息资料的置信程度进行了充分说明。</w:t>
      </w:r>
    </w:p>
    <w:p w14:paraId="76C1C8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银行业金融机构和金融资产管理公司资产处置前期调查主要由内部人员负责实施。必要时，也可委托中介机构进行或参与。</w:t>
      </w:r>
    </w:p>
    <w:p w14:paraId="034089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资产处置方式选择与运用尽职要求</w:t>
      </w:r>
    </w:p>
    <w:p w14:paraId="5DD8B2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银行业金融机构和金融资产管理公司应在法律法规允许并经金融监管部门批准的业务许可范围内，积极稳妥地选择并探索有效的不良金融资产处置方式。</w:t>
      </w:r>
    </w:p>
    <w:p w14:paraId="5D4DE6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银行业金融机构和金融资产管理公司在选择与运用资产处置方式时，应遵循成本效益和风险控制原则，合理分析，综合比较，择优选用可行的处置方式，并提供相关依据。</w:t>
      </w:r>
    </w:p>
    <w:p w14:paraId="107DDA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对债权类资产进行追偿的，包括直接催收、诉讼（仲裁）追偿、委托第三方追偿、破产清偿等方式。</w:t>
      </w:r>
    </w:p>
    <w:p w14:paraId="47308F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（一）采用直接催收方式的，应监控债务人（担保人）的还款能力变化等情况，及时发送催收通知，尽可能收回贷款本息。当直接催收方</w:t>
      </w:r>
      <w:proofErr w:type="gramStart"/>
      <w:r>
        <w:rPr>
          <w:rFonts w:ascii="宋体" w:eastAsia="宋体" w:hAnsi="宋体" w:cs="宋体" w:hint="eastAsia"/>
          <w:sz w:val="24"/>
        </w:rPr>
        <w:t>式不能</w:t>
      </w:r>
      <w:proofErr w:type="gramEnd"/>
      <w:r>
        <w:rPr>
          <w:rFonts w:ascii="宋体" w:eastAsia="宋体" w:hAnsi="宋体" w:cs="宋体" w:hint="eastAsia"/>
          <w:sz w:val="24"/>
        </w:rPr>
        <w:t>顺利实施时，应及时调整处置方式。</w:t>
      </w:r>
    </w:p>
    <w:p w14:paraId="2CEC42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采用诉讼（仲裁）追偿方式的，应在论证诉讼（仲裁）可行性的基础上，根据债务人（担保人）的财产情况，合理确定诉讼时机、方式和标的。并按照生效法律文书在规定时间内要求债务人（担保人）履行或申请执行，尽快回收现金和其他资产。对违法、显失公平的判决、裁决或裁定，应及时上诉。必要时，应提起申诉，并保留相应记录。</w:t>
      </w:r>
    </w:p>
    <w:p w14:paraId="7EC040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采用委托第三方追偿债务方式的，应在对委托债权价值做出独立判断的基础上，结合委托债权追偿的难易程度、代理方追偿能力和代理效果，合理确定委托费用，并对代理方的代理行为进行动态监督，防止资产损失。采用风险代理方式的，应严格委托标准，择优选择代理方，明确授权范围、代理期限，合理确定费用标准和支付方式等内容，并加强对代理方的监督考核。</w:t>
      </w:r>
    </w:p>
    <w:p w14:paraId="3083E9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采用债务人（担保人）破产清偿方式的，应参加债权人会议，密切关注破产清算进程，并尽最大可能防止债务人利用破产手段逃废债。对破产过程中存在损害债权人利益的行为和显失公平的裁定应及时依法维护自身权益。</w:t>
      </w:r>
    </w:p>
    <w:p w14:paraId="4F9E96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对债权进行重组的，包括以物抵债、修改债务条款、资产置换等方式或其组合。</w:t>
      </w:r>
    </w:p>
    <w:p w14:paraId="121388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（一）采用以物抵债方式的，应按照有关规定要求，重点关注抵债资产的产权和实物状况、评估价值、维护费用、升（贬）</w:t>
      </w:r>
      <w:proofErr w:type="gramStart"/>
      <w:r>
        <w:rPr>
          <w:rFonts w:ascii="宋体" w:eastAsia="宋体" w:hAnsi="宋体" w:cs="宋体" w:hint="eastAsia"/>
          <w:sz w:val="24"/>
        </w:rPr>
        <w:t>值趋势</w:t>
      </w:r>
      <w:proofErr w:type="gramEnd"/>
      <w:r>
        <w:rPr>
          <w:rFonts w:ascii="宋体" w:eastAsia="宋体" w:hAnsi="宋体" w:cs="宋体" w:hint="eastAsia"/>
          <w:sz w:val="24"/>
        </w:rPr>
        <w:t>以及变现能力等因素，谨慎确定抵债资产抵偿的债权数额，对剩余债权继续保留追偿权。应当优先接受产权清晰、权证齐全、具有独立使用功能、易于保管及变现的实物类资产抵债。在考虑成本效益与资产风险的前提下，及时办理确权手续。</w:t>
      </w:r>
    </w:p>
    <w:p w14:paraId="1264DA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采用修改债务条款方式的，应对债务人（担保人）的偿债能力进行分析，谨慎确定新债务条款，与债务人（担保人）重新签订还款计划，落实有关担保条款和相应保障措施，督促债务人（担保人）履行约定义务。</w:t>
      </w:r>
    </w:p>
    <w:p w14:paraId="421DFB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（三）采用资产置换方式的，应以提高资产变现和收益能力为目标，确保拟换入资产来源合法、权属清晰、价值公允，并严密控制相关风险。</w:t>
      </w:r>
    </w:p>
    <w:p w14:paraId="1346F3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（四）采用以债务人分立、合并和破产重整为基础的债务重组方式的，应建立操作和审批制度，依据有关法律、法规、规章和政策等切实维护自身合法权益。</w:t>
      </w:r>
    </w:p>
    <w:p w14:paraId="23FA91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对不良金融资产进行转让的，包括拍卖、竞标、竞价转让和协议转让等方式。</w:t>
      </w:r>
    </w:p>
    <w:p w14:paraId="5EA948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（一）采用拍卖方式处置资产的，应遵守国家拍卖有关法律法规，严格监督拍卖过程，防止合谋压价、串通作弊、排斥竞争等行为。</w:t>
      </w:r>
    </w:p>
    <w:p w14:paraId="1F5045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（二）采用竞标方式处置资产的，应参照国家招投标有关法律法规，规范竞标程序。</w:t>
      </w:r>
    </w:p>
    <w:p w14:paraId="658CCC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（三）采用竞价转让方式处置资产的，应为所有竞买人提供平等的竞价机会。</w:t>
      </w:r>
    </w:p>
    <w:p w14:paraId="659399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（四）当采用拍卖、竞标、竞价等公开处置方式在经济上不可行，或不具备采用拍卖、竞标、竞价等公开处置方式的条件时，可采用协议转让方式处置，同</w:t>
      </w:r>
      <w:r>
        <w:rPr>
          <w:rFonts w:ascii="宋体" w:eastAsia="宋体" w:hAnsi="宋体" w:cs="宋体" w:hint="eastAsia"/>
          <w:sz w:val="24"/>
        </w:rPr>
        <w:lastRenderedPageBreak/>
        <w:t>时应坚持谨慎原则，透明操作，其实记录，切实防范风险。</w:t>
      </w:r>
    </w:p>
    <w:p w14:paraId="6A75A3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（五）采用拍卖、竞标、竞价和协议等方式转让不良金融资产的，应按照有关规定披露与转让资产相关的信息，最大限度地提高转让过程的透明度。</w:t>
      </w:r>
    </w:p>
    <w:p w14:paraId="3E175F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（六）转让资产时，原则上要求一次性付款。确需采取分期付款方式的，应将付款期限、次数等条件作为确定转让对象和价格的因素，在落实有效履约保障措施后，方可向受让人移交部分或全部资产权证。</w:t>
      </w:r>
    </w:p>
    <w:p w14:paraId="21B2DE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采用债权转股权或以实物类资产出资入股方式处置不良金融资产的，应综合考虑转股债权或实物类资产的价值、入股企业的经营管理水平和发展前景以及转股股权未来的价值趋势等，做出合理的出资决策。</w:t>
      </w:r>
    </w:p>
    <w:p w14:paraId="66066C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对因受客观条件限制，暂时无法处置的资产进行租赁，应遵守国家有关规定，并在不影响资产处置的情况下，合理确定租赁条件，确保租赁资产的安全和租赁收益。</w:t>
      </w:r>
    </w:p>
    <w:p w14:paraId="1F78F1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对符合条件的不良金融资产损失进行内部核销，应遵守国家有关规定，制定核销业务操作规程，严格核销程序和条件，审查申报材料的合法性和真实性，建立监督制度和保密制度，防止弄虚作假行为。对已核销不良金融资产应建立管理制度，加强管理，并择机清收和处置。</w:t>
      </w:r>
    </w:p>
    <w:p w14:paraId="7DE6C4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接受委托，代理处置不良金融资产应签订委托代理协议，并按照协议勤勉尽职处置。委托代理业务应与自营业务严格区分，分账管理。</w:t>
      </w:r>
    </w:p>
    <w:p w14:paraId="191CB2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银行业金融机构和金融资产管理公司聘请中介机构为资产处置提供服务，应引入市场机制，审查其行业资质，优先选择业绩良好的中介机构，同时注意控制成本费用。</w:t>
      </w:r>
    </w:p>
    <w:p w14:paraId="7CFE77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资产处置定价尽职要求</w:t>
      </w:r>
    </w:p>
    <w:p w14:paraId="493490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银行业金融机构和金融资产管理公司应制定不良金融资产定价管理办法，明确定价程序、定价因素、定价方式和定价方法，逐步建立起以市场为导向、规范合理的不良金融资产定价机制，严格防范定价过程中的各类风险。</w:t>
      </w:r>
    </w:p>
    <w:p w14:paraId="008563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银行业金融机构和金融资产管理公司应加强对定价方法的探索和研究，逐步</w:t>
      </w:r>
      <w:r>
        <w:rPr>
          <w:rFonts w:ascii="宋体" w:eastAsia="宋体" w:hAnsi="宋体" w:cs="宋体" w:hint="eastAsia"/>
          <w:sz w:val="24"/>
        </w:rPr>
        <w:lastRenderedPageBreak/>
        <w:t>实现不良金融资产定价的量化管理。</w:t>
      </w:r>
    </w:p>
    <w:p w14:paraId="18370B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银行业金融机构和金融资产管理公司内部负责评估、定价环节的部门在机构和人员上应独立</w:t>
      </w:r>
      <w:proofErr w:type="gramStart"/>
      <w:r>
        <w:rPr>
          <w:rFonts w:ascii="宋体" w:eastAsia="宋体" w:hAnsi="宋体" w:cs="宋体" w:hint="eastAsia"/>
          <w:sz w:val="24"/>
        </w:rPr>
        <w:t>于负责</w:t>
      </w:r>
      <w:proofErr w:type="gramEnd"/>
      <w:r>
        <w:rPr>
          <w:rFonts w:ascii="宋体" w:eastAsia="宋体" w:hAnsi="宋体" w:cs="宋体" w:hint="eastAsia"/>
          <w:sz w:val="24"/>
        </w:rPr>
        <w:t>资产处置的部门。</w:t>
      </w:r>
    </w:p>
    <w:p w14:paraId="12D326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银行业金融机构和金融资产管理公司应根据适用会计准则或审慎会计原则，定期（至少半年一次）重估不良金融资产的实际价值。</w:t>
      </w:r>
    </w:p>
    <w:p w14:paraId="496B6B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不良金融资产定价应在综合考虑国家有关政策、市场因素、环境因素的基础上，重点关注法律权利的有效性、评估（咨询）报告与尽职调查报告、债务人（担保人）或承债式兼并方的偿债能力与偿债意愿、企业经营状况与净资产价值、实物资产的公允价值与交易案例、市场招商情况与潜在投资者报价等影响交易定价的因素，同时也应关注定价的可实现性、实现的成本和时间。</w:t>
      </w:r>
    </w:p>
    <w:p w14:paraId="38FCF2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银行业金融机构和金融资产管理公司应根据债权、股权、实物类资产等不同形态资产的特点，有所侧重地采用适当的定价方法。</w:t>
      </w:r>
    </w:p>
    <w:p w14:paraId="5AE7BF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银行业金融机构和金融资产管理公司应按国家有关规定确定列入评估的资产范围和具体的评估形式。选聘中介机构对处置不良金融资产进行评估的，应遵守有关行业准则。</w:t>
      </w:r>
    </w:p>
    <w:p w14:paraId="07B6CB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不具备评估条件的不良金融资产，应明确其他替代方法。对因缺乏基础资料，难以准确把握资产真实价值的，应通过充分的信息披露、广泛招商以及交易结构设计等手段，利用市场机制发掘不良金融资产的公允价值。</w:t>
      </w:r>
    </w:p>
    <w:p w14:paraId="0AA25E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银行业金融机构和金融资产管理公司对评估（咨询）报告应进行独立的分析和判断，发现虚假记载、重大遗漏、误导性陈述和适用方法明显不当等问题时，应向中介机构提出书面疑义，要求其做出书面解释。</w:t>
      </w:r>
    </w:p>
    <w:p w14:paraId="120B90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不良金融资产工作人员不应简单以评估（咨询）结果代替自身进行的调查、取证和分析工作。在评估结果与招商结果、谈判结果等存在较大差异时，应分析原因，并合法、合理认定处置资产的公允价值。</w:t>
      </w:r>
    </w:p>
    <w:p w14:paraId="60B049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资产处置方案制定、审批和实施尽职要求</w:t>
      </w:r>
    </w:p>
    <w:p w14:paraId="65F77A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银行业金融机构和金融资产管理公司处置不良金融资产应规定</w:t>
      </w:r>
      <w:r>
        <w:rPr>
          <w:rFonts w:ascii="宋体" w:eastAsia="宋体" w:hAnsi="宋体" w:cs="宋体" w:hint="eastAsia"/>
          <w:sz w:val="24"/>
        </w:rPr>
        <w:lastRenderedPageBreak/>
        <w:t>操作和审批程序，不得违反程序或减少程序进行处置。</w:t>
      </w:r>
    </w:p>
    <w:p w14:paraId="62313C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银行业金融机构和金融资产管理公司处置不良金融资产，除账户扣收和直接催收方式外，应制定处置方案。方案制定人员应对方案内容的真实性和完整性负责，并承诺不存在虚假记载、重大遗漏和误导性陈述。</w:t>
      </w:r>
    </w:p>
    <w:p w14:paraId="15F8B6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制定处置方案应做到事实真实完整、数据准确、法律关系表述清晰、分析严谨。主要包括：处置对象情况、处置时机判断、处置方式比较和选择、处置定价和依据以及交易结构设计等内容。还应对建议的处置方式、定价依据、履约保证和风险控制、处置损失、费用支出、收款计划等做出合法、合</w:t>
      </w:r>
      <w:proofErr w:type="gramStart"/>
      <w:r>
        <w:rPr>
          <w:rFonts w:ascii="宋体" w:eastAsia="宋体" w:hAnsi="宋体" w:cs="宋体" w:hint="eastAsia"/>
          <w:sz w:val="24"/>
        </w:rPr>
        <w:t>规</w:t>
      </w:r>
      <w:proofErr w:type="gramEnd"/>
      <w:r>
        <w:rPr>
          <w:rFonts w:ascii="宋体" w:eastAsia="宋体" w:hAnsi="宋体" w:cs="宋体" w:hint="eastAsia"/>
          <w:sz w:val="24"/>
        </w:rPr>
        <w:t>、合理的解释和论证，并最大限度地收集能支持方案合法性、合</w:t>
      </w:r>
      <w:proofErr w:type="gramStart"/>
      <w:r>
        <w:rPr>
          <w:rFonts w:ascii="宋体" w:eastAsia="宋体" w:hAnsi="宋体" w:cs="宋体" w:hint="eastAsia"/>
          <w:sz w:val="24"/>
        </w:rPr>
        <w:t>规</w:t>
      </w:r>
      <w:proofErr w:type="gramEnd"/>
      <w:r>
        <w:rPr>
          <w:rFonts w:ascii="宋体" w:eastAsia="宋体" w:hAnsi="宋体" w:cs="宋体" w:hint="eastAsia"/>
          <w:sz w:val="24"/>
        </w:rPr>
        <w:t>性及合理性的证据材料。</w:t>
      </w:r>
    </w:p>
    <w:p w14:paraId="017229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银行业金融机构和金融资产管理公司应按有关规定及时、真实、完整地披露不良金融资产信息，提高资产处置透明度，增强市场约束。</w:t>
      </w:r>
    </w:p>
    <w:p w14:paraId="13A93A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不良金融资产处置中，如果一方有能力直接或间接控制、共同控制另一方或对另一方施加重大影响，则他们之间存在关联方关系；如果两方或多方同受一方控制，则他们之间也存在关联关系。</w:t>
      </w:r>
    </w:p>
    <w:p w14:paraId="5E2FCA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关联方参与不良金融资产处置，应充分披露处置有关信息；如存在其他投资者，向关联方提供的条件不得优于其他投资者。</w:t>
      </w:r>
    </w:p>
    <w:p w14:paraId="6A78DD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银行业金融机构和金融资产管理公司应建立资产处置审核程序，严格按程序进行审批。</w:t>
      </w:r>
    </w:p>
    <w:p w14:paraId="39DDA6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（一）应建立和完善授权审核、审批制度，明确各级机构的审核和审批权限。</w:t>
      </w:r>
    </w:p>
    <w:p w14:paraId="073E80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（二）应建立不良金融资产处置与审核分离机制，由专门机构和专职人员在授权范围内对处置方案进行全面、独立的审核。</w:t>
      </w:r>
    </w:p>
    <w:p w14:paraId="03DFCC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（三）资产处置审核人员应具备从业所需的专业素质和经验，诚实守信、勤勉尽职，独立发表意见。</w:t>
      </w:r>
    </w:p>
    <w:p w14:paraId="3BB171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（四）资产处置审核人员应对处置方案的合法性、合</w:t>
      </w:r>
      <w:proofErr w:type="gramStart"/>
      <w:r>
        <w:rPr>
          <w:rFonts w:ascii="宋体" w:eastAsia="宋体" w:hAnsi="宋体" w:cs="宋体" w:hint="eastAsia"/>
          <w:sz w:val="24"/>
        </w:rPr>
        <w:t>规</w:t>
      </w:r>
      <w:proofErr w:type="gramEnd"/>
      <w:r>
        <w:rPr>
          <w:rFonts w:ascii="宋体" w:eastAsia="宋体" w:hAnsi="宋体" w:cs="宋体" w:hint="eastAsia"/>
          <w:sz w:val="24"/>
        </w:rPr>
        <w:t>性、合理性和可行性进行审核。审核机构和审核人员对审核意见负责。对资产处置审核情况和审核过</w:t>
      </w:r>
      <w:r>
        <w:rPr>
          <w:rFonts w:ascii="宋体" w:eastAsia="宋体" w:hAnsi="宋体" w:cs="宋体" w:hint="eastAsia"/>
          <w:sz w:val="24"/>
        </w:rPr>
        <w:lastRenderedPageBreak/>
        <w:t>程中各种意见应如实记录，并形成会议纪要。</w:t>
      </w:r>
    </w:p>
    <w:p w14:paraId="215811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除接受人民法院和仲裁机构有终局性法律效力的判决、裁定、裁决的资产处置项目及按国家政策实施政策性破产、重组外，不良金融资产处置方案须由资产处置审核机构审核通过，经有权审批人批准后方可实施。</w:t>
      </w:r>
    </w:p>
    <w:p w14:paraId="4AABC9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银行业金融机构和金融资产管理公司对已批准的不良金融资产处置项目，要严格按照审批方案实施，如确需变更，条件优于原方案的，应向项目原审批机构报备。</w:t>
      </w:r>
      <w:proofErr w:type="gramStart"/>
      <w:r>
        <w:rPr>
          <w:rFonts w:ascii="宋体" w:eastAsia="宋体" w:hAnsi="宋体" w:cs="宋体" w:hint="eastAsia"/>
          <w:sz w:val="24"/>
        </w:rPr>
        <w:t>劣手原</w:t>
      </w:r>
      <w:proofErr w:type="gramEnd"/>
      <w:r>
        <w:rPr>
          <w:rFonts w:ascii="宋体" w:eastAsia="宋体" w:hAnsi="宋体" w:cs="宋体" w:hint="eastAsia"/>
          <w:sz w:val="24"/>
        </w:rPr>
        <w:t>方案的，应重新上报审批并取得同意。有附加条件的批准项目应</w:t>
      </w:r>
      <w:proofErr w:type="gramStart"/>
      <w:r>
        <w:rPr>
          <w:rFonts w:ascii="宋体" w:eastAsia="宋体" w:hAnsi="宋体" w:cs="宋体" w:hint="eastAsia"/>
          <w:sz w:val="24"/>
        </w:rPr>
        <w:t>先落实</w:t>
      </w:r>
      <w:proofErr w:type="gramEnd"/>
      <w:r>
        <w:rPr>
          <w:rFonts w:ascii="宋体" w:eastAsia="宋体" w:hAnsi="宋体" w:cs="宋体" w:hint="eastAsia"/>
          <w:sz w:val="24"/>
        </w:rPr>
        <w:t>条件后再实施。</w:t>
      </w:r>
    </w:p>
    <w:p w14:paraId="3B7086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第四十九条 银行业金融机构和金融资产管理公司对不良金融资产处置项目应制作相应的法律文件，并确保法律文件合法合</w:t>
      </w:r>
      <w:proofErr w:type="gramStart"/>
      <w:r>
        <w:rPr>
          <w:rFonts w:ascii="宋体" w:eastAsia="宋体" w:hAnsi="宋体" w:cs="宋体" w:hint="eastAsia"/>
          <w:sz w:val="24"/>
        </w:rPr>
        <w:t>规</w:t>
      </w:r>
      <w:proofErr w:type="gramEnd"/>
      <w:r>
        <w:rPr>
          <w:rFonts w:ascii="宋体" w:eastAsia="宋体" w:hAnsi="宋体" w:cs="宋体" w:hint="eastAsia"/>
          <w:sz w:val="24"/>
        </w:rPr>
        <w:t>。</w:t>
      </w:r>
    </w:p>
    <w:p w14:paraId="66EDD1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第五十条 不良金融资产处置方案实施中，银行业金融机构和金融资产管理公司应对可能影响处置回收的因素进行持续监测，跟踪了解合同履行或诉讼案件进展情况。</w:t>
      </w:r>
    </w:p>
    <w:p w14:paraId="4C8581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第五十一条 银行业金融机构和金融资产管理公司对处置方案实施过程中出现的各种人为阻力或干预，应依法采取措施，并向上级或监管部门报告。对无法实施的项目应分析原因，及时调整处置策略，维护自身合法权益。</w:t>
      </w:r>
    </w:p>
    <w:p w14:paraId="38D724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第五十二条 银行业金融机构和金融资产管理公司应按照国家有关规定，加强资产处置管理，确保资产处置过程、审核审批程序和履约执行结果等数据资料的完整、真实。</w:t>
      </w:r>
    </w:p>
    <w:p w14:paraId="30A847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第八章 尽职检查监督要求</w:t>
      </w:r>
    </w:p>
    <w:p w14:paraId="42C68E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第五十三条 银行业金融机构和金融资产管理公司应建立不良金融资产处置尽职检查监督制度，设立或确定独立的不良金融资产处置尽职检查监督部门或岗位，并配备与其工作要求相适应的尽职检查监督人员。</w:t>
      </w:r>
      <w:proofErr w:type="gramStart"/>
      <w:r>
        <w:rPr>
          <w:rFonts w:ascii="宋体" w:eastAsia="宋体" w:hAnsi="宋体" w:cs="宋体" w:hint="eastAsia"/>
          <w:sz w:val="24"/>
        </w:rPr>
        <w:t>明确部门</w:t>
      </w:r>
      <w:proofErr w:type="gramEnd"/>
      <w:r>
        <w:rPr>
          <w:rFonts w:ascii="宋体" w:eastAsia="宋体" w:hAnsi="宋体" w:cs="宋体" w:hint="eastAsia"/>
          <w:sz w:val="24"/>
        </w:rPr>
        <w:t>和岗位的职责和要求，制定尽职检查监督工作程序，规范尽职检查监督行为。</w:t>
      </w:r>
    </w:p>
    <w:p w14:paraId="56495A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第五十四条 尽职检查监督人员应具备与岗位要求相适应的职业操守、专业知识、监督能力和相关工作经验，并不得直接参与不良金融资产剥离（转让）、</w:t>
      </w:r>
      <w:r>
        <w:rPr>
          <w:rFonts w:ascii="宋体" w:eastAsia="宋体" w:hAnsi="宋体" w:cs="宋体" w:hint="eastAsia"/>
          <w:sz w:val="24"/>
        </w:rPr>
        <w:lastRenderedPageBreak/>
        <w:t>收购、管理、处置、定价、审核和审批工作。</w:t>
      </w:r>
    </w:p>
    <w:p w14:paraId="5731CB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第五十五条 银行业金融机构和金融资产管理公司应支持尽职检查监督人员独立行使检查监督职能。检查可采取现场检查或非现场检查的方式进行。必要时，可聘请外部专家或委托中介机构开展特定的不良金融资产处置尽职审计工作，并出具独立的尽职审计意见。</w:t>
      </w:r>
    </w:p>
    <w:p w14:paraId="2C6831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和金融资产管理公司任何部门和个人不得直接或间接干扰和阻挠尽职检查监督人员的尽职检查监督工作，不得授意、指使和强令检查监督部门或检查监督人员故意弄虚作假和隐瞒违法违规情况，不得对尽职检查监督人员或举报人等进行打击报复。</w:t>
      </w:r>
    </w:p>
    <w:p w14:paraId="3437AB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第五十六条 银行业金融机构和金融资产管理公司对不良金融资产处置等工作进行的尽职检查监督应至少每半年一次。重大项目应及时进行尽职检查监督。</w:t>
      </w:r>
    </w:p>
    <w:p w14:paraId="56BE93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第五十七条 尽职检查监督人员应根据有关法律、法规、规章和本指引相关规定对不良金融资产工作人员进行独立的尽职检查监督，评价各环节有关人员依法合</w:t>
      </w:r>
      <w:proofErr w:type="gramStart"/>
      <w:r>
        <w:rPr>
          <w:rFonts w:ascii="宋体" w:eastAsia="宋体" w:hAnsi="宋体" w:cs="宋体" w:hint="eastAsia"/>
          <w:sz w:val="24"/>
        </w:rPr>
        <w:t>规</w:t>
      </w:r>
      <w:proofErr w:type="gramEnd"/>
      <w:r>
        <w:rPr>
          <w:rFonts w:ascii="宋体" w:eastAsia="宋体" w:hAnsi="宋体" w:cs="宋体" w:hint="eastAsia"/>
          <w:sz w:val="24"/>
        </w:rPr>
        <w:t>、勤勉尽职的情况，并形成书面尽职检查报告。</w:t>
      </w:r>
    </w:p>
    <w:p w14:paraId="6820FE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第五十八条 银行业金融机构和金融资产管理公司对于尽职检查监督人员发现的问题，应责成相关部门和人员纠正或采取必要的补救措施，并及时跟踪整改结果。</w:t>
      </w:r>
    </w:p>
    <w:p w14:paraId="54D3A7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第五十九条 银行业金融机构和金融资产管理公司应建立对尽职检查监督工作的监督机制，对尽职检查监督人员的尽职情况进行监督。定期（至少每半年一次）向银行业监管机构报告尽职检查监督工作情况。</w:t>
      </w:r>
    </w:p>
    <w:p w14:paraId="56C00A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第九章 责任认定和免责</w:t>
      </w:r>
    </w:p>
    <w:p w14:paraId="205D35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第六十条 银行业金融机构和金融资产管理公司应建立不良金融资产处置尽职责任认定制度和程序，规范责任认定行为，并执行相应的回避制度。</w:t>
      </w:r>
    </w:p>
    <w:p w14:paraId="32EA39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第六十一条 责任认定部门和人员应根据尽职检查监督人员的检查结果，对不良金融资产工作人员是否尽职进行责任认定。责任认定部门和人员应对责任认定结果负责。</w:t>
      </w:r>
    </w:p>
    <w:p w14:paraId="5EBD5D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第六十二条 银行业金融机构和金融资产管理公司应建立不良金融资产处置尽职责任追究制度，根据有关规定进行责任追究，并报监管部门。重大违法、违规、失职责任处理结果应及时向社会公开，接收社会监督。</w:t>
      </w:r>
    </w:p>
    <w:p w14:paraId="21ACF2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第六十三条 具有以下情节的，将依法、依规追究其责任。</w:t>
      </w:r>
    </w:p>
    <w:p w14:paraId="02E784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w:t>
      </w:r>
      <w:proofErr w:type="gramStart"/>
      <w:r>
        <w:rPr>
          <w:rFonts w:ascii="宋体" w:eastAsia="宋体" w:hAnsi="宋体" w:cs="宋体" w:hint="eastAsia"/>
          <w:sz w:val="24"/>
        </w:rPr>
        <w:t>自资产</w:t>
      </w:r>
      <w:proofErr w:type="gramEnd"/>
      <w:r>
        <w:rPr>
          <w:rFonts w:ascii="宋体" w:eastAsia="宋体" w:hAnsi="宋体" w:cs="宋体" w:hint="eastAsia"/>
          <w:sz w:val="24"/>
        </w:rPr>
        <w:t>交易基准日至资产交割日期间，剥离（转让）方擅自处置剥离（转让）资产，放弃与剥离（转让）资产相关的权益，截留、隐匿或私分基准日后剥离（转让）资产项下回收现金和其他资产。</w:t>
      </w:r>
    </w:p>
    <w:p w14:paraId="06E493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（二）资产剥离（转让）后回购剥离（转让）资产，国家另有规定的除外。</w:t>
      </w:r>
    </w:p>
    <w:p w14:paraId="09F10B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（三）利用内部信息，暗箱操作，将资产处置给自己或与自己存在直接或间接利益关系的机构或人员，非法谋取小集体利益和个人利益。</w:t>
      </w:r>
    </w:p>
    <w:p w14:paraId="7F4BD4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（四）泄露金融机构商业秘密，获取非法利益。</w:t>
      </w:r>
    </w:p>
    <w:p w14:paraId="1B22D7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（五）利用虚假拍卖、竞标、竞价和协议转让等掩盖非法处置不良金融资产行为。</w:t>
      </w:r>
    </w:p>
    <w:p w14:paraId="22A161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（六）为达到处置目的人为制造评估结果，以及通过隐瞒重要资料或授意进行虚假评估。</w:t>
      </w:r>
    </w:p>
    <w:p w14:paraId="2416BF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（七）超越权限和违反规定程序擅自处置资产，以及未经规定程序审批同意擅自更改处置方案。</w:t>
      </w:r>
    </w:p>
    <w:p w14:paraId="17B297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（八）未经规定程序审批同意，放弃不良金融资产合法权益。</w:t>
      </w:r>
    </w:p>
    <w:p w14:paraId="396E6A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（九）伪造、篡改、隐匿、毁损资产处置档案。</w:t>
      </w:r>
    </w:p>
    <w:p w14:paraId="5BF0DB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（十）未按照本指引规定要求尽职操作，致使不良金融资产的转让价格明显低于市场价值。</w:t>
      </w:r>
    </w:p>
    <w:p w14:paraId="422BFF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（十一）其他违反本指引规定要求的行为。</w:t>
      </w:r>
    </w:p>
    <w:p w14:paraId="2CF81F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第六十四条 对直接或间接干扰和阻挠尽职检查监督人员的尽职检查监督工作，故意隐瞒违法违规和失职该职行为，或对尽职检查监督人员或举报人等进行打击报复的机构和人员，应认定并依法、依规追究其责任。</w:t>
      </w:r>
    </w:p>
    <w:p w14:paraId="45EA3D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第六十五条 银行业金融机构和金融资产管理公司尽职检查监督人员在检查监督中滥用职权、玩忽职守、徇私舞弊的，应认定并依法、依规从严追究其责任。</w:t>
      </w:r>
    </w:p>
    <w:p w14:paraId="4645E2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第六十六条 银行业金融机构和金融资产管理公司经尽职检查监督和责任认定，有充分证据表明，不良金融资产工作人员按照有关法律、法规、规章、政策和本指引规定勤勉尽职地履行了职责，不良金融资产处置一旦出现问题，可视情况免除相关责任。</w:t>
      </w:r>
    </w:p>
    <w:p w14:paraId="01FE71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第十章 附则</w:t>
      </w:r>
    </w:p>
    <w:p w14:paraId="1945E4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第六十七条 银行业金融机构和金融资产管理公司应根据本指引制定实施细则并报中国银行业监督管理委员会和财政部备案。</w:t>
      </w:r>
    </w:p>
    <w:p w14:paraId="2969B3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第六十八条 中国银行业监督管理委员会根据本指引，加强对银行业金融机构和金融资产管理公司不良金融资产处置工作的监管。</w:t>
      </w:r>
    </w:p>
    <w:p w14:paraId="57229A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第六十九条 本指引由中国银行业监督管理委员会、财政部负责解释。</w:t>
      </w:r>
    </w:p>
    <w:p w14:paraId="65877BD4"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第七十条 本指引自发布之日起施行。</w:t>
      </w:r>
    </w:p>
    <w:p w14:paraId="19A662C3"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43.《中央企业全面风险管理指引》</w:t>
      </w:r>
      <w:r>
        <w:rPr>
          <w:rFonts w:ascii="宋体" w:eastAsia="宋体" w:hAnsi="宋体" w:cs="宋体" w:hint="eastAsia"/>
          <w:b/>
          <w:bCs/>
          <w:sz w:val="24"/>
        </w:rPr>
        <w:tab/>
      </w:r>
    </w:p>
    <w:p w14:paraId="1F2798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发文机构：国务院国有资产监督管理委员会</w:t>
      </w:r>
      <w:r>
        <w:rPr>
          <w:rFonts w:ascii="宋体" w:eastAsia="宋体" w:hAnsi="宋体" w:cs="宋体" w:hint="eastAsia"/>
          <w:sz w:val="24"/>
        </w:rPr>
        <w:tab/>
      </w:r>
    </w:p>
    <w:p w14:paraId="4D04C4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文号：国资</w:t>
      </w:r>
      <w:proofErr w:type="gramStart"/>
      <w:r>
        <w:rPr>
          <w:rFonts w:ascii="宋体" w:eastAsia="宋体" w:hAnsi="宋体" w:cs="宋体" w:hint="eastAsia"/>
          <w:sz w:val="24"/>
        </w:rPr>
        <w:t>发改革</w:t>
      </w:r>
      <w:proofErr w:type="gramEnd"/>
      <w:r>
        <w:rPr>
          <w:rFonts w:ascii="宋体" w:eastAsia="宋体" w:hAnsi="宋体" w:cs="宋体" w:hint="eastAsia"/>
          <w:sz w:val="24"/>
        </w:rPr>
        <w:t>〔2006〕108号</w:t>
      </w:r>
    </w:p>
    <w:p w14:paraId="4AEC41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6497B3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指导国务院国有资产监督管理委员会（以下简称国资委）履行出资人职责的企业（以下简称中央企业）开展全面风险管理工作，增强企业竞争力，提高投资回报，促进企业持续、健康、稳定发展，根据《中华人民共和国公司法》、《企业国有资产监督管理暂行条例》等法律法规，制定本指引。</w:t>
      </w:r>
    </w:p>
    <w:p w14:paraId="2ACBC7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中央企业根据自身实际情况贯彻执行本指引。中央企业中的国有独资公司董事会负责督导本指引的实施；国有控股企业由国资委和国资委提名的董事通过股东（大）会和董事会按照法定程序负责督导本指引的实施。</w:t>
      </w:r>
    </w:p>
    <w:p w14:paraId="66B6FD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指引所称企业风险，指未来的不确定性对企业实现其经营目标的影响。企业风险一般可分为战略风险、财务风险、市场风险、运营风险、法律风险等；也可以能否为企业带来盈利等机会为标志，将风险分为纯粹风险（只有带来损失一种可能性）和机会风险（带来损失和盈利的可能性并存）。</w:t>
      </w:r>
    </w:p>
    <w:p w14:paraId="15309A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本指引所称全面风险管理，指企业围绕总体经营目标，通过在企业管理的各个环节和经营过程中执行风险管理的基本流程，培育良好的风险管理文化，建立健全全面风险管理体系，包括风险管理策略、风险理财措施、风险管理的组织职能体系、风险管理信息系统和内部控制系统，从而为实现风险管理的总体目标提供合理保证的过程和方法。</w:t>
      </w:r>
    </w:p>
    <w:p w14:paraId="04B3F4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本指引所称风险管理基本流程包括以下主要工作：</w:t>
      </w:r>
    </w:p>
    <w:p w14:paraId="06C139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收集风险管理初始信息；</w:t>
      </w:r>
    </w:p>
    <w:p w14:paraId="3DBE1B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进行风险评估；</w:t>
      </w:r>
    </w:p>
    <w:p w14:paraId="412D04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制定风险管理策略；</w:t>
      </w:r>
    </w:p>
    <w:p w14:paraId="771349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提出和实施风险管理解决方案；</w:t>
      </w:r>
    </w:p>
    <w:p w14:paraId="39FA25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（五） 风险管理的监督与改进。</w:t>
      </w:r>
    </w:p>
    <w:p w14:paraId="4C6C5A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本指引所称内部控制系统，指围绕风险管理策略目标，针对企业战略、规划、产品研发、投融资、市场运营、财务、内部审计、法律事务、人力资源、采购、加工制造、销售、物流、质量、安全生产、环境保护等各项业务管理及其重要业务流程，通过执行风险管理基本流程，制定并执行的规章制度、程序和措施。</w:t>
      </w:r>
    </w:p>
    <w:p w14:paraId="73E39C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企业开展全面风险管理要努力实现以下风险管理总体目标：</w:t>
      </w:r>
    </w:p>
    <w:p w14:paraId="7DF984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确保将风险控制在与总体目标相适应并可承受的范围内；</w:t>
      </w:r>
    </w:p>
    <w:p w14:paraId="68551E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确保内外部，尤其是企业与股东之间实现真实、可靠的信息沟通，包括编制和提供真实、可靠的财务报告；</w:t>
      </w:r>
    </w:p>
    <w:p w14:paraId="24827B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确保遵守有关法律法规；</w:t>
      </w:r>
    </w:p>
    <w:p w14:paraId="3CB9EA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确保企业有关规章制度和为实现经营目标而采取重大措施的贯彻执行，保障经营管理的有效性，提高经营活动的效率和效果，降低实现经营目标的不确定性；</w:t>
      </w:r>
    </w:p>
    <w:p w14:paraId="436981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确保企业建立针对各项重大风险发生后的危机处理计划，保护企业不因灾害性风险或人为失误而遭受重大损失。</w:t>
      </w:r>
    </w:p>
    <w:p w14:paraId="419F41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企业开展全面风险管理工作，应注重防范和控制风险可能给企业造成损失和危害，也应把机会风险视为企业的特殊资源，通过对其管理，为企业创造价值，促进经营目标的实现。</w:t>
      </w:r>
    </w:p>
    <w:p w14:paraId="15AC2B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应本着从实际出发，务求实效的原则，以对重大风险、重大事件（指重大风险发生后的事实）的管理和重要流程的内部控制为重点，积极开展全面风险管理工作。具备条件的企业应全面推进，尽快建立全面风险管理体系；其他企业应制</w:t>
      </w:r>
      <w:proofErr w:type="gramStart"/>
      <w:r>
        <w:rPr>
          <w:rFonts w:ascii="宋体" w:eastAsia="宋体" w:hAnsi="宋体" w:cs="宋体" w:hint="eastAsia"/>
          <w:sz w:val="24"/>
        </w:rPr>
        <w:t>定开展</w:t>
      </w:r>
      <w:proofErr w:type="gramEnd"/>
      <w:r>
        <w:rPr>
          <w:rFonts w:ascii="宋体" w:eastAsia="宋体" w:hAnsi="宋体" w:cs="宋体" w:hint="eastAsia"/>
          <w:sz w:val="24"/>
        </w:rPr>
        <w:t>全面风险管理的总体规划，分步实施，可先选择发展战略、投资收购、财务报告、内部审计、衍生产品交易、法律事务、安全生产、应收账款管理等一项或多项业务开展风险管理工作，建立单项或多项内部控制子系统。通过积累经验，培养人才，逐步建立健全全面风险管理体系。</w:t>
      </w:r>
    </w:p>
    <w:p w14:paraId="090A68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第十条 企业开展全面风险管理工作应与其他管理工作紧密结合，把风险管理的各项要求融入企业管理和业务流程中。具备条件的企业可建立风险管理三道防线，即各有关职能部门和业务单位为第一道防线；风险管理职能部门和董事会下设的风险管理委员会为第二道防线；内部审计部门和董事会下设的审计委员会为第三道防线。</w:t>
      </w:r>
    </w:p>
    <w:p w14:paraId="6F5640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风险管理初始信息</w:t>
      </w:r>
    </w:p>
    <w:p w14:paraId="5AF05D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实施全面风险管理，企业应广泛、持续不断地收集与本企业风险和风险管理相关的内部、外部初始信息，包括历史数据和未来预测。应把收集初始信息的职责分工落实到各有关职能部门和业务单位。</w:t>
      </w:r>
    </w:p>
    <w:p w14:paraId="52445F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在战略风险方面，企业应广泛收集国内外企业战略风险失控导致企业蒙受损失的案例，并至少收集与本企业相关的以下重要信息：</w:t>
      </w:r>
    </w:p>
    <w:p w14:paraId="241CEA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国内外宏观经济政策以及经济运行情况、本行业状况、国家产业政策；</w:t>
      </w:r>
    </w:p>
    <w:p w14:paraId="046D9F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科技进步、技术创新的有关内容；</w:t>
      </w:r>
    </w:p>
    <w:p w14:paraId="7C7A9E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市场对本企业产品或服务的需求；</w:t>
      </w:r>
    </w:p>
    <w:p w14:paraId="073158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与企业战略合作伙伴的关系，未来寻求战略合作伙伴的可能性；</w:t>
      </w:r>
    </w:p>
    <w:p w14:paraId="0B1366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本企业主要客户、供应商及竞争对手的有关情况；</w:t>
      </w:r>
    </w:p>
    <w:p w14:paraId="02406E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 与主要竞争对手相比，本企业实力与差距；</w:t>
      </w:r>
    </w:p>
    <w:p w14:paraId="7CD07F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 本企业发展战略和规划、投融资计划、年度经营目标、经营战略，以及编制这些战略、规划、计划、目标的有关依据；</w:t>
      </w:r>
    </w:p>
    <w:p w14:paraId="65B0B8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 本企业对外投融资流程中曾发生或易发生错误的业务流程或环节。</w:t>
      </w:r>
    </w:p>
    <w:p w14:paraId="47B3CB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在财务风险方面，企业应广泛收集国内外企业财务风险失控导致危机的案例，并至少收集本企业的以下重要信息（其中有行业平均指标或先进指标的，也应尽可能收集）：</w:t>
      </w:r>
    </w:p>
    <w:p w14:paraId="579E07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负债、或有负债、负债率、偿债能力；</w:t>
      </w:r>
    </w:p>
    <w:p w14:paraId="64875B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 现金流、应收账款及其占销售收入的比重、资金周转率；</w:t>
      </w:r>
    </w:p>
    <w:p w14:paraId="37D35E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产品存货及其占销售成本的比重、应付账款及其占购货额的比重；</w:t>
      </w:r>
    </w:p>
    <w:p w14:paraId="42E979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制造成本和管理费用、财务费用、营业费用；</w:t>
      </w:r>
    </w:p>
    <w:p w14:paraId="11EBD9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盈利能力；</w:t>
      </w:r>
    </w:p>
    <w:p w14:paraId="1FF381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 成本核算、资金结算和现金管理业务中曾发生或易发生错误的业务流程或环节；</w:t>
      </w:r>
    </w:p>
    <w:p w14:paraId="5BBFA0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 与本企业相关的行业会计政策、会计估算、与国际会计制度的差异与调节（如退休金、递延税项等）等信息。</w:t>
      </w:r>
    </w:p>
    <w:p w14:paraId="61757C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在市场风险方面，企业应广泛收集国内外企业忽视市场风险、缺乏应对措施导致企业蒙受损失的案例，并至少收集与本企业相关的以下重要信息：</w:t>
      </w:r>
    </w:p>
    <w:p w14:paraId="7323A1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产品或服务的价格及供需变化；</w:t>
      </w:r>
    </w:p>
    <w:p w14:paraId="38FE96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能源、原材料、配件等物资供应的充足性、稳定性和价格变化；</w:t>
      </w:r>
    </w:p>
    <w:p w14:paraId="19E2B9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主要客户、主要供应商的信用情况；</w:t>
      </w:r>
    </w:p>
    <w:p w14:paraId="29F8FD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税收政策和利率、汇率、股票价格指数的变化；</w:t>
      </w:r>
    </w:p>
    <w:p w14:paraId="500EF8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潜在竞争者、竞争者及其主要产品、替代品情况。</w:t>
      </w:r>
    </w:p>
    <w:p w14:paraId="695427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在运营风险方面，企业应至少收集与本企业、本行业相关的以下信息：</w:t>
      </w:r>
    </w:p>
    <w:p w14:paraId="5C83C4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产品结构、新产品研发；</w:t>
      </w:r>
    </w:p>
    <w:p w14:paraId="462312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新市场开发，市场营销策略，包括产品或服务定价与销售渠道，市场营销环境状况等；</w:t>
      </w:r>
    </w:p>
    <w:p w14:paraId="4A7CDF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企业组织效能、管理现状、企业文化，高、中层管理人员和重要业务流程中专业人员的知识结构、专业经验；</w:t>
      </w:r>
    </w:p>
    <w:p w14:paraId="33A84F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期货等衍生产品业务中曾发生或易发生失误的流程和环节；</w:t>
      </w:r>
    </w:p>
    <w:p w14:paraId="5AFC2D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质量、安全、环保、信息安全等管理中曾发生或易发生失误的业务</w:t>
      </w:r>
      <w:r>
        <w:rPr>
          <w:rFonts w:ascii="宋体" w:eastAsia="宋体" w:hAnsi="宋体" w:cs="宋体" w:hint="eastAsia"/>
          <w:sz w:val="24"/>
        </w:rPr>
        <w:lastRenderedPageBreak/>
        <w:t>流程或环节；</w:t>
      </w:r>
    </w:p>
    <w:p w14:paraId="175F73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 因企业内、外部人员的道德风险致使企业遭受损失或业务控制系统失灵；</w:t>
      </w:r>
    </w:p>
    <w:p w14:paraId="43D6D5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 给企业造成损失的自然灾害以及除上述有关情形之外的其他纯粹风险；</w:t>
      </w:r>
    </w:p>
    <w:p w14:paraId="23D0D2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 对现有业务流程和信息系统操作运行情况的监管、运行评价及持续改进能力；</w:t>
      </w:r>
    </w:p>
    <w:p w14:paraId="1D1AD6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 企业风险管理的现状和能力。</w:t>
      </w:r>
    </w:p>
    <w:p w14:paraId="299FAB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在法律风险方面，企业应广泛收集国内外企业忽视法律法规风险、缺乏应对措施导致企业蒙受损失的案例，并至少收集与本企业相关的以下信息：</w:t>
      </w:r>
    </w:p>
    <w:p w14:paraId="6D7C3F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国内外与本企业相关的政治、法律环境；</w:t>
      </w:r>
    </w:p>
    <w:p w14:paraId="529671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影响企业的新法律法规和政策；</w:t>
      </w:r>
    </w:p>
    <w:p w14:paraId="709A87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员工道德操守的遵从性；</w:t>
      </w:r>
    </w:p>
    <w:p w14:paraId="734347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本企业签订的重大协议和有关贸易合同；</w:t>
      </w:r>
    </w:p>
    <w:p w14:paraId="771D4A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本企业发生重大法律纠纷案件的情况；</w:t>
      </w:r>
    </w:p>
    <w:p w14:paraId="39CCC0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 企业和竞争对手的知识产权情况。</w:t>
      </w:r>
    </w:p>
    <w:p w14:paraId="7EFDB5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企业对收集的初始信息应进行必要的筛选、提炼、对比、分类、组合，以便进行风险评估。</w:t>
      </w:r>
    </w:p>
    <w:p w14:paraId="662E0A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风险评估</w:t>
      </w:r>
    </w:p>
    <w:p w14:paraId="0F67ED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企业应对收集的风险管理初始信息和企业各项业务管理及其重要业务流程进行风险评估。风险评估包括风险辨识、风险分析、风险评价三个步骤。</w:t>
      </w:r>
    </w:p>
    <w:p w14:paraId="211D17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风险评估应由企业组织有关职能部门和业务单位实施，也可聘请有资质、信誉好、风险管理专业能力强的中介机构协助实施。</w:t>
      </w:r>
    </w:p>
    <w:p w14:paraId="74155F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风险辨识是指查找企业各业务单元、各项重要经营活动及其重要</w:t>
      </w:r>
      <w:r>
        <w:rPr>
          <w:rFonts w:ascii="宋体" w:eastAsia="宋体" w:hAnsi="宋体" w:cs="宋体" w:hint="eastAsia"/>
          <w:sz w:val="24"/>
        </w:rPr>
        <w:lastRenderedPageBreak/>
        <w:t>业务流程中有无风险，有哪些风险。风险分析是对辨识出的风险及其特征进行明确的定义描述，分析和描述风险发生可能性的高低、风险发生的条件。风险评价是评估风险对企业实现目标的影响程度、风险的价值等。</w:t>
      </w:r>
    </w:p>
    <w:p w14:paraId="72FFF3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进行风险辨识、分析、评价，应将定性与定量方法相结合。定性方法可采用问卷调查、集体讨论、专家咨询、情景分析、政策分析、行业标杆比较、管理层访谈、由专人主持的工作访谈和调查研究等。定量方法可采用统计推论（如集中趋势法）、计算机模拟（如蒙特卡罗分析法）、失效模式与影响分析、事件树分析等。</w:t>
      </w:r>
    </w:p>
    <w:p w14:paraId="603D92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进行风险定量评估时，应统一制定</w:t>
      </w:r>
      <w:proofErr w:type="gramStart"/>
      <w:r>
        <w:rPr>
          <w:rFonts w:ascii="宋体" w:eastAsia="宋体" w:hAnsi="宋体" w:cs="宋体" w:hint="eastAsia"/>
          <w:sz w:val="24"/>
        </w:rPr>
        <w:t>各风险</w:t>
      </w:r>
      <w:proofErr w:type="gramEnd"/>
      <w:r>
        <w:rPr>
          <w:rFonts w:ascii="宋体" w:eastAsia="宋体" w:hAnsi="宋体" w:cs="宋体" w:hint="eastAsia"/>
          <w:sz w:val="24"/>
        </w:rPr>
        <w:t>的度量单位和风险度量模型，并通过测试等方法，确保评估系统的假设前提、参数、数据来源和定量评估程序的合理性和准确性。要根据环境的变化，定期对假设前提和参数进行复核和修改，并将定量评估系统的估算结果与实际效果对比，据此对有关参数进行调整和改进。</w:t>
      </w:r>
    </w:p>
    <w:p w14:paraId="3518FD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风险分析应包括风险之间的关系分析，以便发现</w:t>
      </w:r>
      <w:proofErr w:type="gramStart"/>
      <w:r>
        <w:rPr>
          <w:rFonts w:ascii="宋体" w:eastAsia="宋体" w:hAnsi="宋体" w:cs="宋体" w:hint="eastAsia"/>
          <w:sz w:val="24"/>
        </w:rPr>
        <w:t>各风险</w:t>
      </w:r>
      <w:proofErr w:type="gramEnd"/>
      <w:r>
        <w:rPr>
          <w:rFonts w:ascii="宋体" w:eastAsia="宋体" w:hAnsi="宋体" w:cs="宋体" w:hint="eastAsia"/>
          <w:sz w:val="24"/>
        </w:rPr>
        <w:t>之间的自然对冲、风险事件发生的正负相关性等组合效应，从风险策略上对风险进行统一集中管理。</w:t>
      </w:r>
    </w:p>
    <w:p w14:paraId="1AC2E0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企业在评估多项风险时，应根据对风险发生可能性的高低和对目标的影响程度的评估，绘制风险坐标图，对各项风险进行比较，初步确定对各项风险的管理优先顺序和策略。</w:t>
      </w:r>
    </w:p>
    <w:p w14:paraId="41346B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企业应对风险管理信息实行动态管理，定期或不定期实施风险辨识、分析、评价，以便对新的风险和原有风险的变化重新评估。</w:t>
      </w:r>
    </w:p>
    <w:p w14:paraId="12FCD5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风险管理策略</w:t>
      </w:r>
    </w:p>
    <w:p w14:paraId="08A4E2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本指引所称风险管理策略，指企业根据自身条件和外部环境，围绕企业发展战略，确定风险偏好、风险承受度、风险管理有效性标准，选择风险承担、风险规避、风险转移、风险转换、风险对冲、风险补偿、风险控制等适合的风险管理工具的总体策略，并确定风险管理所需人力和财力资源的配置原则。</w:t>
      </w:r>
    </w:p>
    <w:p w14:paraId="38843F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一般情况下，对战略、财务、运营和法律风险，可采取风险承</w:t>
      </w:r>
      <w:r>
        <w:rPr>
          <w:rFonts w:ascii="宋体" w:eastAsia="宋体" w:hAnsi="宋体" w:cs="宋体" w:hint="eastAsia"/>
          <w:sz w:val="24"/>
        </w:rPr>
        <w:lastRenderedPageBreak/>
        <w:t>担、风险规避、风险转换、风险控制等方法。对能够通过保险、期货、对冲等金融手段进行理财的风险，可以采用风险转移、风险对冲、风险补偿等方法。</w:t>
      </w:r>
    </w:p>
    <w:p w14:paraId="448B4C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企业应根据不同业务特点统一确定风险偏好和风险承受度，即企业愿意承担哪些风险，明确风险的最低限度和不能超过的最高限度，并据此确定风险的预警线及相应采取的对策。确定风险偏好和风险承受度，要正确认识和把握风险与收益的平衡，防止和纠正忽视风险，片面追求收益而不讲条件、范围，认为风险越大、收益越高的观念和做法；同时，也要防止单纯为规避风险而放弃发展机遇。</w:t>
      </w:r>
    </w:p>
    <w:p w14:paraId="2F0777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企业应根据风险与收益相平衡的原则以及</w:t>
      </w:r>
      <w:proofErr w:type="gramStart"/>
      <w:r>
        <w:rPr>
          <w:rFonts w:ascii="宋体" w:eastAsia="宋体" w:hAnsi="宋体" w:cs="宋体" w:hint="eastAsia"/>
          <w:sz w:val="24"/>
        </w:rPr>
        <w:t>各风险</w:t>
      </w:r>
      <w:proofErr w:type="gramEnd"/>
      <w:r>
        <w:rPr>
          <w:rFonts w:ascii="宋体" w:eastAsia="宋体" w:hAnsi="宋体" w:cs="宋体" w:hint="eastAsia"/>
          <w:sz w:val="24"/>
        </w:rPr>
        <w:t>在风险坐标图上的位置，进一步确定风险管理的优选顺序，明确风险管理成本的资金预算和控制风险的组织体系、人力资源、应对措施等总体安排。</w:t>
      </w:r>
    </w:p>
    <w:p w14:paraId="4C75FB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企业应定期总结和分析已制定的风险管理策略的有效性和合理性，结合实际不断修订和完善。其中，应重点检查依据风险偏好、风险承受度和风险控制预警</w:t>
      </w:r>
      <w:proofErr w:type="gramStart"/>
      <w:r>
        <w:rPr>
          <w:rFonts w:ascii="宋体" w:eastAsia="宋体" w:hAnsi="宋体" w:cs="宋体" w:hint="eastAsia"/>
          <w:sz w:val="24"/>
        </w:rPr>
        <w:t>线实施</w:t>
      </w:r>
      <w:proofErr w:type="gramEnd"/>
      <w:r>
        <w:rPr>
          <w:rFonts w:ascii="宋体" w:eastAsia="宋体" w:hAnsi="宋体" w:cs="宋体" w:hint="eastAsia"/>
          <w:sz w:val="24"/>
        </w:rPr>
        <w:t>的结果是否有效，并提出定性或定量的有效性标准。</w:t>
      </w:r>
    </w:p>
    <w:p w14:paraId="654BF0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风险管理解决方案</w:t>
      </w:r>
    </w:p>
    <w:p w14:paraId="2D4AC7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企业应根据风险管理策略，针对各类风险或每一项重大风险制定风险管理解决方案。方案一般应包括风险解决的具体目标，所需的组织领导，所涉及的管理及业务流程，所需的条件、手段等资源，风险事件发生前、中、后所采取的具体应对措施以及风险管理工具（如：关键风险指标管理、损失事件管理等）。</w:t>
      </w:r>
    </w:p>
    <w:p w14:paraId="28C4B3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企业制定风险管理解决的外包方案，应注重成本与收益的平衡、外包工作的质量、自身商业秘密的保护以及防止自身对风险解决外包产生依赖性风险等，并制定相应的预防和控制措施。</w:t>
      </w:r>
    </w:p>
    <w:p w14:paraId="1D195A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企业制定风险解决的内控方案，应满足合</w:t>
      </w:r>
      <w:proofErr w:type="gramStart"/>
      <w:r>
        <w:rPr>
          <w:rFonts w:ascii="宋体" w:eastAsia="宋体" w:hAnsi="宋体" w:cs="宋体" w:hint="eastAsia"/>
          <w:sz w:val="24"/>
        </w:rPr>
        <w:t>规</w:t>
      </w:r>
      <w:proofErr w:type="gramEnd"/>
      <w:r>
        <w:rPr>
          <w:rFonts w:ascii="宋体" w:eastAsia="宋体" w:hAnsi="宋体" w:cs="宋体" w:hint="eastAsia"/>
          <w:sz w:val="24"/>
        </w:rPr>
        <w:t>的要求，坚持经营战略与风险策略一致、风险控制与运营效率及效果相平衡的原则，针对重大风险所涉及的各管理及业务流程，制定涵盖各个环节的全流程控制措施；对其他风险所涉及的业务流程，要把关键环节作为控制点，采取相应的控制措施。</w:t>
      </w:r>
    </w:p>
    <w:p w14:paraId="70B576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第三十四条 企业制定内控措施，一般至少包括以下内容：</w:t>
      </w:r>
    </w:p>
    <w:p w14:paraId="7C8A1B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建立内控岗位授权制度。对内控所涉及的各岗位明确规定授权的对象、条件、范围和额度等，任何组织和个人不得超越授权做出风险性决定；</w:t>
      </w:r>
    </w:p>
    <w:p w14:paraId="5942A9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建立内控报告制度。明确规定报告人与接受报告人，报告的时间、内容、频率、传递路线、负责处理报告的部门和人员等；</w:t>
      </w:r>
    </w:p>
    <w:p w14:paraId="6D6302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建立内控批准制度。对内控所涉及的重要事项，明确规定批准的程序、条件、范围和额度、必备文件以及有权批准的部门和人员及其相应责任；</w:t>
      </w:r>
    </w:p>
    <w:p w14:paraId="0A5DAF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建立内控责任制度。按照权利、义务和责任相统一的原则，明确规定各有关部门和业务单位、岗位、人员应负的责任和奖惩制度；</w:t>
      </w:r>
    </w:p>
    <w:p w14:paraId="4722B0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建立内控审计检查制度。结合内控的有关要求、方法、标准与流程，明确规定审计检查的对象、内容、方式和负责审计检查的部门等；</w:t>
      </w:r>
    </w:p>
    <w:p w14:paraId="18EA05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 建立内控考核评价制度。具备条件的企业应把各业务单位风险管理执行情况与绩效薪酬挂钩；</w:t>
      </w:r>
    </w:p>
    <w:p w14:paraId="64CFDF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 建立重大风险预警制度。对重大风险进行持续不断的监测，及时发布预警信息，制定应急预案，并根据情况变化调整控制措施；</w:t>
      </w:r>
    </w:p>
    <w:p w14:paraId="15C576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 建立健全以总法律顾问制度为核心的企业法律顾问制度。大力加强企业法律风险防范机制建设，形成由企业决策层主导、企业总法律顾问牵头、企业法律顾问提供业务保障、全体员工共同参与的法律风险责任体系。完善企业重大法律纠纷案件的备案管理制度；</w:t>
      </w:r>
    </w:p>
    <w:p w14:paraId="53676B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 建立重要岗位权力制衡制度，明确规定不相容职责的分离。主要包括：授权批准、业务经办、会计记录、财产保管和稽核检查等职责。对内控所涉及的重要岗位可设置一岗双人、双职、双责，相互制约；明确</w:t>
      </w:r>
      <w:proofErr w:type="gramStart"/>
      <w:r>
        <w:rPr>
          <w:rFonts w:ascii="宋体" w:eastAsia="宋体" w:hAnsi="宋体" w:cs="宋体" w:hint="eastAsia"/>
          <w:sz w:val="24"/>
        </w:rPr>
        <w:t>该岗位</w:t>
      </w:r>
      <w:proofErr w:type="gramEnd"/>
      <w:r>
        <w:rPr>
          <w:rFonts w:ascii="宋体" w:eastAsia="宋体" w:hAnsi="宋体" w:cs="宋体" w:hint="eastAsia"/>
          <w:sz w:val="24"/>
        </w:rPr>
        <w:t>的上级部门或人员对其应采取的监督措施和应负的监督责任；将</w:t>
      </w:r>
      <w:proofErr w:type="gramStart"/>
      <w:r>
        <w:rPr>
          <w:rFonts w:ascii="宋体" w:eastAsia="宋体" w:hAnsi="宋体" w:cs="宋体" w:hint="eastAsia"/>
          <w:sz w:val="24"/>
        </w:rPr>
        <w:t>该岗位</w:t>
      </w:r>
      <w:proofErr w:type="gramEnd"/>
      <w:r>
        <w:rPr>
          <w:rFonts w:ascii="宋体" w:eastAsia="宋体" w:hAnsi="宋体" w:cs="宋体" w:hint="eastAsia"/>
          <w:sz w:val="24"/>
        </w:rPr>
        <w:t>作为内部审计的重点等。</w:t>
      </w:r>
    </w:p>
    <w:p w14:paraId="41A6ED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企业应当按照各有关部门和业务单位的职责分工，认真组织实施风险管理解决方案，确保各项措施落实到位。</w:t>
      </w:r>
    </w:p>
    <w:p w14:paraId="3BF610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第六章 风险管理的监督与改进</w:t>
      </w:r>
    </w:p>
    <w:p w14:paraId="69D94E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企业应以重大风险、重大事件和重大决策、重要管理及业务流程为重点，对风险管理初始信息、风险评估、风险管理策略、关键控制活动及风险管理解决方案的实施情况进行监督，采用压力测试、返回测试、穿行测试以及风险控制自我评估等方法对风险管理的有效性进行检验，根据变化情况和存在的缺陷及时加以改进。</w:t>
      </w:r>
    </w:p>
    <w:p w14:paraId="50A163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企业应建立贯穿于整个风险管理基本流程，连接各上下级、各部门和业务单位的风险管理信息沟通渠道，确保信息沟通的及时、准确、完整，为风险管理监督与改进奠定基础。</w:t>
      </w:r>
    </w:p>
    <w:p w14:paraId="5A82DF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企业各有关部门和业务单位应定期对风险管理工作进行自查和检验，及时发现缺陷并改进，其检查、检验报告应及时报送企业风险管理职能部门。</w:t>
      </w:r>
    </w:p>
    <w:p w14:paraId="69B4B8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企业风险管理职能部门应定期对各部门和业务单位风险管理工作实施情况和有效性进行检查和检验，要根据本指引第三十条要求对风险管理策略进行评估，对跨部门和业务单位的风险管理解决方案进行评价，提出调整或改进建议，出具评价和建议报告，及时报送企业总经理或其委托分管风险管理工作的高级管理人员。</w:t>
      </w:r>
    </w:p>
    <w:p w14:paraId="550EC7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企业内部审计部门应至少每年一次对包括风险管理职能部门在内的各有关部门和业务单位能否按照有关规定开展风险管理工作及其工作效果进行监督评价，监督评价报告应直接报送董事会或董事会下设的风险管理委员会和审计委员会。此项工作也可结合年度审计、任期审计或专项审计工作一并开展。</w:t>
      </w:r>
    </w:p>
    <w:p w14:paraId="330095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企业可聘请有资质、信誉好、风险管理专业能力强的中介机构对企业全面风险管理工作进行评价，出具风险管理评估和建议专项报告。报告一般应包括以下几方面的实施情况、存在缺陷和改进建议：</w:t>
      </w:r>
    </w:p>
    <w:p w14:paraId="386DDF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风险管理基本流程与风险管理策略；</w:t>
      </w:r>
    </w:p>
    <w:p w14:paraId="6A18BB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企业重大风险、重大事件和重要管理及业务流程的风险管理及内部控制系统的建设；</w:t>
      </w:r>
    </w:p>
    <w:p w14:paraId="51D8A0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 风险管理组织体系与信息系统；</w:t>
      </w:r>
    </w:p>
    <w:p w14:paraId="7E9AAD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全面风险管理总体目标。</w:t>
      </w:r>
    </w:p>
    <w:p w14:paraId="0EEDAF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风险管理组织体系</w:t>
      </w:r>
    </w:p>
    <w:p w14:paraId="4F6DE6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企业应建立健全风险管理组织体系，主要包括规范的公司法人治理结构，风险管理职能部门、内部审计部门和法律事务部门以及其他有关职能部门、业务单位的组织领导机构及其职责。</w:t>
      </w:r>
    </w:p>
    <w:p w14:paraId="4624CA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企业应建立健全规范的公司法人治理结构，股东（大）会（对于国有独资公司或国有独资企业，即指国资委，下同）、董事会、监事会、经理层依法履行职责，形成高效运转、有效制衡的监督约束机制。</w:t>
      </w:r>
    </w:p>
    <w:p w14:paraId="0C73D5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国有独资公司和国有控股公司应建立外部董事、独立董事制度，外部董事、独立董事人数应超过董事会全部成员的半数，以保证董事会能够在重大决策、重大风险管理等方面</w:t>
      </w:r>
      <w:proofErr w:type="gramStart"/>
      <w:r>
        <w:rPr>
          <w:rFonts w:ascii="宋体" w:eastAsia="宋体" w:hAnsi="宋体" w:cs="宋体" w:hint="eastAsia"/>
          <w:sz w:val="24"/>
        </w:rPr>
        <w:t>作出独立于经理</w:t>
      </w:r>
      <w:proofErr w:type="gramEnd"/>
      <w:r>
        <w:rPr>
          <w:rFonts w:ascii="宋体" w:eastAsia="宋体" w:hAnsi="宋体" w:cs="宋体" w:hint="eastAsia"/>
          <w:sz w:val="24"/>
        </w:rPr>
        <w:t>层的判断和选择。</w:t>
      </w:r>
    </w:p>
    <w:p w14:paraId="52DC3F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董事会就全面风险管理工作的有效性对股东（大）会负责。董事会在全面风险管理方面主要履行以下职责：</w:t>
      </w:r>
    </w:p>
    <w:p w14:paraId="6669E6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审议并向股东（大）会提交企业全面风险管理年度工作报告；</w:t>
      </w:r>
    </w:p>
    <w:p w14:paraId="07C80D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确定企业风险管理总体目标、风险偏好、风险承受度，批准风险管理策略和重大风险管理解决方案；</w:t>
      </w:r>
    </w:p>
    <w:p w14:paraId="20B52F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了解和掌握企业面临的各项重大风险及其风险管理现状，做出有效控制风险的决策；</w:t>
      </w:r>
    </w:p>
    <w:p w14:paraId="61EA55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批准重大决策、重大风险、重大事件和重要业务流程的判断标准或判断机制；</w:t>
      </w:r>
    </w:p>
    <w:p w14:paraId="75D919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批准重大决策的风险评估报告；</w:t>
      </w:r>
    </w:p>
    <w:p w14:paraId="24C207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 批准内部审计部门提交的风险管理监督评价审计报告；</w:t>
      </w:r>
    </w:p>
    <w:p w14:paraId="42AC7F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 批准风险管理组织机构设置及其职责方案；</w:t>
      </w:r>
    </w:p>
    <w:p w14:paraId="6EB308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 批准风险管理措施，纠正和处理任何组织或个人超越风险管理制度</w:t>
      </w:r>
      <w:r>
        <w:rPr>
          <w:rFonts w:ascii="宋体" w:eastAsia="宋体" w:hAnsi="宋体" w:cs="宋体" w:hint="eastAsia"/>
          <w:sz w:val="24"/>
        </w:rPr>
        <w:lastRenderedPageBreak/>
        <w:t>做出的风险性决定的行为；</w:t>
      </w:r>
    </w:p>
    <w:p w14:paraId="656272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 督导企业风险管理文化的培育；</w:t>
      </w:r>
    </w:p>
    <w:p w14:paraId="0CC41C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 全面风险管理其他重大事项。</w:t>
      </w:r>
    </w:p>
    <w:p w14:paraId="5A8116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具备条件的企业，董事会可下设风险管理委员会。该委员会的召集人应由不兼任总经理的董事长担任；董事长兼任总经理的，召集人应由外部董事或独立董事担任。该委员会成员中需有熟悉企业重要管理及业务流程的董事，以及具备风险管理监管知识或经验、具有一定法律知识的董事。</w:t>
      </w:r>
    </w:p>
    <w:p w14:paraId="253874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第四十七条风险管理委员会对董事会负责，主要履行以下职责：</w:t>
      </w:r>
    </w:p>
    <w:p w14:paraId="01E5A2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提交全面风险管理年度报告；</w:t>
      </w:r>
    </w:p>
    <w:p w14:paraId="618AAF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审议风险管理策略和重大风险管理解决方案；</w:t>
      </w:r>
    </w:p>
    <w:p w14:paraId="207C7D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审议重大决策、重大风险、重大事件和重要业务流程的判断标准或判断机制，以及重大决策的风险评估报告；</w:t>
      </w:r>
    </w:p>
    <w:p w14:paraId="62D81B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审议内部审计部门提交的风险管理监督评价审计综合报告；</w:t>
      </w:r>
    </w:p>
    <w:p w14:paraId="17A880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审议风险管理组织机构设置及其职责方案；</w:t>
      </w:r>
    </w:p>
    <w:p w14:paraId="36452B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 办理董事会授权的有关全面风险管理的其他事项。</w:t>
      </w:r>
    </w:p>
    <w:p w14:paraId="16A91A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企业总经理对全面风险管理工作的有效性向董事会负责。总经理或总经理委托的高级管理人员，负责主持全面风险管理的日常工作，负责组织拟订企业风险管理组织机构设置及其职责方案。</w:t>
      </w:r>
    </w:p>
    <w:p w14:paraId="707463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第四十九条 企业应设立专职部门或确定相关职能部门履行全面风险管理的职责。该部门对总经理或其委托的高级管理人员负责，主要履行以下职责：</w:t>
      </w:r>
    </w:p>
    <w:p w14:paraId="3C2AB1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研究提出全面风险管理工作报告；</w:t>
      </w:r>
    </w:p>
    <w:p w14:paraId="4CE46D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研究提出</w:t>
      </w:r>
      <w:proofErr w:type="gramStart"/>
      <w:r>
        <w:rPr>
          <w:rFonts w:ascii="宋体" w:eastAsia="宋体" w:hAnsi="宋体" w:cs="宋体" w:hint="eastAsia"/>
          <w:sz w:val="24"/>
        </w:rPr>
        <w:t>跨职能</w:t>
      </w:r>
      <w:proofErr w:type="gramEnd"/>
      <w:r>
        <w:rPr>
          <w:rFonts w:ascii="宋体" w:eastAsia="宋体" w:hAnsi="宋体" w:cs="宋体" w:hint="eastAsia"/>
          <w:sz w:val="24"/>
        </w:rPr>
        <w:t>部门的重大决策、重大风险、重大事件和重要业务流程的判断标准或判断机制；</w:t>
      </w:r>
    </w:p>
    <w:p w14:paraId="7243BA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研究提出</w:t>
      </w:r>
      <w:proofErr w:type="gramStart"/>
      <w:r>
        <w:rPr>
          <w:rFonts w:ascii="宋体" w:eastAsia="宋体" w:hAnsi="宋体" w:cs="宋体" w:hint="eastAsia"/>
          <w:sz w:val="24"/>
        </w:rPr>
        <w:t>跨职能</w:t>
      </w:r>
      <w:proofErr w:type="gramEnd"/>
      <w:r>
        <w:rPr>
          <w:rFonts w:ascii="宋体" w:eastAsia="宋体" w:hAnsi="宋体" w:cs="宋体" w:hint="eastAsia"/>
          <w:sz w:val="24"/>
        </w:rPr>
        <w:t>部门的重大决策风险评估报告；</w:t>
      </w:r>
    </w:p>
    <w:p w14:paraId="2B4D68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 研究提出风险管理策略和</w:t>
      </w:r>
      <w:proofErr w:type="gramStart"/>
      <w:r>
        <w:rPr>
          <w:rFonts w:ascii="宋体" w:eastAsia="宋体" w:hAnsi="宋体" w:cs="宋体" w:hint="eastAsia"/>
          <w:sz w:val="24"/>
        </w:rPr>
        <w:t>跨职能</w:t>
      </w:r>
      <w:proofErr w:type="gramEnd"/>
      <w:r>
        <w:rPr>
          <w:rFonts w:ascii="宋体" w:eastAsia="宋体" w:hAnsi="宋体" w:cs="宋体" w:hint="eastAsia"/>
          <w:sz w:val="24"/>
        </w:rPr>
        <w:t>部门的重大风险管理解决方案，并负责该方案的组织实施和对该风险的日常监控；</w:t>
      </w:r>
    </w:p>
    <w:p w14:paraId="53AAAC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负责对全面风险管理有效性评估，研究提出全面风险管理的改进方案；</w:t>
      </w:r>
    </w:p>
    <w:p w14:paraId="559F10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 负责组织建立风险管理信息系统；</w:t>
      </w:r>
    </w:p>
    <w:p w14:paraId="525B3F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 负责组织协调全面风险管理日常工作；</w:t>
      </w:r>
    </w:p>
    <w:p w14:paraId="118FD0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 负责指导、监督有关职能部门、各业务单位以及全资、控股子企业开展全面风险管理工作；</w:t>
      </w:r>
    </w:p>
    <w:p w14:paraId="5540E6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 办理风险管理其他有关工作。</w:t>
      </w:r>
    </w:p>
    <w:p w14:paraId="35CB19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第五十条 企业应在董事会下设立审计委员会，企业内部审计部门对审计委员会负责。审计委员会和内部审计部门的职责应符合《中央企业内部审计管理暂行办法》（国资委令第8号）的有关规定。内部审计部门在风险管理方面，主要负责研究提出全面风险管理监督评价体系，制定监督评价相关制度，开展监督与评价，出具监督评价审计报告。</w:t>
      </w:r>
    </w:p>
    <w:p w14:paraId="4B9387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第五十一条 企业其他职能部门及各业务单位在全面风险管理工作中，应接</w:t>
      </w:r>
      <w:proofErr w:type="gramStart"/>
      <w:r>
        <w:rPr>
          <w:rFonts w:ascii="宋体" w:eastAsia="宋体" w:hAnsi="宋体" w:cs="宋体" w:hint="eastAsia"/>
          <w:sz w:val="24"/>
        </w:rPr>
        <w:t>受风险</w:t>
      </w:r>
      <w:proofErr w:type="gramEnd"/>
      <w:r>
        <w:rPr>
          <w:rFonts w:ascii="宋体" w:eastAsia="宋体" w:hAnsi="宋体" w:cs="宋体" w:hint="eastAsia"/>
          <w:sz w:val="24"/>
        </w:rPr>
        <w:t>管理职能部门和内部审计部门的组织、协调、指导和监督，主要履行以下职责：</w:t>
      </w:r>
    </w:p>
    <w:p w14:paraId="75C169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执行风险管理基本流程；</w:t>
      </w:r>
    </w:p>
    <w:p w14:paraId="17F847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研究提出本职</w:t>
      </w:r>
      <w:proofErr w:type="gramStart"/>
      <w:r>
        <w:rPr>
          <w:rFonts w:ascii="宋体" w:eastAsia="宋体" w:hAnsi="宋体" w:cs="宋体" w:hint="eastAsia"/>
          <w:sz w:val="24"/>
        </w:rPr>
        <w:t>能部门</w:t>
      </w:r>
      <w:proofErr w:type="gramEnd"/>
      <w:r>
        <w:rPr>
          <w:rFonts w:ascii="宋体" w:eastAsia="宋体" w:hAnsi="宋体" w:cs="宋体" w:hint="eastAsia"/>
          <w:sz w:val="24"/>
        </w:rPr>
        <w:t>或业务单位重大决策、重大风险、重大事件和重要业务流程的判断标准或判断机制；</w:t>
      </w:r>
    </w:p>
    <w:p w14:paraId="2ADA41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研究提出本职</w:t>
      </w:r>
      <w:proofErr w:type="gramStart"/>
      <w:r>
        <w:rPr>
          <w:rFonts w:ascii="宋体" w:eastAsia="宋体" w:hAnsi="宋体" w:cs="宋体" w:hint="eastAsia"/>
          <w:sz w:val="24"/>
        </w:rPr>
        <w:t>能部门</w:t>
      </w:r>
      <w:proofErr w:type="gramEnd"/>
      <w:r>
        <w:rPr>
          <w:rFonts w:ascii="宋体" w:eastAsia="宋体" w:hAnsi="宋体" w:cs="宋体" w:hint="eastAsia"/>
          <w:sz w:val="24"/>
        </w:rPr>
        <w:t>或业务单位的重大决策风险评估报告；</w:t>
      </w:r>
    </w:p>
    <w:p w14:paraId="120138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做好本职</w:t>
      </w:r>
      <w:proofErr w:type="gramStart"/>
      <w:r>
        <w:rPr>
          <w:rFonts w:ascii="宋体" w:eastAsia="宋体" w:hAnsi="宋体" w:cs="宋体" w:hint="eastAsia"/>
          <w:sz w:val="24"/>
        </w:rPr>
        <w:t>能部门</w:t>
      </w:r>
      <w:proofErr w:type="gramEnd"/>
      <w:r>
        <w:rPr>
          <w:rFonts w:ascii="宋体" w:eastAsia="宋体" w:hAnsi="宋体" w:cs="宋体" w:hint="eastAsia"/>
          <w:sz w:val="24"/>
        </w:rPr>
        <w:t>或业务单位建立风险管理信息系统的工作；</w:t>
      </w:r>
    </w:p>
    <w:p w14:paraId="53E152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做好培育风险管理文化的有关工作；</w:t>
      </w:r>
    </w:p>
    <w:p w14:paraId="061793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 建立健全本职</w:t>
      </w:r>
      <w:proofErr w:type="gramStart"/>
      <w:r>
        <w:rPr>
          <w:rFonts w:ascii="宋体" w:eastAsia="宋体" w:hAnsi="宋体" w:cs="宋体" w:hint="eastAsia"/>
          <w:sz w:val="24"/>
        </w:rPr>
        <w:t>能部门</w:t>
      </w:r>
      <w:proofErr w:type="gramEnd"/>
      <w:r>
        <w:rPr>
          <w:rFonts w:ascii="宋体" w:eastAsia="宋体" w:hAnsi="宋体" w:cs="宋体" w:hint="eastAsia"/>
          <w:sz w:val="24"/>
        </w:rPr>
        <w:t>或业务单位的风险管理内部控制子系统；</w:t>
      </w:r>
    </w:p>
    <w:p w14:paraId="518FD4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 办理风险管理其他有关工作。</w:t>
      </w:r>
    </w:p>
    <w:p w14:paraId="15E98E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第五十二条 企业应通过法定程序，指导和监督其全资、控股子企业建立与企业相适应或符合全资、控股子企业自身特点、能有效发挥作用的风险管理组织体系。</w:t>
      </w:r>
    </w:p>
    <w:p w14:paraId="3C171E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第八章 风险管理信息系统</w:t>
      </w:r>
    </w:p>
    <w:p w14:paraId="5DFE61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第五十三条 企业应将信息技术应用于风险管理的各项工作，建立涵盖风险管理基本流程和内部控制系统各环节的风险管理信息系统，包括信息的采集、存储、加工、分析、测试、传递、报告、披露等。</w:t>
      </w:r>
    </w:p>
    <w:p w14:paraId="02E883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第五十四条 企业应采取措施确保向风险管理信息系统输入的业务数据和风险量化值的一致性、准确性、及时性、可用性和完整性。对输入信息系统的数据，未经批准，不得更改。</w:t>
      </w:r>
    </w:p>
    <w:p w14:paraId="2D0596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第五十五条 风险管理信息系统应能够进行对各种风险的计量和定量分析、定量测试；能够实时反映风险矩阵和排序频谱、重大风险和重要业务流程的监控状态；能够对超过风险预警上限的重大风险实施信息报警；能够满足风险管理内部信息报告制度和企业对外信息披露管理制度的要求。</w:t>
      </w:r>
    </w:p>
    <w:p w14:paraId="4A5E35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第五十六条 风险管理信息系统应实现信息在各职能部门、业务单位之间的集成与共享，既能满足单项业务风险管理的要求，也能满足企业整体和</w:t>
      </w:r>
      <w:proofErr w:type="gramStart"/>
      <w:r>
        <w:rPr>
          <w:rFonts w:ascii="宋体" w:eastAsia="宋体" w:hAnsi="宋体" w:cs="宋体" w:hint="eastAsia"/>
          <w:sz w:val="24"/>
        </w:rPr>
        <w:t>跨职能</w:t>
      </w:r>
      <w:proofErr w:type="gramEnd"/>
      <w:r>
        <w:rPr>
          <w:rFonts w:ascii="宋体" w:eastAsia="宋体" w:hAnsi="宋体" w:cs="宋体" w:hint="eastAsia"/>
          <w:sz w:val="24"/>
        </w:rPr>
        <w:t>部门、业务单位的风险管理综合要求。</w:t>
      </w:r>
    </w:p>
    <w:p w14:paraId="1B395B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第五十七条 企业应确保风险管理信息系统的稳定运行和安全，并根据实际需要不断进行改进、完善或更新。</w:t>
      </w:r>
    </w:p>
    <w:p w14:paraId="0284CC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第五十八条 已建立或基本建立企业管理信息系统的企业，应补充、调整、更新已有的管理流程和管理程序，建立完善的风险管理信息系统；尚未建立企业管理信息系统的，应将风险管理与企业各项管理业务流程、管理软件统一规划、统一设计、统一实施、同步运行。</w:t>
      </w:r>
    </w:p>
    <w:p w14:paraId="3BABE7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第九章 风险管理文化</w:t>
      </w:r>
    </w:p>
    <w:p w14:paraId="4CCCBD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第五十九条企业应注重建立具有风险意识的企业文化，促进企业风险管理水平、员工风险管理素质的提升，保障企业风险管理目标的实现。</w:t>
      </w:r>
    </w:p>
    <w:p w14:paraId="659D93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第六十条 风险管理文化建设应融入企业文化建设全过程。大力培育和塑造良好的风险管理文化，树立正确的风险管理理念，增强员工风险管理意识，将风险管理意识转化为员工的共同认识和自觉行动，促进企业建立系统、规范、高效的风险管理机制。</w:t>
      </w:r>
    </w:p>
    <w:p w14:paraId="692598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第六十一条 企业应在内部各个层面营造风险管理文化氛围。董事会应高度重视风险管理文化的培育，总经理负责培育风险管理文化的日常工作。董事和高级管理人员应在培育风险管理文化中起表率作用。重要管理及业务流程和风险控制点的管理人员和业务操作人员应成为培育风险管理文化的骨干。</w:t>
      </w:r>
    </w:p>
    <w:p w14:paraId="625623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第六十二条 企业应大力加强员工法律素质教育，制定员工道德诚信准则，形成人人讲道德诚信、合法合</w:t>
      </w:r>
      <w:proofErr w:type="gramStart"/>
      <w:r>
        <w:rPr>
          <w:rFonts w:ascii="宋体" w:eastAsia="宋体" w:hAnsi="宋体" w:cs="宋体" w:hint="eastAsia"/>
          <w:sz w:val="24"/>
        </w:rPr>
        <w:t>规</w:t>
      </w:r>
      <w:proofErr w:type="gramEnd"/>
      <w:r>
        <w:rPr>
          <w:rFonts w:ascii="宋体" w:eastAsia="宋体" w:hAnsi="宋体" w:cs="宋体" w:hint="eastAsia"/>
          <w:sz w:val="24"/>
        </w:rPr>
        <w:t>经营的风险管理文化。对于不遵守国家法律法规和企业规章制度、弄虚作假、徇私舞弊等违法及违反道德诚信准则的行为，企业应严肃查处。</w:t>
      </w:r>
    </w:p>
    <w:p w14:paraId="1DA5A0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第六十三条 企业全体员工尤其是各级管理人员和业务操作人员应通过多种形式，努力传播企业风险管理文化，牢固树立风险无处不在、风险无时不在、严格防控纯粹风险、审慎处置机会风险、岗位风险管理责任重大等意识和理念。</w:t>
      </w:r>
    </w:p>
    <w:p w14:paraId="7605EB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第六十四条 风险管理文化建设应与薪酬制度和人事制度相结合，有利于增强各级管理人员特别是高级管理人员风险意识，防止盲目扩张、片面追求业绩、忽视风险等行为的发生。</w:t>
      </w:r>
    </w:p>
    <w:p w14:paraId="5C170E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第六十五条 企业应建立重要管理及业务流程、风险控制点的管理人员和业务操作人员岗前风险管理培训制度。采取多种途经和形式，加强对风险管理理念、知识、流程、管</w:t>
      </w:r>
      <w:proofErr w:type="gramStart"/>
      <w:r>
        <w:rPr>
          <w:rFonts w:ascii="宋体" w:eastAsia="宋体" w:hAnsi="宋体" w:cs="宋体" w:hint="eastAsia"/>
          <w:sz w:val="24"/>
        </w:rPr>
        <w:t>控核心</w:t>
      </w:r>
      <w:proofErr w:type="gramEnd"/>
      <w:r>
        <w:rPr>
          <w:rFonts w:ascii="宋体" w:eastAsia="宋体" w:hAnsi="宋体" w:cs="宋体" w:hint="eastAsia"/>
          <w:sz w:val="24"/>
        </w:rPr>
        <w:t>内容的培训，培养风险管理人才，培育风险管理文化。</w:t>
      </w:r>
    </w:p>
    <w:p w14:paraId="7B8DF7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第十章 附则</w:t>
      </w:r>
    </w:p>
    <w:p w14:paraId="105C9F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第六十六条 中央企业中未设立董事会的国有独资企业，由经理办公会议代行本指引中有关董事会的职责，总经理对本指引的贯彻执行负责。</w:t>
      </w:r>
    </w:p>
    <w:p w14:paraId="4C5DD0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第六十七条 本指引在中央企业投资、财务报告、衍生产品交易等方面的风险管理配套文件另行下发。</w:t>
      </w:r>
    </w:p>
    <w:p w14:paraId="460A05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第六十八条本指引的《附录》对本指引所涉及的有关技术方法和专业术语进行了说明。</w:t>
      </w:r>
    </w:p>
    <w:p w14:paraId="0983F3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第六十九条 本指引由国务院国有资产监督管理委员会负责解释。</w:t>
      </w:r>
    </w:p>
    <w:p w14:paraId="2614CFFA"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第七十条 本指引自印发之日起施行。</w:t>
      </w:r>
      <w:r>
        <w:rPr>
          <w:rFonts w:ascii="宋体" w:eastAsia="宋体" w:hAnsi="宋体" w:cs="宋体" w:hint="eastAsia"/>
          <w:sz w:val="24"/>
        </w:rPr>
        <w:tab/>
      </w:r>
      <w:r>
        <w:rPr>
          <w:rFonts w:ascii="宋体" w:eastAsia="宋体" w:hAnsi="宋体" w:cs="宋体" w:hint="eastAsia"/>
          <w:sz w:val="24"/>
        </w:rPr>
        <w:tab/>
      </w:r>
    </w:p>
    <w:p w14:paraId="077B805E"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44.《商业银行合规风险管理指引》</w:t>
      </w:r>
    </w:p>
    <w:p w14:paraId="27F841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79FF7E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文号：银监发〔2006〕76号</w:t>
      </w:r>
      <w:r>
        <w:rPr>
          <w:rFonts w:ascii="宋体" w:eastAsia="宋体" w:hAnsi="宋体" w:cs="宋体" w:hint="eastAsia"/>
          <w:sz w:val="24"/>
        </w:rPr>
        <w:tab/>
      </w:r>
    </w:p>
    <w:p w14:paraId="59A00C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6C1EC6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为加强商业银行合</w:t>
      </w:r>
      <w:proofErr w:type="gramStart"/>
      <w:r>
        <w:rPr>
          <w:rFonts w:ascii="宋体" w:eastAsia="宋体" w:hAnsi="宋体" w:cs="宋体" w:hint="eastAsia"/>
          <w:sz w:val="24"/>
        </w:rPr>
        <w:t>规</w:t>
      </w:r>
      <w:proofErr w:type="gramEnd"/>
      <w:r>
        <w:rPr>
          <w:rFonts w:ascii="宋体" w:eastAsia="宋体" w:hAnsi="宋体" w:cs="宋体" w:hint="eastAsia"/>
          <w:sz w:val="24"/>
        </w:rPr>
        <w:t>风险管理，维护商业银行安全稳健运行，根据《中华人民共和国银行业监督管理法》和《中华人民共和国商业银行法》，制定本指引。</w:t>
      </w:r>
    </w:p>
    <w:p w14:paraId="73AF74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第二条在中华人民共和国境内设立的中资商业银行、外资独资银行、中外合资银行和外国银行分行适用本指引。</w:t>
      </w:r>
    </w:p>
    <w:p w14:paraId="2D182D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在中华人民共和国境内设立的政策性银行、金融资产管理公司、城市信用合作社、农村信用合作社、信托投资公司、企业集团财务公司、金融租赁公司、汽车金融公司、货币经纪公司、邮政储蓄机构</w:t>
      </w:r>
      <w:proofErr w:type="gramStart"/>
      <w:r>
        <w:rPr>
          <w:rFonts w:ascii="宋体" w:eastAsia="宋体" w:hAnsi="宋体" w:cs="宋体" w:hint="eastAsia"/>
          <w:sz w:val="24"/>
        </w:rPr>
        <w:t>以及经银监</w:t>
      </w:r>
      <w:proofErr w:type="gramEnd"/>
      <w:r>
        <w:rPr>
          <w:rFonts w:ascii="宋体" w:eastAsia="宋体" w:hAnsi="宋体" w:cs="宋体" w:hint="eastAsia"/>
          <w:sz w:val="24"/>
        </w:rPr>
        <w:t>会批准设立的其他金融机构参照本指引执行。</w:t>
      </w:r>
    </w:p>
    <w:p w14:paraId="138728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本指引所称法律、规则和准则，是指适用于银行业经营活动的法律、行政法规、部门规章及其他规范性文件、经营规则、自律性组织的行业准则、行为守则和职业操守。</w:t>
      </w:r>
    </w:p>
    <w:p w14:paraId="43285E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本指引所称合</w:t>
      </w:r>
      <w:proofErr w:type="gramStart"/>
      <w:r>
        <w:rPr>
          <w:rFonts w:ascii="宋体" w:eastAsia="宋体" w:hAnsi="宋体" w:cs="宋体" w:hint="eastAsia"/>
          <w:sz w:val="24"/>
        </w:rPr>
        <w:t>规</w:t>
      </w:r>
      <w:proofErr w:type="gramEnd"/>
      <w:r>
        <w:rPr>
          <w:rFonts w:ascii="宋体" w:eastAsia="宋体" w:hAnsi="宋体" w:cs="宋体" w:hint="eastAsia"/>
          <w:sz w:val="24"/>
        </w:rPr>
        <w:t>，是指使商业银行的经营活动与法律、规则和准则相一致。</w:t>
      </w:r>
    </w:p>
    <w:p w14:paraId="7EB4DB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本指引所称合</w:t>
      </w:r>
      <w:proofErr w:type="gramStart"/>
      <w:r>
        <w:rPr>
          <w:rFonts w:ascii="宋体" w:eastAsia="宋体" w:hAnsi="宋体" w:cs="宋体" w:hint="eastAsia"/>
          <w:sz w:val="24"/>
        </w:rPr>
        <w:t>规</w:t>
      </w:r>
      <w:proofErr w:type="gramEnd"/>
      <w:r>
        <w:rPr>
          <w:rFonts w:ascii="宋体" w:eastAsia="宋体" w:hAnsi="宋体" w:cs="宋体" w:hint="eastAsia"/>
          <w:sz w:val="24"/>
        </w:rPr>
        <w:t>风险，是指商业银行因没有遵循法律、规则和准则可能遭受法律制裁、监管处罚、重大财务损失和声誉损失的风险。</w:t>
      </w:r>
    </w:p>
    <w:p w14:paraId="7B5868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本指引所称合</w:t>
      </w:r>
      <w:proofErr w:type="gramStart"/>
      <w:r>
        <w:rPr>
          <w:rFonts w:ascii="宋体" w:eastAsia="宋体" w:hAnsi="宋体" w:cs="宋体" w:hint="eastAsia"/>
          <w:sz w:val="24"/>
        </w:rPr>
        <w:t>规</w:t>
      </w:r>
      <w:proofErr w:type="gramEnd"/>
      <w:r>
        <w:rPr>
          <w:rFonts w:ascii="宋体" w:eastAsia="宋体" w:hAnsi="宋体" w:cs="宋体" w:hint="eastAsia"/>
          <w:sz w:val="24"/>
        </w:rPr>
        <w:t>管理部门，是指商业银行内部设立的专门负责合</w:t>
      </w:r>
      <w:proofErr w:type="gramStart"/>
      <w:r>
        <w:rPr>
          <w:rFonts w:ascii="宋体" w:eastAsia="宋体" w:hAnsi="宋体" w:cs="宋体" w:hint="eastAsia"/>
          <w:sz w:val="24"/>
        </w:rPr>
        <w:t>规</w:t>
      </w:r>
      <w:proofErr w:type="gramEnd"/>
      <w:r>
        <w:rPr>
          <w:rFonts w:ascii="宋体" w:eastAsia="宋体" w:hAnsi="宋体" w:cs="宋体" w:hint="eastAsia"/>
          <w:sz w:val="24"/>
        </w:rPr>
        <w:t>管理职能的部门、团队或岗位。</w:t>
      </w:r>
    </w:p>
    <w:p w14:paraId="09BA39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合</w:t>
      </w:r>
      <w:proofErr w:type="gramStart"/>
      <w:r>
        <w:rPr>
          <w:rFonts w:ascii="宋体" w:eastAsia="宋体" w:hAnsi="宋体" w:cs="宋体" w:hint="eastAsia"/>
          <w:sz w:val="24"/>
        </w:rPr>
        <w:t>规</w:t>
      </w:r>
      <w:proofErr w:type="gramEnd"/>
      <w:r>
        <w:rPr>
          <w:rFonts w:ascii="宋体" w:eastAsia="宋体" w:hAnsi="宋体" w:cs="宋体" w:hint="eastAsia"/>
          <w:sz w:val="24"/>
        </w:rPr>
        <w:t>管理是商业银行一项核心的风险管理活动。商业银行应综合考虑合</w:t>
      </w:r>
      <w:proofErr w:type="gramStart"/>
      <w:r>
        <w:rPr>
          <w:rFonts w:ascii="宋体" w:eastAsia="宋体" w:hAnsi="宋体" w:cs="宋体" w:hint="eastAsia"/>
          <w:sz w:val="24"/>
        </w:rPr>
        <w:t>规</w:t>
      </w:r>
      <w:proofErr w:type="gramEnd"/>
      <w:r>
        <w:rPr>
          <w:rFonts w:ascii="宋体" w:eastAsia="宋体" w:hAnsi="宋体" w:cs="宋体" w:hint="eastAsia"/>
          <w:sz w:val="24"/>
        </w:rPr>
        <w:t>风险与信用风险、市场风险、操作风险和其他风险的关联性，确保各项风险管理政策和程序的一致性。</w:t>
      </w:r>
    </w:p>
    <w:p w14:paraId="482980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商业银行合</w:t>
      </w:r>
      <w:proofErr w:type="gramStart"/>
      <w:r>
        <w:rPr>
          <w:rFonts w:ascii="宋体" w:eastAsia="宋体" w:hAnsi="宋体" w:cs="宋体" w:hint="eastAsia"/>
          <w:sz w:val="24"/>
        </w:rPr>
        <w:t>规</w:t>
      </w:r>
      <w:proofErr w:type="gramEnd"/>
      <w:r>
        <w:rPr>
          <w:rFonts w:ascii="宋体" w:eastAsia="宋体" w:hAnsi="宋体" w:cs="宋体" w:hint="eastAsia"/>
          <w:sz w:val="24"/>
        </w:rPr>
        <w:t>风险管理的目标是通过建立健全合</w:t>
      </w:r>
      <w:proofErr w:type="gramStart"/>
      <w:r>
        <w:rPr>
          <w:rFonts w:ascii="宋体" w:eastAsia="宋体" w:hAnsi="宋体" w:cs="宋体" w:hint="eastAsia"/>
          <w:sz w:val="24"/>
        </w:rPr>
        <w:t>规</w:t>
      </w:r>
      <w:proofErr w:type="gramEnd"/>
      <w:r>
        <w:rPr>
          <w:rFonts w:ascii="宋体" w:eastAsia="宋体" w:hAnsi="宋体" w:cs="宋体" w:hint="eastAsia"/>
          <w:sz w:val="24"/>
        </w:rPr>
        <w:t>风险管理框架，</w:t>
      </w:r>
      <w:r>
        <w:rPr>
          <w:rFonts w:ascii="宋体" w:eastAsia="宋体" w:hAnsi="宋体" w:cs="宋体" w:hint="eastAsia"/>
          <w:sz w:val="24"/>
        </w:rPr>
        <w:lastRenderedPageBreak/>
        <w:t>实现对合</w:t>
      </w:r>
      <w:proofErr w:type="gramStart"/>
      <w:r>
        <w:rPr>
          <w:rFonts w:ascii="宋体" w:eastAsia="宋体" w:hAnsi="宋体" w:cs="宋体" w:hint="eastAsia"/>
          <w:sz w:val="24"/>
        </w:rPr>
        <w:t>规</w:t>
      </w:r>
      <w:proofErr w:type="gramEnd"/>
      <w:r>
        <w:rPr>
          <w:rFonts w:ascii="宋体" w:eastAsia="宋体" w:hAnsi="宋体" w:cs="宋体" w:hint="eastAsia"/>
          <w:sz w:val="24"/>
        </w:rPr>
        <w:t>风险的有效识别和管理，促进全面风险管理体系建设，确保依法合</w:t>
      </w:r>
      <w:proofErr w:type="gramStart"/>
      <w:r>
        <w:rPr>
          <w:rFonts w:ascii="宋体" w:eastAsia="宋体" w:hAnsi="宋体" w:cs="宋体" w:hint="eastAsia"/>
          <w:sz w:val="24"/>
        </w:rPr>
        <w:t>规</w:t>
      </w:r>
      <w:proofErr w:type="gramEnd"/>
      <w:r>
        <w:rPr>
          <w:rFonts w:ascii="宋体" w:eastAsia="宋体" w:hAnsi="宋体" w:cs="宋体" w:hint="eastAsia"/>
          <w:sz w:val="24"/>
        </w:rPr>
        <w:t>经营。</w:t>
      </w:r>
    </w:p>
    <w:p w14:paraId="7B31B8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商业银行应加强合</w:t>
      </w:r>
      <w:proofErr w:type="gramStart"/>
      <w:r>
        <w:rPr>
          <w:rFonts w:ascii="宋体" w:eastAsia="宋体" w:hAnsi="宋体" w:cs="宋体" w:hint="eastAsia"/>
          <w:sz w:val="24"/>
        </w:rPr>
        <w:t>规</w:t>
      </w:r>
      <w:proofErr w:type="gramEnd"/>
      <w:r>
        <w:rPr>
          <w:rFonts w:ascii="宋体" w:eastAsia="宋体" w:hAnsi="宋体" w:cs="宋体" w:hint="eastAsia"/>
          <w:sz w:val="24"/>
        </w:rPr>
        <w:t>文化建设，并将合</w:t>
      </w:r>
      <w:proofErr w:type="gramStart"/>
      <w:r>
        <w:rPr>
          <w:rFonts w:ascii="宋体" w:eastAsia="宋体" w:hAnsi="宋体" w:cs="宋体" w:hint="eastAsia"/>
          <w:sz w:val="24"/>
        </w:rPr>
        <w:t>规</w:t>
      </w:r>
      <w:proofErr w:type="gramEnd"/>
      <w:r>
        <w:rPr>
          <w:rFonts w:ascii="宋体" w:eastAsia="宋体" w:hAnsi="宋体" w:cs="宋体" w:hint="eastAsia"/>
          <w:sz w:val="24"/>
        </w:rPr>
        <w:t>文化建设融入企业文化建设全过程。</w:t>
      </w:r>
    </w:p>
    <w:p w14:paraId="3D8403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是商业银行所有员工的共同责任，并应从商业银行高层做起。</w:t>
      </w:r>
    </w:p>
    <w:p w14:paraId="0C8DD6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董事会和高级管理层应确定合</w:t>
      </w:r>
      <w:proofErr w:type="gramStart"/>
      <w:r>
        <w:rPr>
          <w:rFonts w:ascii="宋体" w:eastAsia="宋体" w:hAnsi="宋体" w:cs="宋体" w:hint="eastAsia"/>
          <w:sz w:val="24"/>
        </w:rPr>
        <w:t>规</w:t>
      </w:r>
      <w:proofErr w:type="gramEnd"/>
      <w:r>
        <w:rPr>
          <w:rFonts w:ascii="宋体" w:eastAsia="宋体" w:hAnsi="宋体" w:cs="宋体" w:hint="eastAsia"/>
          <w:sz w:val="24"/>
        </w:rPr>
        <w:t>的基调，确立全员主动合</w:t>
      </w:r>
      <w:proofErr w:type="gramStart"/>
      <w:r>
        <w:rPr>
          <w:rFonts w:ascii="宋体" w:eastAsia="宋体" w:hAnsi="宋体" w:cs="宋体" w:hint="eastAsia"/>
          <w:sz w:val="24"/>
        </w:rPr>
        <w:t>规</w:t>
      </w:r>
      <w:proofErr w:type="gramEnd"/>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创造价值等合</w:t>
      </w:r>
      <w:proofErr w:type="gramStart"/>
      <w:r>
        <w:rPr>
          <w:rFonts w:ascii="宋体" w:eastAsia="宋体" w:hAnsi="宋体" w:cs="宋体" w:hint="eastAsia"/>
          <w:sz w:val="24"/>
        </w:rPr>
        <w:t>规</w:t>
      </w:r>
      <w:proofErr w:type="gramEnd"/>
      <w:r>
        <w:rPr>
          <w:rFonts w:ascii="宋体" w:eastAsia="宋体" w:hAnsi="宋体" w:cs="宋体" w:hint="eastAsia"/>
          <w:sz w:val="24"/>
        </w:rPr>
        <w:t>理念，在全行推行诚信与正直的职业操守和价值观念，提高全体员工的合</w:t>
      </w:r>
      <w:proofErr w:type="gramStart"/>
      <w:r>
        <w:rPr>
          <w:rFonts w:ascii="宋体" w:eastAsia="宋体" w:hAnsi="宋体" w:cs="宋体" w:hint="eastAsia"/>
          <w:sz w:val="24"/>
        </w:rPr>
        <w:t>规</w:t>
      </w:r>
      <w:proofErr w:type="gramEnd"/>
      <w:r>
        <w:rPr>
          <w:rFonts w:ascii="宋体" w:eastAsia="宋体" w:hAnsi="宋体" w:cs="宋体" w:hint="eastAsia"/>
          <w:sz w:val="24"/>
        </w:rPr>
        <w:t>意识，促进商业银行自身合</w:t>
      </w:r>
      <w:proofErr w:type="gramStart"/>
      <w:r>
        <w:rPr>
          <w:rFonts w:ascii="宋体" w:eastAsia="宋体" w:hAnsi="宋体" w:cs="宋体" w:hint="eastAsia"/>
          <w:sz w:val="24"/>
        </w:rPr>
        <w:t>规</w:t>
      </w:r>
      <w:proofErr w:type="gramEnd"/>
      <w:r>
        <w:rPr>
          <w:rFonts w:ascii="宋体" w:eastAsia="宋体" w:hAnsi="宋体" w:cs="宋体" w:hint="eastAsia"/>
          <w:sz w:val="24"/>
        </w:rPr>
        <w:t>与外部监管的有效互动。</w:t>
      </w:r>
    </w:p>
    <w:p w14:paraId="387BC6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银监会依法对商业银行合</w:t>
      </w:r>
      <w:proofErr w:type="gramStart"/>
      <w:r>
        <w:rPr>
          <w:rFonts w:ascii="宋体" w:eastAsia="宋体" w:hAnsi="宋体" w:cs="宋体" w:hint="eastAsia"/>
          <w:sz w:val="24"/>
        </w:rPr>
        <w:t>规</w:t>
      </w:r>
      <w:proofErr w:type="gramEnd"/>
      <w:r>
        <w:rPr>
          <w:rFonts w:ascii="宋体" w:eastAsia="宋体" w:hAnsi="宋体" w:cs="宋体" w:hint="eastAsia"/>
          <w:sz w:val="24"/>
        </w:rPr>
        <w:t>风险管理实施监管，检查和评价商业银行合</w:t>
      </w:r>
      <w:proofErr w:type="gramStart"/>
      <w:r>
        <w:rPr>
          <w:rFonts w:ascii="宋体" w:eastAsia="宋体" w:hAnsi="宋体" w:cs="宋体" w:hint="eastAsia"/>
          <w:sz w:val="24"/>
        </w:rPr>
        <w:t>规</w:t>
      </w:r>
      <w:proofErr w:type="gramEnd"/>
      <w:r>
        <w:rPr>
          <w:rFonts w:ascii="宋体" w:eastAsia="宋体" w:hAnsi="宋体" w:cs="宋体" w:hint="eastAsia"/>
          <w:sz w:val="24"/>
        </w:rPr>
        <w:t>风险管理的有效性。</w:t>
      </w:r>
    </w:p>
    <w:p w14:paraId="7F7151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董事会、监事会和高级管理层的合</w:t>
      </w:r>
      <w:proofErr w:type="gramStart"/>
      <w:r>
        <w:rPr>
          <w:rFonts w:ascii="宋体" w:eastAsia="宋体" w:hAnsi="宋体" w:cs="宋体" w:hint="eastAsia"/>
          <w:sz w:val="24"/>
        </w:rPr>
        <w:t>规</w:t>
      </w:r>
      <w:proofErr w:type="gramEnd"/>
      <w:r>
        <w:rPr>
          <w:rFonts w:ascii="宋体" w:eastAsia="宋体" w:hAnsi="宋体" w:cs="宋体" w:hint="eastAsia"/>
          <w:sz w:val="24"/>
        </w:rPr>
        <w:t>管理职责</w:t>
      </w:r>
    </w:p>
    <w:p w14:paraId="395FDD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商业银行应建立与其经营范围、组织结构和业务规模相适应的合</w:t>
      </w:r>
      <w:proofErr w:type="gramStart"/>
      <w:r>
        <w:rPr>
          <w:rFonts w:ascii="宋体" w:eastAsia="宋体" w:hAnsi="宋体" w:cs="宋体" w:hint="eastAsia"/>
          <w:sz w:val="24"/>
        </w:rPr>
        <w:t>规</w:t>
      </w:r>
      <w:proofErr w:type="gramEnd"/>
      <w:r>
        <w:rPr>
          <w:rFonts w:ascii="宋体" w:eastAsia="宋体" w:hAnsi="宋体" w:cs="宋体" w:hint="eastAsia"/>
          <w:sz w:val="24"/>
        </w:rPr>
        <w:t>风险管理体系。</w:t>
      </w:r>
    </w:p>
    <w:p w14:paraId="2DCC64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风险管理体系应包括以下基本要素：</w:t>
      </w:r>
    </w:p>
    <w:p w14:paraId="1531AB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（一）合</w:t>
      </w:r>
      <w:proofErr w:type="gramStart"/>
      <w:r>
        <w:rPr>
          <w:rFonts w:ascii="宋体" w:eastAsia="宋体" w:hAnsi="宋体" w:cs="宋体" w:hint="eastAsia"/>
          <w:sz w:val="24"/>
        </w:rPr>
        <w:t>规</w:t>
      </w:r>
      <w:proofErr w:type="gramEnd"/>
      <w:r>
        <w:rPr>
          <w:rFonts w:ascii="宋体" w:eastAsia="宋体" w:hAnsi="宋体" w:cs="宋体" w:hint="eastAsia"/>
          <w:sz w:val="24"/>
        </w:rPr>
        <w:t>政策；</w:t>
      </w:r>
    </w:p>
    <w:p w14:paraId="2D7DF4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（二）合</w:t>
      </w:r>
      <w:proofErr w:type="gramStart"/>
      <w:r>
        <w:rPr>
          <w:rFonts w:ascii="宋体" w:eastAsia="宋体" w:hAnsi="宋体" w:cs="宋体" w:hint="eastAsia"/>
          <w:sz w:val="24"/>
        </w:rPr>
        <w:t>规</w:t>
      </w:r>
      <w:proofErr w:type="gramEnd"/>
      <w:r>
        <w:rPr>
          <w:rFonts w:ascii="宋体" w:eastAsia="宋体" w:hAnsi="宋体" w:cs="宋体" w:hint="eastAsia"/>
          <w:sz w:val="24"/>
        </w:rPr>
        <w:t>管理部门的组织结构和资源；</w:t>
      </w:r>
    </w:p>
    <w:p w14:paraId="541282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（三）合</w:t>
      </w:r>
      <w:proofErr w:type="gramStart"/>
      <w:r>
        <w:rPr>
          <w:rFonts w:ascii="宋体" w:eastAsia="宋体" w:hAnsi="宋体" w:cs="宋体" w:hint="eastAsia"/>
          <w:sz w:val="24"/>
        </w:rPr>
        <w:t>规</w:t>
      </w:r>
      <w:proofErr w:type="gramEnd"/>
      <w:r>
        <w:rPr>
          <w:rFonts w:ascii="宋体" w:eastAsia="宋体" w:hAnsi="宋体" w:cs="宋体" w:hint="eastAsia"/>
          <w:sz w:val="24"/>
        </w:rPr>
        <w:t>风险管理计划；</w:t>
      </w:r>
    </w:p>
    <w:p w14:paraId="651895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（四）合</w:t>
      </w:r>
      <w:proofErr w:type="gramStart"/>
      <w:r>
        <w:rPr>
          <w:rFonts w:ascii="宋体" w:eastAsia="宋体" w:hAnsi="宋体" w:cs="宋体" w:hint="eastAsia"/>
          <w:sz w:val="24"/>
        </w:rPr>
        <w:t>规</w:t>
      </w:r>
      <w:proofErr w:type="gramEnd"/>
      <w:r>
        <w:rPr>
          <w:rFonts w:ascii="宋体" w:eastAsia="宋体" w:hAnsi="宋体" w:cs="宋体" w:hint="eastAsia"/>
          <w:sz w:val="24"/>
        </w:rPr>
        <w:t>风险识别和管理流程；</w:t>
      </w:r>
    </w:p>
    <w:p w14:paraId="7B1AB6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（五）合</w:t>
      </w:r>
      <w:proofErr w:type="gramStart"/>
      <w:r>
        <w:rPr>
          <w:rFonts w:ascii="宋体" w:eastAsia="宋体" w:hAnsi="宋体" w:cs="宋体" w:hint="eastAsia"/>
          <w:sz w:val="24"/>
        </w:rPr>
        <w:t>规</w:t>
      </w:r>
      <w:proofErr w:type="gramEnd"/>
      <w:r>
        <w:rPr>
          <w:rFonts w:ascii="宋体" w:eastAsia="宋体" w:hAnsi="宋体" w:cs="宋体" w:hint="eastAsia"/>
          <w:sz w:val="24"/>
        </w:rPr>
        <w:t>培训与教育制度。</w:t>
      </w:r>
    </w:p>
    <w:p w14:paraId="4ADD7D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商业银行的合</w:t>
      </w:r>
      <w:proofErr w:type="gramStart"/>
      <w:r>
        <w:rPr>
          <w:rFonts w:ascii="宋体" w:eastAsia="宋体" w:hAnsi="宋体" w:cs="宋体" w:hint="eastAsia"/>
          <w:sz w:val="24"/>
        </w:rPr>
        <w:t>规</w:t>
      </w:r>
      <w:proofErr w:type="gramEnd"/>
      <w:r>
        <w:rPr>
          <w:rFonts w:ascii="宋体" w:eastAsia="宋体" w:hAnsi="宋体" w:cs="宋体" w:hint="eastAsia"/>
          <w:sz w:val="24"/>
        </w:rPr>
        <w:t>政策应明确所有员工和业务条</w:t>
      </w:r>
      <w:proofErr w:type="gramStart"/>
      <w:r>
        <w:rPr>
          <w:rFonts w:ascii="宋体" w:eastAsia="宋体" w:hAnsi="宋体" w:cs="宋体" w:hint="eastAsia"/>
          <w:sz w:val="24"/>
        </w:rPr>
        <w:t>线需要</w:t>
      </w:r>
      <w:proofErr w:type="gramEnd"/>
      <w:r>
        <w:rPr>
          <w:rFonts w:ascii="宋体" w:eastAsia="宋体" w:hAnsi="宋体" w:cs="宋体" w:hint="eastAsia"/>
          <w:sz w:val="24"/>
        </w:rPr>
        <w:t>遵守的基本原则，以及识别和管理合</w:t>
      </w:r>
      <w:proofErr w:type="gramStart"/>
      <w:r>
        <w:rPr>
          <w:rFonts w:ascii="宋体" w:eastAsia="宋体" w:hAnsi="宋体" w:cs="宋体" w:hint="eastAsia"/>
          <w:sz w:val="24"/>
        </w:rPr>
        <w:t>规</w:t>
      </w:r>
      <w:proofErr w:type="gramEnd"/>
      <w:r>
        <w:rPr>
          <w:rFonts w:ascii="宋体" w:eastAsia="宋体" w:hAnsi="宋体" w:cs="宋体" w:hint="eastAsia"/>
          <w:sz w:val="24"/>
        </w:rPr>
        <w:t>风险的主要程序，并对合</w:t>
      </w:r>
      <w:proofErr w:type="gramStart"/>
      <w:r>
        <w:rPr>
          <w:rFonts w:ascii="宋体" w:eastAsia="宋体" w:hAnsi="宋体" w:cs="宋体" w:hint="eastAsia"/>
          <w:sz w:val="24"/>
        </w:rPr>
        <w:t>规</w:t>
      </w:r>
      <w:proofErr w:type="gramEnd"/>
      <w:r>
        <w:rPr>
          <w:rFonts w:ascii="宋体" w:eastAsia="宋体" w:hAnsi="宋体" w:cs="宋体" w:hint="eastAsia"/>
          <w:sz w:val="24"/>
        </w:rPr>
        <w:t>管理职能的有关事项做出规定，至少应包括：</w:t>
      </w:r>
    </w:p>
    <w:p w14:paraId="2E2F31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（一）合</w:t>
      </w:r>
      <w:proofErr w:type="gramStart"/>
      <w:r>
        <w:rPr>
          <w:rFonts w:ascii="宋体" w:eastAsia="宋体" w:hAnsi="宋体" w:cs="宋体" w:hint="eastAsia"/>
          <w:sz w:val="24"/>
        </w:rPr>
        <w:t>规</w:t>
      </w:r>
      <w:proofErr w:type="gramEnd"/>
      <w:r>
        <w:rPr>
          <w:rFonts w:ascii="宋体" w:eastAsia="宋体" w:hAnsi="宋体" w:cs="宋体" w:hint="eastAsia"/>
          <w:sz w:val="24"/>
        </w:rPr>
        <w:t>管理部门的功能和职责；</w:t>
      </w:r>
    </w:p>
    <w:p w14:paraId="637D9A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（二）合</w:t>
      </w:r>
      <w:proofErr w:type="gramStart"/>
      <w:r>
        <w:rPr>
          <w:rFonts w:ascii="宋体" w:eastAsia="宋体" w:hAnsi="宋体" w:cs="宋体" w:hint="eastAsia"/>
          <w:sz w:val="24"/>
        </w:rPr>
        <w:t>规</w:t>
      </w:r>
      <w:proofErr w:type="gramEnd"/>
      <w:r>
        <w:rPr>
          <w:rFonts w:ascii="宋体" w:eastAsia="宋体" w:hAnsi="宋体" w:cs="宋体" w:hint="eastAsia"/>
          <w:sz w:val="24"/>
        </w:rPr>
        <w:t>管理部门的权限，包括享有与银行任何员工进行沟通并获取履行</w:t>
      </w:r>
      <w:r>
        <w:rPr>
          <w:rFonts w:ascii="宋体" w:eastAsia="宋体" w:hAnsi="宋体" w:cs="宋体" w:hint="eastAsia"/>
          <w:sz w:val="24"/>
        </w:rPr>
        <w:lastRenderedPageBreak/>
        <w:t>职责所需的任何记录或档案材料的权利等；</w:t>
      </w:r>
    </w:p>
    <w:p w14:paraId="64A2F1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（三）合</w:t>
      </w:r>
      <w:proofErr w:type="gramStart"/>
      <w:r>
        <w:rPr>
          <w:rFonts w:ascii="宋体" w:eastAsia="宋体" w:hAnsi="宋体" w:cs="宋体" w:hint="eastAsia"/>
          <w:sz w:val="24"/>
        </w:rPr>
        <w:t>规</w:t>
      </w:r>
      <w:proofErr w:type="gramEnd"/>
      <w:r>
        <w:rPr>
          <w:rFonts w:ascii="宋体" w:eastAsia="宋体" w:hAnsi="宋体" w:cs="宋体" w:hint="eastAsia"/>
          <w:sz w:val="24"/>
        </w:rPr>
        <w:t>负责人的合</w:t>
      </w:r>
      <w:proofErr w:type="gramStart"/>
      <w:r>
        <w:rPr>
          <w:rFonts w:ascii="宋体" w:eastAsia="宋体" w:hAnsi="宋体" w:cs="宋体" w:hint="eastAsia"/>
          <w:sz w:val="24"/>
        </w:rPr>
        <w:t>规</w:t>
      </w:r>
      <w:proofErr w:type="gramEnd"/>
      <w:r>
        <w:rPr>
          <w:rFonts w:ascii="宋体" w:eastAsia="宋体" w:hAnsi="宋体" w:cs="宋体" w:hint="eastAsia"/>
          <w:sz w:val="24"/>
        </w:rPr>
        <w:t>管理职责；</w:t>
      </w:r>
    </w:p>
    <w:p w14:paraId="5A1E61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（四）保证合</w:t>
      </w:r>
      <w:proofErr w:type="gramStart"/>
      <w:r>
        <w:rPr>
          <w:rFonts w:ascii="宋体" w:eastAsia="宋体" w:hAnsi="宋体" w:cs="宋体" w:hint="eastAsia"/>
          <w:sz w:val="24"/>
        </w:rPr>
        <w:t>规</w:t>
      </w:r>
      <w:proofErr w:type="gramEnd"/>
      <w:r>
        <w:rPr>
          <w:rFonts w:ascii="宋体" w:eastAsia="宋体" w:hAnsi="宋体" w:cs="宋体" w:hint="eastAsia"/>
          <w:sz w:val="24"/>
        </w:rPr>
        <w:t>负责人和合</w:t>
      </w:r>
      <w:proofErr w:type="gramStart"/>
      <w:r>
        <w:rPr>
          <w:rFonts w:ascii="宋体" w:eastAsia="宋体" w:hAnsi="宋体" w:cs="宋体" w:hint="eastAsia"/>
          <w:sz w:val="24"/>
        </w:rPr>
        <w:t>规</w:t>
      </w:r>
      <w:proofErr w:type="gramEnd"/>
      <w:r>
        <w:rPr>
          <w:rFonts w:ascii="宋体" w:eastAsia="宋体" w:hAnsi="宋体" w:cs="宋体" w:hint="eastAsia"/>
          <w:sz w:val="24"/>
        </w:rPr>
        <w:t>管理部门独立性的各项措施，包括确保合</w:t>
      </w:r>
      <w:proofErr w:type="gramStart"/>
      <w:r>
        <w:rPr>
          <w:rFonts w:ascii="宋体" w:eastAsia="宋体" w:hAnsi="宋体" w:cs="宋体" w:hint="eastAsia"/>
          <w:sz w:val="24"/>
        </w:rPr>
        <w:t>规</w:t>
      </w:r>
      <w:proofErr w:type="gramEnd"/>
      <w:r>
        <w:rPr>
          <w:rFonts w:ascii="宋体" w:eastAsia="宋体" w:hAnsi="宋体" w:cs="宋体" w:hint="eastAsia"/>
          <w:sz w:val="24"/>
        </w:rPr>
        <w:t>负责人和合</w:t>
      </w:r>
      <w:proofErr w:type="gramStart"/>
      <w:r>
        <w:rPr>
          <w:rFonts w:ascii="宋体" w:eastAsia="宋体" w:hAnsi="宋体" w:cs="宋体" w:hint="eastAsia"/>
          <w:sz w:val="24"/>
        </w:rPr>
        <w:t>规</w:t>
      </w:r>
      <w:proofErr w:type="gramEnd"/>
      <w:r>
        <w:rPr>
          <w:rFonts w:ascii="宋体" w:eastAsia="宋体" w:hAnsi="宋体" w:cs="宋体" w:hint="eastAsia"/>
          <w:sz w:val="24"/>
        </w:rPr>
        <w:t>管理人员的合</w:t>
      </w:r>
      <w:proofErr w:type="gramStart"/>
      <w:r>
        <w:rPr>
          <w:rFonts w:ascii="宋体" w:eastAsia="宋体" w:hAnsi="宋体" w:cs="宋体" w:hint="eastAsia"/>
          <w:sz w:val="24"/>
        </w:rPr>
        <w:t>规</w:t>
      </w:r>
      <w:proofErr w:type="gramEnd"/>
      <w:r>
        <w:rPr>
          <w:rFonts w:ascii="宋体" w:eastAsia="宋体" w:hAnsi="宋体" w:cs="宋体" w:hint="eastAsia"/>
          <w:sz w:val="24"/>
        </w:rPr>
        <w:t>管理职责与其承担的任何其他职责之间不产生利益冲突等；</w:t>
      </w:r>
    </w:p>
    <w:p w14:paraId="5A7FE1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（五）合</w:t>
      </w:r>
      <w:proofErr w:type="gramStart"/>
      <w:r>
        <w:rPr>
          <w:rFonts w:ascii="宋体" w:eastAsia="宋体" w:hAnsi="宋体" w:cs="宋体" w:hint="eastAsia"/>
          <w:sz w:val="24"/>
        </w:rPr>
        <w:t>规</w:t>
      </w:r>
      <w:proofErr w:type="gramEnd"/>
      <w:r>
        <w:rPr>
          <w:rFonts w:ascii="宋体" w:eastAsia="宋体" w:hAnsi="宋体" w:cs="宋体" w:hint="eastAsia"/>
          <w:sz w:val="24"/>
        </w:rPr>
        <w:t>管理部门与风险管理部门、内部审计部门等其他部门之间的协作关系；</w:t>
      </w:r>
    </w:p>
    <w:p w14:paraId="76F93C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（六）设立业务条线和分支机构合</w:t>
      </w:r>
      <w:proofErr w:type="gramStart"/>
      <w:r>
        <w:rPr>
          <w:rFonts w:ascii="宋体" w:eastAsia="宋体" w:hAnsi="宋体" w:cs="宋体" w:hint="eastAsia"/>
          <w:sz w:val="24"/>
        </w:rPr>
        <w:t>规</w:t>
      </w:r>
      <w:proofErr w:type="gramEnd"/>
      <w:r>
        <w:rPr>
          <w:rFonts w:ascii="宋体" w:eastAsia="宋体" w:hAnsi="宋体" w:cs="宋体" w:hint="eastAsia"/>
          <w:sz w:val="24"/>
        </w:rPr>
        <w:t>管理部门的原则。</w:t>
      </w:r>
    </w:p>
    <w:p w14:paraId="529272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董事会应对商业银行经营活动的合</w:t>
      </w:r>
      <w:proofErr w:type="gramStart"/>
      <w:r>
        <w:rPr>
          <w:rFonts w:ascii="宋体" w:eastAsia="宋体" w:hAnsi="宋体" w:cs="宋体" w:hint="eastAsia"/>
          <w:sz w:val="24"/>
        </w:rPr>
        <w:t>规性负</w:t>
      </w:r>
      <w:proofErr w:type="gramEnd"/>
      <w:r>
        <w:rPr>
          <w:rFonts w:ascii="宋体" w:eastAsia="宋体" w:hAnsi="宋体" w:cs="宋体" w:hint="eastAsia"/>
          <w:sz w:val="24"/>
        </w:rPr>
        <w:t>最终责任，履行以下合</w:t>
      </w:r>
      <w:proofErr w:type="gramStart"/>
      <w:r>
        <w:rPr>
          <w:rFonts w:ascii="宋体" w:eastAsia="宋体" w:hAnsi="宋体" w:cs="宋体" w:hint="eastAsia"/>
          <w:sz w:val="24"/>
        </w:rPr>
        <w:t>规</w:t>
      </w:r>
      <w:proofErr w:type="gramEnd"/>
      <w:r>
        <w:rPr>
          <w:rFonts w:ascii="宋体" w:eastAsia="宋体" w:hAnsi="宋体" w:cs="宋体" w:hint="eastAsia"/>
          <w:sz w:val="24"/>
        </w:rPr>
        <w:t>管理职责：</w:t>
      </w:r>
    </w:p>
    <w:p w14:paraId="573908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（一）审议批准商业银行的合</w:t>
      </w:r>
      <w:proofErr w:type="gramStart"/>
      <w:r>
        <w:rPr>
          <w:rFonts w:ascii="宋体" w:eastAsia="宋体" w:hAnsi="宋体" w:cs="宋体" w:hint="eastAsia"/>
          <w:sz w:val="24"/>
        </w:rPr>
        <w:t>规</w:t>
      </w:r>
      <w:proofErr w:type="gramEnd"/>
      <w:r>
        <w:rPr>
          <w:rFonts w:ascii="宋体" w:eastAsia="宋体" w:hAnsi="宋体" w:cs="宋体" w:hint="eastAsia"/>
          <w:sz w:val="24"/>
        </w:rPr>
        <w:t>政策，并监督合</w:t>
      </w:r>
      <w:proofErr w:type="gramStart"/>
      <w:r>
        <w:rPr>
          <w:rFonts w:ascii="宋体" w:eastAsia="宋体" w:hAnsi="宋体" w:cs="宋体" w:hint="eastAsia"/>
          <w:sz w:val="24"/>
        </w:rPr>
        <w:t>规</w:t>
      </w:r>
      <w:proofErr w:type="gramEnd"/>
      <w:r>
        <w:rPr>
          <w:rFonts w:ascii="宋体" w:eastAsia="宋体" w:hAnsi="宋体" w:cs="宋体" w:hint="eastAsia"/>
          <w:sz w:val="24"/>
        </w:rPr>
        <w:t>政策的实施；</w:t>
      </w:r>
    </w:p>
    <w:p w14:paraId="420857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（二）审议批准高级管理层提交的合</w:t>
      </w:r>
      <w:proofErr w:type="gramStart"/>
      <w:r>
        <w:rPr>
          <w:rFonts w:ascii="宋体" w:eastAsia="宋体" w:hAnsi="宋体" w:cs="宋体" w:hint="eastAsia"/>
          <w:sz w:val="24"/>
        </w:rPr>
        <w:t>规</w:t>
      </w:r>
      <w:proofErr w:type="gramEnd"/>
      <w:r>
        <w:rPr>
          <w:rFonts w:ascii="宋体" w:eastAsia="宋体" w:hAnsi="宋体" w:cs="宋体" w:hint="eastAsia"/>
          <w:sz w:val="24"/>
        </w:rPr>
        <w:t>风险管理报告，并对商业银行管理合</w:t>
      </w:r>
      <w:proofErr w:type="gramStart"/>
      <w:r>
        <w:rPr>
          <w:rFonts w:ascii="宋体" w:eastAsia="宋体" w:hAnsi="宋体" w:cs="宋体" w:hint="eastAsia"/>
          <w:sz w:val="24"/>
        </w:rPr>
        <w:t>规</w:t>
      </w:r>
      <w:proofErr w:type="gramEnd"/>
      <w:r>
        <w:rPr>
          <w:rFonts w:ascii="宋体" w:eastAsia="宋体" w:hAnsi="宋体" w:cs="宋体" w:hint="eastAsia"/>
          <w:sz w:val="24"/>
        </w:rPr>
        <w:t>风险的有效性</w:t>
      </w:r>
      <w:proofErr w:type="gramStart"/>
      <w:r>
        <w:rPr>
          <w:rFonts w:ascii="宋体" w:eastAsia="宋体" w:hAnsi="宋体" w:cs="宋体" w:hint="eastAsia"/>
          <w:sz w:val="24"/>
        </w:rPr>
        <w:t>作出</w:t>
      </w:r>
      <w:proofErr w:type="gramEnd"/>
      <w:r>
        <w:rPr>
          <w:rFonts w:ascii="宋体" w:eastAsia="宋体" w:hAnsi="宋体" w:cs="宋体" w:hint="eastAsia"/>
          <w:sz w:val="24"/>
        </w:rPr>
        <w:t>评价，以使合</w:t>
      </w:r>
      <w:proofErr w:type="gramStart"/>
      <w:r>
        <w:rPr>
          <w:rFonts w:ascii="宋体" w:eastAsia="宋体" w:hAnsi="宋体" w:cs="宋体" w:hint="eastAsia"/>
          <w:sz w:val="24"/>
        </w:rPr>
        <w:t>规</w:t>
      </w:r>
      <w:proofErr w:type="gramEnd"/>
      <w:r>
        <w:rPr>
          <w:rFonts w:ascii="宋体" w:eastAsia="宋体" w:hAnsi="宋体" w:cs="宋体" w:hint="eastAsia"/>
          <w:sz w:val="24"/>
        </w:rPr>
        <w:t>缺陷得到及时有效的解决；</w:t>
      </w:r>
    </w:p>
    <w:p w14:paraId="5500F9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（三）授权董事会下设的风险管理委员会、审计委员会或专门设立的合</w:t>
      </w:r>
      <w:proofErr w:type="gramStart"/>
      <w:r>
        <w:rPr>
          <w:rFonts w:ascii="宋体" w:eastAsia="宋体" w:hAnsi="宋体" w:cs="宋体" w:hint="eastAsia"/>
          <w:sz w:val="24"/>
        </w:rPr>
        <w:t>规</w:t>
      </w:r>
      <w:proofErr w:type="gramEnd"/>
      <w:r>
        <w:rPr>
          <w:rFonts w:ascii="宋体" w:eastAsia="宋体" w:hAnsi="宋体" w:cs="宋体" w:hint="eastAsia"/>
          <w:sz w:val="24"/>
        </w:rPr>
        <w:t>管理委员会对商业银行合</w:t>
      </w:r>
      <w:proofErr w:type="gramStart"/>
      <w:r>
        <w:rPr>
          <w:rFonts w:ascii="宋体" w:eastAsia="宋体" w:hAnsi="宋体" w:cs="宋体" w:hint="eastAsia"/>
          <w:sz w:val="24"/>
        </w:rPr>
        <w:t>规</w:t>
      </w:r>
      <w:proofErr w:type="gramEnd"/>
      <w:r>
        <w:rPr>
          <w:rFonts w:ascii="宋体" w:eastAsia="宋体" w:hAnsi="宋体" w:cs="宋体" w:hint="eastAsia"/>
          <w:sz w:val="24"/>
        </w:rPr>
        <w:t>风险管理进行日常监督；</w:t>
      </w:r>
    </w:p>
    <w:p w14:paraId="218294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（四）商业银行章程规定的其他合</w:t>
      </w:r>
      <w:proofErr w:type="gramStart"/>
      <w:r>
        <w:rPr>
          <w:rFonts w:ascii="宋体" w:eastAsia="宋体" w:hAnsi="宋体" w:cs="宋体" w:hint="eastAsia"/>
          <w:sz w:val="24"/>
        </w:rPr>
        <w:t>规</w:t>
      </w:r>
      <w:proofErr w:type="gramEnd"/>
      <w:r>
        <w:rPr>
          <w:rFonts w:ascii="宋体" w:eastAsia="宋体" w:hAnsi="宋体" w:cs="宋体" w:hint="eastAsia"/>
          <w:sz w:val="24"/>
        </w:rPr>
        <w:t>管理职责。</w:t>
      </w:r>
    </w:p>
    <w:p w14:paraId="297F6B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第十一条负责日常监督商业银行合</w:t>
      </w:r>
      <w:proofErr w:type="gramStart"/>
      <w:r>
        <w:rPr>
          <w:rFonts w:ascii="宋体" w:eastAsia="宋体" w:hAnsi="宋体" w:cs="宋体" w:hint="eastAsia"/>
          <w:sz w:val="24"/>
        </w:rPr>
        <w:t>规</w:t>
      </w:r>
      <w:proofErr w:type="gramEnd"/>
      <w:r>
        <w:rPr>
          <w:rFonts w:ascii="宋体" w:eastAsia="宋体" w:hAnsi="宋体" w:cs="宋体" w:hint="eastAsia"/>
          <w:sz w:val="24"/>
        </w:rPr>
        <w:t>风险管理的董事会下设委员会应通过与合</w:t>
      </w:r>
      <w:proofErr w:type="gramStart"/>
      <w:r>
        <w:rPr>
          <w:rFonts w:ascii="宋体" w:eastAsia="宋体" w:hAnsi="宋体" w:cs="宋体" w:hint="eastAsia"/>
          <w:sz w:val="24"/>
        </w:rPr>
        <w:t>规</w:t>
      </w:r>
      <w:proofErr w:type="gramEnd"/>
      <w:r>
        <w:rPr>
          <w:rFonts w:ascii="宋体" w:eastAsia="宋体" w:hAnsi="宋体" w:cs="宋体" w:hint="eastAsia"/>
          <w:sz w:val="24"/>
        </w:rPr>
        <w:t>负责人单独面谈和其他有效途径，了解合</w:t>
      </w:r>
      <w:proofErr w:type="gramStart"/>
      <w:r>
        <w:rPr>
          <w:rFonts w:ascii="宋体" w:eastAsia="宋体" w:hAnsi="宋体" w:cs="宋体" w:hint="eastAsia"/>
          <w:sz w:val="24"/>
        </w:rPr>
        <w:t>规</w:t>
      </w:r>
      <w:proofErr w:type="gramEnd"/>
      <w:r>
        <w:rPr>
          <w:rFonts w:ascii="宋体" w:eastAsia="宋体" w:hAnsi="宋体" w:cs="宋体" w:hint="eastAsia"/>
          <w:sz w:val="24"/>
        </w:rPr>
        <w:t>政策的实施情况和存在的问题，及时向董事会或高级管理层提出相应的意见和建议，监督合</w:t>
      </w:r>
      <w:proofErr w:type="gramStart"/>
      <w:r>
        <w:rPr>
          <w:rFonts w:ascii="宋体" w:eastAsia="宋体" w:hAnsi="宋体" w:cs="宋体" w:hint="eastAsia"/>
          <w:sz w:val="24"/>
        </w:rPr>
        <w:t>规</w:t>
      </w:r>
      <w:proofErr w:type="gramEnd"/>
      <w:r>
        <w:rPr>
          <w:rFonts w:ascii="宋体" w:eastAsia="宋体" w:hAnsi="宋体" w:cs="宋体" w:hint="eastAsia"/>
          <w:sz w:val="24"/>
        </w:rPr>
        <w:t>政策的有效实施。</w:t>
      </w:r>
    </w:p>
    <w:p w14:paraId="1843ED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监事会应监督董事会和高级管理层合</w:t>
      </w:r>
      <w:proofErr w:type="gramStart"/>
      <w:r>
        <w:rPr>
          <w:rFonts w:ascii="宋体" w:eastAsia="宋体" w:hAnsi="宋体" w:cs="宋体" w:hint="eastAsia"/>
          <w:sz w:val="24"/>
        </w:rPr>
        <w:t>规</w:t>
      </w:r>
      <w:proofErr w:type="gramEnd"/>
      <w:r>
        <w:rPr>
          <w:rFonts w:ascii="宋体" w:eastAsia="宋体" w:hAnsi="宋体" w:cs="宋体" w:hint="eastAsia"/>
          <w:sz w:val="24"/>
        </w:rPr>
        <w:t>管理职责的履行情况。</w:t>
      </w:r>
    </w:p>
    <w:p w14:paraId="00FFAA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高级管理层应有</w:t>
      </w:r>
      <w:proofErr w:type="gramStart"/>
      <w:r>
        <w:rPr>
          <w:rFonts w:ascii="宋体" w:eastAsia="宋体" w:hAnsi="宋体" w:cs="宋体" w:hint="eastAsia"/>
          <w:sz w:val="24"/>
        </w:rPr>
        <w:t>效</w:t>
      </w:r>
      <w:proofErr w:type="gramEnd"/>
      <w:r>
        <w:rPr>
          <w:rFonts w:ascii="宋体" w:eastAsia="宋体" w:hAnsi="宋体" w:cs="宋体" w:hint="eastAsia"/>
          <w:sz w:val="24"/>
        </w:rPr>
        <w:t>管理商业银行的合</w:t>
      </w:r>
      <w:proofErr w:type="gramStart"/>
      <w:r>
        <w:rPr>
          <w:rFonts w:ascii="宋体" w:eastAsia="宋体" w:hAnsi="宋体" w:cs="宋体" w:hint="eastAsia"/>
          <w:sz w:val="24"/>
        </w:rPr>
        <w:t>规</w:t>
      </w:r>
      <w:proofErr w:type="gramEnd"/>
      <w:r>
        <w:rPr>
          <w:rFonts w:ascii="宋体" w:eastAsia="宋体" w:hAnsi="宋体" w:cs="宋体" w:hint="eastAsia"/>
          <w:sz w:val="24"/>
        </w:rPr>
        <w:t>风险，履行以下合</w:t>
      </w:r>
      <w:proofErr w:type="gramStart"/>
      <w:r>
        <w:rPr>
          <w:rFonts w:ascii="宋体" w:eastAsia="宋体" w:hAnsi="宋体" w:cs="宋体" w:hint="eastAsia"/>
          <w:sz w:val="24"/>
        </w:rPr>
        <w:t>规</w:t>
      </w:r>
      <w:proofErr w:type="gramEnd"/>
      <w:r>
        <w:rPr>
          <w:rFonts w:ascii="宋体" w:eastAsia="宋体" w:hAnsi="宋体" w:cs="宋体" w:hint="eastAsia"/>
          <w:sz w:val="24"/>
        </w:rPr>
        <w:t>管理职责：</w:t>
      </w:r>
    </w:p>
    <w:p w14:paraId="6B3444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（一）制定书面的合</w:t>
      </w:r>
      <w:proofErr w:type="gramStart"/>
      <w:r>
        <w:rPr>
          <w:rFonts w:ascii="宋体" w:eastAsia="宋体" w:hAnsi="宋体" w:cs="宋体" w:hint="eastAsia"/>
          <w:sz w:val="24"/>
        </w:rPr>
        <w:t>规</w:t>
      </w:r>
      <w:proofErr w:type="gramEnd"/>
      <w:r>
        <w:rPr>
          <w:rFonts w:ascii="宋体" w:eastAsia="宋体" w:hAnsi="宋体" w:cs="宋体" w:hint="eastAsia"/>
          <w:sz w:val="24"/>
        </w:rPr>
        <w:t>政策，并根据合</w:t>
      </w:r>
      <w:proofErr w:type="gramStart"/>
      <w:r>
        <w:rPr>
          <w:rFonts w:ascii="宋体" w:eastAsia="宋体" w:hAnsi="宋体" w:cs="宋体" w:hint="eastAsia"/>
          <w:sz w:val="24"/>
        </w:rPr>
        <w:t>规</w:t>
      </w:r>
      <w:proofErr w:type="gramEnd"/>
      <w:r>
        <w:rPr>
          <w:rFonts w:ascii="宋体" w:eastAsia="宋体" w:hAnsi="宋体" w:cs="宋体" w:hint="eastAsia"/>
          <w:sz w:val="24"/>
        </w:rPr>
        <w:t>风险管理状况以及法律、规则和准则的变化情况适时修订合</w:t>
      </w:r>
      <w:proofErr w:type="gramStart"/>
      <w:r>
        <w:rPr>
          <w:rFonts w:ascii="宋体" w:eastAsia="宋体" w:hAnsi="宋体" w:cs="宋体" w:hint="eastAsia"/>
          <w:sz w:val="24"/>
        </w:rPr>
        <w:t>规</w:t>
      </w:r>
      <w:proofErr w:type="gramEnd"/>
      <w:r>
        <w:rPr>
          <w:rFonts w:ascii="宋体" w:eastAsia="宋体" w:hAnsi="宋体" w:cs="宋体" w:hint="eastAsia"/>
          <w:sz w:val="24"/>
        </w:rPr>
        <w:t>政策，报经董事会审议批准后传达给全体员工；</w:t>
      </w:r>
    </w:p>
    <w:p w14:paraId="4F34D3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（二）贯彻执行合</w:t>
      </w:r>
      <w:proofErr w:type="gramStart"/>
      <w:r>
        <w:rPr>
          <w:rFonts w:ascii="宋体" w:eastAsia="宋体" w:hAnsi="宋体" w:cs="宋体" w:hint="eastAsia"/>
          <w:sz w:val="24"/>
        </w:rPr>
        <w:t>规</w:t>
      </w:r>
      <w:proofErr w:type="gramEnd"/>
      <w:r>
        <w:rPr>
          <w:rFonts w:ascii="宋体" w:eastAsia="宋体" w:hAnsi="宋体" w:cs="宋体" w:hint="eastAsia"/>
          <w:sz w:val="24"/>
        </w:rPr>
        <w:t>政策，确保发现违规事件时及时采取适当的纠正措施，</w:t>
      </w:r>
      <w:r>
        <w:rPr>
          <w:rFonts w:ascii="宋体" w:eastAsia="宋体" w:hAnsi="宋体" w:cs="宋体" w:hint="eastAsia"/>
          <w:sz w:val="24"/>
        </w:rPr>
        <w:lastRenderedPageBreak/>
        <w:t>并追究违规责任人的相应责任；</w:t>
      </w:r>
    </w:p>
    <w:p w14:paraId="38940B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（三）任命合</w:t>
      </w:r>
      <w:proofErr w:type="gramStart"/>
      <w:r>
        <w:rPr>
          <w:rFonts w:ascii="宋体" w:eastAsia="宋体" w:hAnsi="宋体" w:cs="宋体" w:hint="eastAsia"/>
          <w:sz w:val="24"/>
        </w:rPr>
        <w:t>规</w:t>
      </w:r>
      <w:proofErr w:type="gramEnd"/>
      <w:r>
        <w:rPr>
          <w:rFonts w:ascii="宋体" w:eastAsia="宋体" w:hAnsi="宋体" w:cs="宋体" w:hint="eastAsia"/>
          <w:sz w:val="24"/>
        </w:rPr>
        <w:t>负责人，并确保合</w:t>
      </w:r>
      <w:proofErr w:type="gramStart"/>
      <w:r>
        <w:rPr>
          <w:rFonts w:ascii="宋体" w:eastAsia="宋体" w:hAnsi="宋体" w:cs="宋体" w:hint="eastAsia"/>
          <w:sz w:val="24"/>
        </w:rPr>
        <w:t>规</w:t>
      </w:r>
      <w:proofErr w:type="gramEnd"/>
      <w:r>
        <w:rPr>
          <w:rFonts w:ascii="宋体" w:eastAsia="宋体" w:hAnsi="宋体" w:cs="宋体" w:hint="eastAsia"/>
          <w:sz w:val="24"/>
        </w:rPr>
        <w:t>负责人的独立性；</w:t>
      </w:r>
    </w:p>
    <w:p w14:paraId="228CF2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（四）明确合</w:t>
      </w:r>
      <w:proofErr w:type="gramStart"/>
      <w:r>
        <w:rPr>
          <w:rFonts w:ascii="宋体" w:eastAsia="宋体" w:hAnsi="宋体" w:cs="宋体" w:hint="eastAsia"/>
          <w:sz w:val="24"/>
        </w:rPr>
        <w:t>规</w:t>
      </w:r>
      <w:proofErr w:type="gramEnd"/>
      <w:r>
        <w:rPr>
          <w:rFonts w:ascii="宋体" w:eastAsia="宋体" w:hAnsi="宋体" w:cs="宋体" w:hint="eastAsia"/>
          <w:sz w:val="24"/>
        </w:rPr>
        <w:t>管理部门及其组织结构，为其履行职责配备充分和适当的合</w:t>
      </w:r>
      <w:proofErr w:type="gramStart"/>
      <w:r>
        <w:rPr>
          <w:rFonts w:ascii="宋体" w:eastAsia="宋体" w:hAnsi="宋体" w:cs="宋体" w:hint="eastAsia"/>
          <w:sz w:val="24"/>
        </w:rPr>
        <w:t>规</w:t>
      </w:r>
      <w:proofErr w:type="gramEnd"/>
      <w:r>
        <w:rPr>
          <w:rFonts w:ascii="宋体" w:eastAsia="宋体" w:hAnsi="宋体" w:cs="宋体" w:hint="eastAsia"/>
          <w:sz w:val="24"/>
        </w:rPr>
        <w:t>管理人员，并确保合</w:t>
      </w:r>
      <w:proofErr w:type="gramStart"/>
      <w:r>
        <w:rPr>
          <w:rFonts w:ascii="宋体" w:eastAsia="宋体" w:hAnsi="宋体" w:cs="宋体" w:hint="eastAsia"/>
          <w:sz w:val="24"/>
        </w:rPr>
        <w:t>规</w:t>
      </w:r>
      <w:proofErr w:type="gramEnd"/>
      <w:r>
        <w:rPr>
          <w:rFonts w:ascii="宋体" w:eastAsia="宋体" w:hAnsi="宋体" w:cs="宋体" w:hint="eastAsia"/>
          <w:sz w:val="24"/>
        </w:rPr>
        <w:t>管理部门的独立性；</w:t>
      </w:r>
    </w:p>
    <w:p w14:paraId="144F3B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（五）识别商业银行所面临的主要合</w:t>
      </w:r>
      <w:proofErr w:type="gramStart"/>
      <w:r>
        <w:rPr>
          <w:rFonts w:ascii="宋体" w:eastAsia="宋体" w:hAnsi="宋体" w:cs="宋体" w:hint="eastAsia"/>
          <w:sz w:val="24"/>
        </w:rPr>
        <w:t>规</w:t>
      </w:r>
      <w:proofErr w:type="gramEnd"/>
      <w:r>
        <w:rPr>
          <w:rFonts w:ascii="宋体" w:eastAsia="宋体" w:hAnsi="宋体" w:cs="宋体" w:hint="eastAsia"/>
          <w:sz w:val="24"/>
        </w:rPr>
        <w:t>风险，审核批准合</w:t>
      </w:r>
      <w:proofErr w:type="gramStart"/>
      <w:r>
        <w:rPr>
          <w:rFonts w:ascii="宋体" w:eastAsia="宋体" w:hAnsi="宋体" w:cs="宋体" w:hint="eastAsia"/>
          <w:sz w:val="24"/>
        </w:rPr>
        <w:t>规</w:t>
      </w:r>
      <w:proofErr w:type="gramEnd"/>
      <w:r>
        <w:rPr>
          <w:rFonts w:ascii="宋体" w:eastAsia="宋体" w:hAnsi="宋体" w:cs="宋体" w:hint="eastAsia"/>
          <w:sz w:val="24"/>
        </w:rPr>
        <w:t>风险管理计划，确保合</w:t>
      </w:r>
      <w:proofErr w:type="gramStart"/>
      <w:r>
        <w:rPr>
          <w:rFonts w:ascii="宋体" w:eastAsia="宋体" w:hAnsi="宋体" w:cs="宋体" w:hint="eastAsia"/>
          <w:sz w:val="24"/>
        </w:rPr>
        <w:t>规</w:t>
      </w:r>
      <w:proofErr w:type="gramEnd"/>
      <w:r>
        <w:rPr>
          <w:rFonts w:ascii="宋体" w:eastAsia="宋体" w:hAnsi="宋体" w:cs="宋体" w:hint="eastAsia"/>
          <w:sz w:val="24"/>
        </w:rPr>
        <w:t>管理部门与风险管理部门、内部审计部门以及其他相关部门之间的工作协调；</w:t>
      </w:r>
    </w:p>
    <w:p w14:paraId="3EBD62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（六）每年向董事会提交合</w:t>
      </w:r>
      <w:proofErr w:type="gramStart"/>
      <w:r>
        <w:rPr>
          <w:rFonts w:ascii="宋体" w:eastAsia="宋体" w:hAnsi="宋体" w:cs="宋体" w:hint="eastAsia"/>
          <w:sz w:val="24"/>
        </w:rPr>
        <w:t>规</w:t>
      </w:r>
      <w:proofErr w:type="gramEnd"/>
      <w:r>
        <w:rPr>
          <w:rFonts w:ascii="宋体" w:eastAsia="宋体" w:hAnsi="宋体" w:cs="宋体" w:hint="eastAsia"/>
          <w:sz w:val="24"/>
        </w:rPr>
        <w:t>风险管理报告，报告应提供充分依据并有助于董事会成员判断高级管理</w:t>
      </w:r>
      <w:proofErr w:type="gramStart"/>
      <w:r>
        <w:rPr>
          <w:rFonts w:ascii="宋体" w:eastAsia="宋体" w:hAnsi="宋体" w:cs="宋体" w:hint="eastAsia"/>
          <w:sz w:val="24"/>
        </w:rPr>
        <w:t>层管理合规</w:t>
      </w:r>
      <w:proofErr w:type="gramEnd"/>
      <w:r>
        <w:rPr>
          <w:rFonts w:ascii="宋体" w:eastAsia="宋体" w:hAnsi="宋体" w:cs="宋体" w:hint="eastAsia"/>
          <w:sz w:val="24"/>
        </w:rPr>
        <w:t>风险的有效性；</w:t>
      </w:r>
    </w:p>
    <w:p w14:paraId="02720F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（七）及时向董事会或其下设委员会、监事会报告任何重大违规事件；</w:t>
      </w:r>
    </w:p>
    <w:p w14:paraId="6CC1CE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（八）合</w:t>
      </w:r>
      <w:proofErr w:type="gramStart"/>
      <w:r>
        <w:rPr>
          <w:rFonts w:ascii="宋体" w:eastAsia="宋体" w:hAnsi="宋体" w:cs="宋体" w:hint="eastAsia"/>
          <w:sz w:val="24"/>
        </w:rPr>
        <w:t>规</w:t>
      </w:r>
      <w:proofErr w:type="gramEnd"/>
      <w:r>
        <w:rPr>
          <w:rFonts w:ascii="宋体" w:eastAsia="宋体" w:hAnsi="宋体" w:cs="宋体" w:hint="eastAsia"/>
          <w:sz w:val="24"/>
        </w:rPr>
        <w:t>政策规定的其他职责。</w:t>
      </w:r>
    </w:p>
    <w:p w14:paraId="62102A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合</w:t>
      </w:r>
      <w:proofErr w:type="gramStart"/>
      <w:r>
        <w:rPr>
          <w:rFonts w:ascii="宋体" w:eastAsia="宋体" w:hAnsi="宋体" w:cs="宋体" w:hint="eastAsia"/>
          <w:sz w:val="24"/>
        </w:rPr>
        <w:t>规</w:t>
      </w:r>
      <w:proofErr w:type="gramEnd"/>
      <w:r>
        <w:rPr>
          <w:rFonts w:ascii="宋体" w:eastAsia="宋体" w:hAnsi="宋体" w:cs="宋体" w:hint="eastAsia"/>
          <w:sz w:val="24"/>
        </w:rPr>
        <w:t>负责人应全面协调商业银行合</w:t>
      </w:r>
      <w:proofErr w:type="gramStart"/>
      <w:r>
        <w:rPr>
          <w:rFonts w:ascii="宋体" w:eastAsia="宋体" w:hAnsi="宋体" w:cs="宋体" w:hint="eastAsia"/>
          <w:sz w:val="24"/>
        </w:rPr>
        <w:t>规</w:t>
      </w:r>
      <w:proofErr w:type="gramEnd"/>
      <w:r>
        <w:rPr>
          <w:rFonts w:ascii="宋体" w:eastAsia="宋体" w:hAnsi="宋体" w:cs="宋体" w:hint="eastAsia"/>
          <w:sz w:val="24"/>
        </w:rPr>
        <w:t>风险的识别和管理，监督合</w:t>
      </w:r>
      <w:proofErr w:type="gramStart"/>
      <w:r>
        <w:rPr>
          <w:rFonts w:ascii="宋体" w:eastAsia="宋体" w:hAnsi="宋体" w:cs="宋体" w:hint="eastAsia"/>
          <w:sz w:val="24"/>
        </w:rPr>
        <w:t>规</w:t>
      </w:r>
      <w:proofErr w:type="gramEnd"/>
      <w:r>
        <w:rPr>
          <w:rFonts w:ascii="宋体" w:eastAsia="宋体" w:hAnsi="宋体" w:cs="宋体" w:hint="eastAsia"/>
          <w:sz w:val="24"/>
        </w:rPr>
        <w:t>管理部门根据合</w:t>
      </w:r>
      <w:proofErr w:type="gramStart"/>
      <w:r>
        <w:rPr>
          <w:rFonts w:ascii="宋体" w:eastAsia="宋体" w:hAnsi="宋体" w:cs="宋体" w:hint="eastAsia"/>
          <w:sz w:val="24"/>
        </w:rPr>
        <w:t>规</w:t>
      </w:r>
      <w:proofErr w:type="gramEnd"/>
      <w:r>
        <w:rPr>
          <w:rFonts w:ascii="宋体" w:eastAsia="宋体" w:hAnsi="宋体" w:cs="宋体" w:hint="eastAsia"/>
          <w:sz w:val="24"/>
        </w:rPr>
        <w:t>风险管理计划履行职责，定期向高级管理层提交合</w:t>
      </w:r>
      <w:proofErr w:type="gramStart"/>
      <w:r>
        <w:rPr>
          <w:rFonts w:ascii="宋体" w:eastAsia="宋体" w:hAnsi="宋体" w:cs="宋体" w:hint="eastAsia"/>
          <w:sz w:val="24"/>
        </w:rPr>
        <w:t>规</w:t>
      </w:r>
      <w:proofErr w:type="gramEnd"/>
      <w:r>
        <w:rPr>
          <w:rFonts w:ascii="宋体" w:eastAsia="宋体" w:hAnsi="宋体" w:cs="宋体" w:hint="eastAsia"/>
          <w:sz w:val="24"/>
        </w:rPr>
        <w:t>风险评估报告。合</w:t>
      </w:r>
      <w:proofErr w:type="gramStart"/>
      <w:r>
        <w:rPr>
          <w:rFonts w:ascii="宋体" w:eastAsia="宋体" w:hAnsi="宋体" w:cs="宋体" w:hint="eastAsia"/>
          <w:sz w:val="24"/>
        </w:rPr>
        <w:t>规</w:t>
      </w:r>
      <w:proofErr w:type="gramEnd"/>
      <w:r>
        <w:rPr>
          <w:rFonts w:ascii="宋体" w:eastAsia="宋体" w:hAnsi="宋体" w:cs="宋体" w:hint="eastAsia"/>
          <w:sz w:val="24"/>
        </w:rPr>
        <w:t>负责人不得分管业务条线。</w:t>
      </w:r>
    </w:p>
    <w:p w14:paraId="212C4B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风险评估报告包括但不限于以下内容：报告期合</w:t>
      </w:r>
      <w:proofErr w:type="gramStart"/>
      <w:r>
        <w:rPr>
          <w:rFonts w:ascii="宋体" w:eastAsia="宋体" w:hAnsi="宋体" w:cs="宋体" w:hint="eastAsia"/>
          <w:sz w:val="24"/>
        </w:rPr>
        <w:t>规</w:t>
      </w:r>
      <w:proofErr w:type="gramEnd"/>
      <w:r>
        <w:rPr>
          <w:rFonts w:ascii="宋体" w:eastAsia="宋体" w:hAnsi="宋体" w:cs="宋体" w:hint="eastAsia"/>
          <w:sz w:val="24"/>
        </w:rPr>
        <w:t>风险状况的变化情况、已识别的违规事件和合</w:t>
      </w:r>
      <w:proofErr w:type="gramStart"/>
      <w:r>
        <w:rPr>
          <w:rFonts w:ascii="宋体" w:eastAsia="宋体" w:hAnsi="宋体" w:cs="宋体" w:hint="eastAsia"/>
          <w:sz w:val="24"/>
        </w:rPr>
        <w:t>规</w:t>
      </w:r>
      <w:proofErr w:type="gramEnd"/>
      <w:r>
        <w:rPr>
          <w:rFonts w:ascii="宋体" w:eastAsia="宋体" w:hAnsi="宋体" w:cs="宋体" w:hint="eastAsia"/>
          <w:sz w:val="24"/>
        </w:rPr>
        <w:t>缺陷、已采取的或建议采取的纠正措施等。</w:t>
      </w:r>
    </w:p>
    <w:p w14:paraId="3B635E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商业银行应建立对管理人员合</w:t>
      </w:r>
      <w:proofErr w:type="gramStart"/>
      <w:r>
        <w:rPr>
          <w:rFonts w:ascii="宋体" w:eastAsia="宋体" w:hAnsi="宋体" w:cs="宋体" w:hint="eastAsia"/>
          <w:sz w:val="24"/>
        </w:rPr>
        <w:t>规</w:t>
      </w:r>
      <w:proofErr w:type="gramEnd"/>
      <w:r>
        <w:rPr>
          <w:rFonts w:ascii="宋体" w:eastAsia="宋体" w:hAnsi="宋体" w:cs="宋体" w:hint="eastAsia"/>
          <w:sz w:val="24"/>
        </w:rPr>
        <w:t>绩效的考核制度。商业银行的绩效考核应体现倡导合</w:t>
      </w:r>
      <w:proofErr w:type="gramStart"/>
      <w:r>
        <w:rPr>
          <w:rFonts w:ascii="宋体" w:eastAsia="宋体" w:hAnsi="宋体" w:cs="宋体" w:hint="eastAsia"/>
          <w:sz w:val="24"/>
        </w:rPr>
        <w:t>规</w:t>
      </w:r>
      <w:proofErr w:type="gramEnd"/>
      <w:r>
        <w:rPr>
          <w:rFonts w:ascii="宋体" w:eastAsia="宋体" w:hAnsi="宋体" w:cs="宋体" w:hint="eastAsia"/>
          <w:sz w:val="24"/>
        </w:rPr>
        <w:t>和惩处违规的价值观念。</w:t>
      </w:r>
    </w:p>
    <w:p w14:paraId="6E329B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商业银行应建立有效的合</w:t>
      </w:r>
      <w:proofErr w:type="gramStart"/>
      <w:r>
        <w:rPr>
          <w:rFonts w:ascii="宋体" w:eastAsia="宋体" w:hAnsi="宋体" w:cs="宋体" w:hint="eastAsia"/>
          <w:sz w:val="24"/>
        </w:rPr>
        <w:t>规</w:t>
      </w:r>
      <w:proofErr w:type="gramEnd"/>
      <w:r>
        <w:rPr>
          <w:rFonts w:ascii="宋体" w:eastAsia="宋体" w:hAnsi="宋体" w:cs="宋体" w:hint="eastAsia"/>
          <w:sz w:val="24"/>
        </w:rPr>
        <w:t>问责制度，严格对违规行为的责任认定与追究，并采取有效的纠正措施，及时改进经营管理流程，适时修订相关政策、程序和操作指南。</w:t>
      </w:r>
    </w:p>
    <w:p w14:paraId="2684B3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商业银行应建立诚信举报制度，鼓励员工举报违法、违反职业操守或可疑行为，并充分保护举报人。</w:t>
      </w:r>
    </w:p>
    <w:p w14:paraId="4BE9F7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合</w:t>
      </w:r>
      <w:proofErr w:type="gramStart"/>
      <w:r>
        <w:rPr>
          <w:rFonts w:ascii="宋体" w:eastAsia="宋体" w:hAnsi="宋体" w:cs="宋体" w:hint="eastAsia"/>
          <w:sz w:val="24"/>
        </w:rPr>
        <w:t>规</w:t>
      </w:r>
      <w:proofErr w:type="gramEnd"/>
      <w:r>
        <w:rPr>
          <w:rFonts w:ascii="宋体" w:eastAsia="宋体" w:hAnsi="宋体" w:cs="宋体" w:hint="eastAsia"/>
          <w:sz w:val="24"/>
        </w:rPr>
        <w:t>管理部门职责</w:t>
      </w:r>
    </w:p>
    <w:p w14:paraId="69BE4A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合</w:t>
      </w:r>
      <w:proofErr w:type="gramStart"/>
      <w:r>
        <w:rPr>
          <w:rFonts w:ascii="宋体" w:eastAsia="宋体" w:hAnsi="宋体" w:cs="宋体" w:hint="eastAsia"/>
          <w:sz w:val="24"/>
        </w:rPr>
        <w:t>规</w:t>
      </w:r>
      <w:proofErr w:type="gramEnd"/>
      <w:r>
        <w:rPr>
          <w:rFonts w:ascii="宋体" w:eastAsia="宋体" w:hAnsi="宋体" w:cs="宋体" w:hint="eastAsia"/>
          <w:sz w:val="24"/>
        </w:rPr>
        <w:t>管理部门应在合</w:t>
      </w:r>
      <w:proofErr w:type="gramStart"/>
      <w:r>
        <w:rPr>
          <w:rFonts w:ascii="宋体" w:eastAsia="宋体" w:hAnsi="宋体" w:cs="宋体" w:hint="eastAsia"/>
          <w:sz w:val="24"/>
        </w:rPr>
        <w:t>规</w:t>
      </w:r>
      <w:proofErr w:type="gramEnd"/>
      <w:r>
        <w:rPr>
          <w:rFonts w:ascii="宋体" w:eastAsia="宋体" w:hAnsi="宋体" w:cs="宋体" w:hint="eastAsia"/>
          <w:sz w:val="24"/>
        </w:rPr>
        <w:t>负责人的管理下协助高级管理</w:t>
      </w:r>
      <w:proofErr w:type="gramStart"/>
      <w:r>
        <w:rPr>
          <w:rFonts w:ascii="宋体" w:eastAsia="宋体" w:hAnsi="宋体" w:cs="宋体" w:hint="eastAsia"/>
          <w:sz w:val="24"/>
        </w:rPr>
        <w:t>层有效</w:t>
      </w:r>
      <w:proofErr w:type="gramEnd"/>
      <w:r>
        <w:rPr>
          <w:rFonts w:ascii="宋体" w:eastAsia="宋体" w:hAnsi="宋体" w:cs="宋体" w:hint="eastAsia"/>
          <w:sz w:val="24"/>
        </w:rPr>
        <w:t>识别</w:t>
      </w:r>
      <w:r>
        <w:rPr>
          <w:rFonts w:ascii="宋体" w:eastAsia="宋体" w:hAnsi="宋体" w:cs="宋体" w:hint="eastAsia"/>
          <w:sz w:val="24"/>
        </w:rPr>
        <w:lastRenderedPageBreak/>
        <w:t>和管理商业银行所面临的合</w:t>
      </w:r>
      <w:proofErr w:type="gramStart"/>
      <w:r>
        <w:rPr>
          <w:rFonts w:ascii="宋体" w:eastAsia="宋体" w:hAnsi="宋体" w:cs="宋体" w:hint="eastAsia"/>
          <w:sz w:val="24"/>
        </w:rPr>
        <w:t>规</w:t>
      </w:r>
      <w:proofErr w:type="gramEnd"/>
      <w:r>
        <w:rPr>
          <w:rFonts w:ascii="宋体" w:eastAsia="宋体" w:hAnsi="宋体" w:cs="宋体" w:hint="eastAsia"/>
          <w:sz w:val="24"/>
        </w:rPr>
        <w:t>风险，履行以下基本职责：</w:t>
      </w:r>
    </w:p>
    <w:p w14:paraId="443665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（一）持续关注法律、规则和准则的最新发展，正确理解法律、规则和准则的规定及其精神，准确把握法律、规则和准则对商业银行经营的影响，及时为高级管理层提供合</w:t>
      </w:r>
      <w:proofErr w:type="gramStart"/>
      <w:r>
        <w:rPr>
          <w:rFonts w:ascii="宋体" w:eastAsia="宋体" w:hAnsi="宋体" w:cs="宋体" w:hint="eastAsia"/>
          <w:sz w:val="24"/>
        </w:rPr>
        <w:t>规</w:t>
      </w:r>
      <w:proofErr w:type="gramEnd"/>
      <w:r>
        <w:rPr>
          <w:rFonts w:ascii="宋体" w:eastAsia="宋体" w:hAnsi="宋体" w:cs="宋体" w:hint="eastAsia"/>
          <w:sz w:val="24"/>
        </w:rPr>
        <w:t>建议；</w:t>
      </w:r>
    </w:p>
    <w:p w14:paraId="75E7DD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（二）制定并执行风险为本的合</w:t>
      </w:r>
      <w:proofErr w:type="gramStart"/>
      <w:r>
        <w:rPr>
          <w:rFonts w:ascii="宋体" w:eastAsia="宋体" w:hAnsi="宋体" w:cs="宋体" w:hint="eastAsia"/>
          <w:sz w:val="24"/>
        </w:rPr>
        <w:t>规</w:t>
      </w:r>
      <w:proofErr w:type="gramEnd"/>
      <w:r>
        <w:rPr>
          <w:rFonts w:ascii="宋体" w:eastAsia="宋体" w:hAnsi="宋体" w:cs="宋体" w:hint="eastAsia"/>
          <w:sz w:val="24"/>
        </w:rPr>
        <w:t>管理计划，包括特定政策和程序的实施与评价、合</w:t>
      </w:r>
      <w:proofErr w:type="gramStart"/>
      <w:r>
        <w:rPr>
          <w:rFonts w:ascii="宋体" w:eastAsia="宋体" w:hAnsi="宋体" w:cs="宋体" w:hint="eastAsia"/>
          <w:sz w:val="24"/>
        </w:rPr>
        <w:t>规</w:t>
      </w:r>
      <w:proofErr w:type="gramEnd"/>
      <w:r>
        <w:rPr>
          <w:rFonts w:ascii="宋体" w:eastAsia="宋体" w:hAnsi="宋体" w:cs="宋体" w:hint="eastAsia"/>
          <w:sz w:val="24"/>
        </w:rPr>
        <w:t>风险评估、合</w:t>
      </w:r>
      <w:proofErr w:type="gramStart"/>
      <w:r>
        <w:rPr>
          <w:rFonts w:ascii="宋体" w:eastAsia="宋体" w:hAnsi="宋体" w:cs="宋体" w:hint="eastAsia"/>
          <w:sz w:val="24"/>
        </w:rPr>
        <w:t>规</w:t>
      </w:r>
      <w:proofErr w:type="gramEnd"/>
      <w:r>
        <w:rPr>
          <w:rFonts w:ascii="宋体" w:eastAsia="宋体" w:hAnsi="宋体" w:cs="宋体" w:hint="eastAsia"/>
          <w:sz w:val="24"/>
        </w:rPr>
        <w:t>性测试、合</w:t>
      </w:r>
      <w:proofErr w:type="gramStart"/>
      <w:r>
        <w:rPr>
          <w:rFonts w:ascii="宋体" w:eastAsia="宋体" w:hAnsi="宋体" w:cs="宋体" w:hint="eastAsia"/>
          <w:sz w:val="24"/>
        </w:rPr>
        <w:t>规</w:t>
      </w:r>
      <w:proofErr w:type="gramEnd"/>
      <w:r>
        <w:rPr>
          <w:rFonts w:ascii="宋体" w:eastAsia="宋体" w:hAnsi="宋体" w:cs="宋体" w:hint="eastAsia"/>
          <w:sz w:val="24"/>
        </w:rPr>
        <w:t>培训与教育等；</w:t>
      </w:r>
    </w:p>
    <w:p w14:paraId="5B241D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（三）审核评价商业银行各项政策、程序和操作指南的合</w:t>
      </w:r>
      <w:proofErr w:type="gramStart"/>
      <w:r>
        <w:rPr>
          <w:rFonts w:ascii="宋体" w:eastAsia="宋体" w:hAnsi="宋体" w:cs="宋体" w:hint="eastAsia"/>
          <w:sz w:val="24"/>
        </w:rPr>
        <w:t>规</w:t>
      </w:r>
      <w:proofErr w:type="gramEnd"/>
      <w:r>
        <w:rPr>
          <w:rFonts w:ascii="宋体" w:eastAsia="宋体" w:hAnsi="宋体" w:cs="宋体" w:hint="eastAsia"/>
          <w:sz w:val="24"/>
        </w:rPr>
        <w:t>性，组织、协调和督促各业务条线和内部控制部门对各项政策、程序和操作指南进行梳理和修订，确保各项政策、程序和操作指南符合法律、规则和准则的要求；</w:t>
      </w:r>
    </w:p>
    <w:p w14:paraId="137DC3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（四）协助相关培训和教育部门对员工进行合</w:t>
      </w:r>
      <w:proofErr w:type="gramStart"/>
      <w:r>
        <w:rPr>
          <w:rFonts w:ascii="宋体" w:eastAsia="宋体" w:hAnsi="宋体" w:cs="宋体" w:hint="eastAsia"/>
          <w:sz w:val="24"/>
        </w:rPr>
        <w:t>规</w:t>
      </w:r>
      <w:proofErr w:type="gramEnd"/>
      <w:r>
        <w:rPr>
          <w:rFonts w:ascii="宋体" w:eastAsia="宋体" w:hAnsi="宋体" w:cs="宋体" w:hint="eastAsia"/>
          <w:sz w:val="24"/>
        </w:rPr>
        <w:t>培训，包括新员工的合</w:t>
      </w:r>
      <w:proofErr w:type="gramStart"/>
      <w:r>
        <w:rPr>
          <w:rFonts w:ascii="宋体" w:eastAsia="宋体" w:hAnsi="宋体" w:cs="宋体" w:hint="eastAsia"/>
          <w:sz w:val="24"/>
        </w:rPr>
        <w:t>规</w:t>
      </w:r>
      <w:proofErr w:type="gramEnd"/>
      <w:r>
        <w:rPr>
          <w:rFonts w:ascii="宋体" w:eastAsia="宋体" w:hAnsi="宋体" w:cs="宋体" w:hint="eastAsia"/>
          <w:sz w:val="24"/>
        </w:rPr>
        <w:t>培训，以及所有员工的定期合</w:t>
      </w:r>
      <w:proofErr w:type="gramStart"/>
      <w:r>
        <w:rPr>
          <w:rFonts w:ascii="宋体" w:eastAsia="宋体" w:hAnsi="宋体" w:cs="宋体" w:hint="eastAsia"/>
          <w:sz w:val="24"/>
        </w:rPr>
        <w:t>规</w:t>
      </w:r>
      <w:proofErr w:type="gramEnd"/>
      <w:r>
        <w:rPr>
          <w:rFonts w:ascii="宋体" w:eastAsia="宋体" w:hAnsi="宋体" w:cs="宋体" w:hint="eastAsia"/>
          <w:sz w:val="24"/>
        </w:rPr>
        <w:t>培训，并成为员工咨询有关合</w:t>
      </w:r>
      <w:proofErr w:type="gramStart"/>
      <w:r>
        <w:rPr>
          <w:rFonts w:ascii="宋体" w:eastAsia="宋体" w:hAnsi="宋体" w:cs="宋体" w:hint="eastAsia"/>
          <w:sz w:val="24"/>
        </w:rPr>
        <w:t>规</w:t>
      </w:r>
      <w:proofErr w:type="gramEnd"/>
      <w:r>
        <w:rPr>
          <w:rFonts w:ascii="宋体" w:eastAsia="宋体" w:hAnsi="宋体" w:cs="宋体" w:hint="eastAsia"/>
          <w:sz w:val="24"/>
        </w:rPr>
        <w:t>问题的内部联络部门；</w:t>
      </w:r>
    </w:p>
    <w:p w14:paraId="5ACC15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（五）组织制定合</w:t>
      </w:r>
      <w:proofErr w:type="gramStart"/>
      <w:r>
        <w:rPr>
          <w:rFonts w:ascii="宋体" w:eastAsia="宋体" w:hAnsi="宋体" w:cs="宋体" w:hint="eastAsia"/>
          <w:sz w:val="24"/>
        </w:rPr>
        <w:t>规</w:t>
      </w:r>
      <w:proofErr w:type="gramEnd"/>
      <w:r>
        <w:rPr>
          <w:rFonts w:ascii="宋体" w:eastAsia="宋体" w:hAnsi="宋体" w:cs="宋体" w:hint="eastAsia"/>
          <w:sz w:val="24"/>
        </w:rPr>
        <w:t>管理程序以及合</w:t>
      </w:r>
      <w:proofErr w:type="gramStart"/>
      <w:r>
        <w:rPr>
          <w:rFonts w:ascii="宋体" w:eastAsia="宋体" w:hAnsi="宋体" w:cs="宋体" w:hint="eastAsia"/>
          <w:sz w:val="24"/>
        </w:rPr>
        <w:t>规</w:t>
      </w:r>
      <w:proofErr w:type="gramEnd"/>
      <w:r>
        <w:rPr>
          <w:rFonts w:ascii="宋体" w:eastAsia="宋体" w:hAnsi="宋体" w:cs="宋体" w:hint="eastAsia"/>
          <w:sz w:val="24"/>
        </w:rPr>
        <w:t>手册、员工行为准则等合</w:t>
      </w:r>
      <w:proofErr w:type="gramStart"/>
      <w:r>
        <w:rPr>
          <w:rFonts w:ascii="宋体" w:eastAsia="宋体" w:hAnsi="宋体" w:cs="宋体" w:hint="eastAsia"/>
          <w:sz w:val="24"/>
        </w:rPr>
        <w:t>规</w:t>
      </w:r>
      <w:proofErr w:type="gramEnd"/>
      <w:r>
        <w:rPr>
          <w:rFonts w:ascii="宋体" w:eastAsia="宋体" w:hAnsi="宋体" w:cs="宋体" w:hint="eastAsia"/>
          <w:sz w:val="24"/>
        </w:rPr>
        <w:t>指南，并评估合</w:t>
      </w:r>
      <w:proofErr w:type="gramStart"/>
      <w:r>
        <w:rPr>
          <w:rFonts w:ascii="宋体" w:eastAsia="宋体" w:hAnsi="宋体" w:cs="宋体" w:hint="eastAsia"/>
          <w:sz w:val="24"/>
        </w:rPr>
        <w:t>规</w:t>
      </w:r>
      <w:proofErr w:type="gramEnd"/>
      <w:r>
        <w:rPr>
          <w:rFonts w:ascii="宋体" w:eastAsia="宋体" w:hAnsi="宋体" w:cs="宋体" w:hint="eastAsia"/>
          <w:sz w:val="24"/>
        </w:rPr>
        <w:t>管理程序和合</w:t>
      </w:r>
      <w:proofErr w:type="gramStart"/>
      <w:r>
        <w:rPr>
          <w:rFonts w:ascii="宋体" w:eastAsia="宋体" w:hAnsi="宋体" w:cs="宋体" w:hint="eastAsia"/>
          <w:sz w:val="24"/>
        </w:rPr>
        <w:t>规</w:t>
      </w:r>
      <w:proofErr w:type="gramEnd"/>
      <w:r>
        <w:rPr>
          <w:rFonts w:ascii="宋体" w:eastAsia="宋体" w:hAnsi="宋体" w:cs="宋体" w:hint="eastAsia"/>
          <w:sz w:val="24"/>
        </w:rPr>
        <w:t>指南的适当性，为员工恰当执行法律、规则和准则提供指导；</w:t>
      </w:r>
    </w:p>
    <w:p w14:paraId="6250DF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（六）积极主动地识别和评估与商业银行经营活动相关的合</w:t>
      </w:r>
      <w:proofErr w:type="gramStart"/>
      <w:r>
        <w:rPr>
          <w:rFonts w:ascii="宋体" w:eastAsia="宋体" w:hAnsi="宋体" w:cs="宋体" w:hint="eastAsia"/>
          <w:sz w:val="24"/>
        </w:rPr>
        <w:t>规</w:t>
      </w:r>
      <w:proofErr w:type="gramEnd"/>
      <w:r>
        <w:rPr>
          <w:rFonts w:ascii="宋体" w:eastAsia="宋体" w:hAnsi="宋体" w:cs="宋体" w:hint="eastAsia"/>
          <w:sz w:val="24"/>
        </w:rPr>
        <w:t>风险，包括为新产品和新业务的开发提供必要的合</w:t>
      </w:r>
      <w:proofErr w:type="gramStart"/>
      <w:r>
        <w:rPr>
          <w:rFonts w:ascii="宋体" w:eastAsia="宋体" w:hAnsi="宋体" w:cs="宋体" w:hint="eastAsia"/>
          <w:sz w:val="24"/>
        </w:rPr>
        <w:t>规</w:t>
      </w:r>
      <w:proofErr w:type="gramEnd"/>
      <w:r>
        <w:rPr>
          <w:rFonts w:ascii="宋体" w:eastAsia="宋体" w:hAnsi="宋体" w:cs="宋体" w:hint="eastAsia"/>
          <w:sz w:val="24"/>
        </w:rPr>
        <w:t>性审核和测试，识别和评估新业务方式的拓展、新客户关系的建立以及客户关系的性质发生重大变化等所产生的合</w:t>
      </w:r>
      <w:proofErr w:type="gramStart"/>
      <w:r>
        <w:rPr>
          <w:rFonts w:ascii="宋体" w:eastAsia="宋体" w:hAnsi="宋体" w:cs="宋体" w:hint="eastAsia"/>
          <w:sz w:val="24"/>
        </w:rPr>
        <w:t>规</w:t>
      </w:r>
      <w:proofErr w:type="gramEnd"/>
      <w:r>
        <w:rPr>
          <w:rFonts w:ascii="宋体" w:eastAsia="宋体" w:hAnsi="宋体" w:cs="宋体" w:hint="eastAsia"/>
          <w:sz w:val="24"/>
        </w:rPr>
        <w:t>风险；</w:t>
      </w:r>
    </w:p>
    <w:p w14:paraId="5387FB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（七）收集、筛选可能预示潜在合</w:t>
      </w:r>
      <w:proofErr w:type="gramStart"/>
      <w:r>
        <w:rPr>
          <w:rFonts w:ascii="宋体" w:eastAsia="宋体" w:hAnsi="宋体" w:cs="宋体" w:hint="eastAsia"/>
          <w:sz w:val="24"/>
        </w:rPr>
        <w:t>规</w:t>
      </w:r>
      <w:proofErr w:type="gramEnd"/>
      <w:r>
        <w:rPr>
          <w:rFonts w:ascii="宋体" w:eastAsia="宋体" w:hAnsi="宋体" w:cs="宋体" w:hint="eastAsia"/>
          <w:sz w:val="24"/>
        </w:rPr>
        <w:t>问题的数据，如消费者投诉的增长数、异常交易等，建立合</w:t>
      </w:r>
      <w:proofErr w:type="gramStart"/>
      <w:r>
        <w:rPr>
          <w:rFonts w:ascii="宋体" w:eastAsia="宋体" w:hAnsi="宋体" w:cs="宋体" w:hint="eastAsia"/>
          <w:sz w:val="24"/>
        </w:rPr>
        <w:t>规</w:t>
      </w:r>
      <w:proofErr w:type="gramEnd"/>
      <w:r>
        <w:rPr>
          <w:rFonts w:ascii="宋体" w:eastAsia="宋体" w:hAnsi="宋体" w:cs="宋体" w:hint="eastAsia"/>
          <w:sz w:val="24"/>
        </w:rPr>
        <w:t>风险监测指标，按照风险矩阵衡量合</w:t>
      </w:r>
      <w:proofErr w:type="gramStart"/>
      <w:r>
        <w:rPr>
          <w:rFonts w:ascii="宋体" w:eastAsia="宋体" w:hAnsi="宋体" w:cs="宋体" w:hint="eastAsia"/>
          <w:sz w:val="24"/>
        </w:rPr>
        <w:t>规</w:t>
      </w:r>
      <w:proofErr w:type="gramEnd"/>
      <w:r>
        <w:rPr>
          <w:rFonts w:ascii="宋体" w:eastAsia="宋体" w:hAnsi="宋体" w:cs="宋体" w:hint="eastAsia"/>
          <w:sz w:val="24"/>
        </w:rPr>
        <w:t>风险发生的可能性和影响，确定合</w:t>
      </w:r>
      <w:proofErr w:type="gramStart"/>
      <w:r>
        <w:rPr>
          <w:rFonts w:ascii="宋体" w:eastAsia="宋体" w:hAnsi="宋体" w:cs="宋体" w:hint="eastAsia"/>
          <w:sz w:val="24"/>
        </w:rPr>
        <w:t>规</w:t>
      </w:r>
      <w:proofErr w:type="gramEnd"/>
      <w:r>
        <w:rPr>
          <w:rFonts w:ascii="宋体" w:eastAsia="宋体" w:hAnsi="宋体" w:cs="宋体" w:hint="eastAsia"/>
          <w:sz w:val="24"/>
        </w:rPr>
        <w:t>风险的优先考虑序列；</w:t>
      </w:r>
    </w:p>
    <w:p w14:paraId="22BC21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（八）实施充分且有代表性的合</w:t>
      </w:r>
      <w:proofErr w:type="gramStart"/>
      <w:r>
        <w:rPr>
          <w:rFonts w:ascii="宋体" w:eastAsia="宋体" w:hAnsi="宋体" w:cs="宋体" w:hint="eastAsia"/>
          <w:sz w:val="24"/>
        </w:rPr>
        <w:t>规</w:t>
      </w:r>
      <w:proofErr w:type="gramEnd"/>
      <w:r>
        <w:rPr>
          <w:rFonts w:ascii="宋体" w:eastAsia="宋体" w:hAnsi="宋体" w:cs="宋体" w:hint="eastAsia"/>
          <w:sz w:val="24"/>
        </w:rPr>
        <w:t>风险评估和测试，包括通过现场审核对各项政策和程序的合</w:t>
      </w:r>
      <w:proofErr w:type="gramStart"/>
      <w:r>
        <w:rPr>
          <w:rFonts w:ascii="宋体" w:eastAsia="宋体" w:hAnsi="宋体" w:cs="宋体" w:hint="eastAsia"/>
          <w:sz w:val="24"/>
        </w:rPr>
        <w:t>规</w:t>
      </w:r>
      <w:proofErr w:type="gramEnd"/>
      <w:r>
        <w:rPr>
          <w:rFonts w:ascii="宋体" w:eastAsia="宋体" w:hAnsi="宋体" w:cs="宋体" w:hint="eastAsia"/>
          <w:sz w:val="24"/>
        </w:rPr>
        <w:t>性进行测试，询问政策和程序存在的缺陷，并进行相应的调查。合</w:t>
      </w:r>
      <w:proofErr w:type="gramStart"/>
      <w:r>
        <w:rPr>
          <w:rFonts w:ascii="宋体" w:eastAsia="宋体" w:hAnsi="宋体" w:cs="宋体" w:hint="eastAsia"/>
          <w:sz w:val="24"/>
        </w:rPr>
        <w:t>规</w:t>
      </w:r>
      <w:proofErr w:type="gramEnd"/>
      <w:r>
        <w:rPr>
          <w:rFonts w:ascii="宋体" w:eastAsia="宋体" w:hAnsi="宋体" w:cs="宋体" w:hint="eastAsia"/>
          <w:sz w:val="24"/>
        </w:rPr>
        <w:t>性测试结果应按照商业银行的内部风险管理程序，通过合</w:t>
      </w:r>
      <w:proofErr w:type="gramStart"/>
      <w:r>
        <w:rPr>
          <w:rFonts w:ascii="宋体" w:eastAsia="宋体" w:hAnsi="宋体" w:cs="宋体" w:hint="eastAsia"/>
          <w:sz w:val="24"/>
        </w:rPr>
        <w:t>规</w:t>
      </w:r>
      <w:proofErr w:type="gramEnd"/>
      <w:r>
        <w:rPr>
          <w:rFonts w:ascii="宋体" w:eastAsia="宋体" w:hAnsi="宋体" w:cs="宋体" w:hint="eastAsia"/>
          <w:sz w:val="24"/>
        </w:rPr>
        <w:t>风险报告路线向上报告，以确保各项政策和程序符合法律、规则和准则的要求；</w:t>
      </w:r>
    </w:p>
    <w:p w14:paraId="265A32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（九）保持与监管机构日常的工作联系，跟踪和评估监管意见和监管要求的</w:t>
      </w:r>
      <w:r>
        <w:rPr>
          <w:rFonts w:ascii="宋体" w:eastAsia="宋体" w:hAnsi="宋体" w:cs="宋体" w:hint="eastAsia"/>
          <w:sz w:val="24"/>
        </w:rPr>
        <w:lastRenderedPageBreak/>
        <w:t>落实情况。</w:t>
      </w:r>
    </w:p>
    <w:p w14:paraId="6D4C65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商业银行应为合</w:t>
      </w:r>
      <w:proofErr w:type="gramStart"/>
      <w:r>
        <w:rPr>
          <w:rFonts w:ascii="宋体" w:eastAsia="宋体" w:hAnsi="宋体" w:cs="宋体" w:hint="eastAsia"/>
          <w:sz w:val="24"/>
        </w:rPr>
        <w:t>规</w:t>
      </w:r>
      <w:proofErr w:type="gramEnd"/>
      <w:r>
        <w:rPr>
          <w:rFonts w:ascii="宋体" w:eastAsia="宋体" w:hAnsi="宋体" w:cs="宋体" w:hint="eastAsia"/>
          <w:sz w:val="24"/>
        </w:rPr>
        <w:t>管理部门配备有效履行合</w:t>
      </w:r>
      <w:proofErr w:type="gramStart"/>
      <w:r>
        <w:rPr>
          <w:rFonts w:ascii="宋体" w:eastAsia="宋体" w:hAnsi="宋体" w:cs="宋体" w:hint="eastAsia"/>
          <w:sz w:val="24"/>
        </w:rPr>
        <w:t>规</w:t>
      </w:r>
      <w:proofErr w:type="gramEnd"/>
      <w:r>
        <w:rPr>
          <w:rFonts w:ascii="宋体" w:eastAsia="宋体" w:hAnsi="宋体" w:cs="宋体" w:hint="eastAsia"/>
          <w:sz w:val="24"/>
        </w:rPr>
        <w:t>管理职能的资源。合</w:t>
      </w:r>
      <w:proofErr w:type="gramStart"/>
      <w:r>
        <w:rPr>
          <w:rFonts w:ascii="宋体" w:eastAsia="宋体" w:hAnsi="宋体" w:cs="宋体" w:hint="eastAsia"/>
          <w:sz w:val="24"/>
        </w:rPr>
        <w:t>规</w:t>
      </w:r>
      <w:proofErr w:type="gramEnd"/>
      <w:r>
        <w:rPr>
          <w:rFonts w:ascii="宋体" w:eastAsia="宋体" w:hAnsi="宋体" w:cs="宋体" w:hint="eastAsia"/>
          <w:sz w:val="24"/>
        </w:rPr>
        <w:t>管理人员应具备与履行职责相匹配的资质、经验、专业技能和个人素质。</w:t>
      </w:r>
    </w:p>
    <w:p w14:paraId="26EED3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商业银行应定期为合</w:t>
      </w:r>
      <w:proofErr w:type="gramStart"/>
      <w:r>
        <w:rPr>
          <w:rFonts w:ascii="宋体" w:eastAsia="宋体" w:hAnsi="宋体" w:cs="宋体" w:hint="eastAsia"/>
          <w:sz w:val="24"/>
        </w:rPr>
        <w:t>规</w:t>
      </w:r>
      <w:proofErr w:type="gramEnd"/>
      <w:r>
        <w:rPr>
          <w:rFonts w:ascii="宋体" w:eastAsia="宋体" w:hAnsi="宋体" w:cs="宋体" w:hint="eastAsia"/>
          <w:sz w:val="24"/>
        </w:rPr>
        <w:t>管理人员提供系统的专业技能培训，尤其是在正确把握法律、规则和准则的最新发展及其对商业银行经营的影响等方面的技能培训。</w:t>
      </w:r>
    </w:p>
    <w:p w14:paraId="333B25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商业银行各业务条线和分支机构的负责人应对本条线和本机构经营活动的合</w:t>
      </w:r>
      <w:proofErr w:type="gramStart"/>
      <w:r>
        <w:rPr>
          <w:rFonts w:ascii="宋体" w:eastAsia="宋体" w:hAnsi="宋体" w:cs="宋体" w:hint="eastAsia"/>
          <w:sz w:val="24"/>
        </w:rPr>
        <w:t>规性负</w:t>
      </w:r>
      <w:proofErr w:type="gramEnd"/>
      <w:r>
        <w:rPr>
          <w:rFonts w:ascii="宋体" w:eastAsia="宋体" w:hAnsi="宋体" w:cs="宋体" w:hint="eastAsia"/>
          <w:sz w:val="24"/>
        </w:rPr>
        <w:t>首要责任。</w:t>
      </w:r>
    </w:p>
    <w:p w14:paraId="7F0D47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商业银行应根据业务条线和分支机构的经营范围、业务规模设立相应的合</w:t>
      </w:r>
      <w:proofErr w:type="gramStart"/>
      <w:r>
        <w:rPr>
          <w:rFonts w:ascii="宋体" w:eastAsia="宋体" w:hAnsi="宋体" w:cs="宋体" w:hint="eastAsia"/>
          <w:sz w:val="24"/>
        </w:rPr>
        <w:t>规</w:t>
      </w:r>
      <w:proofErr w:type="gramEnd"/>
      <w:r>
        <w:rPr>
          <w:rFonts w:ascii="宋体" w:eastAsia="宋体" w:hAnsi="宋体" w:cs="宋体" w:hint="eastAsia"/>
          <w:sz w:val="24"/>
        </w:rPr>
        <w:t>管理部门。</w:t>
      </w:r>
    </w:p>
    <w:p w14:paraId="3B8835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各业务条线和分支机构合</w:t>
      </w:r>
      <w:proofErr w:type="gramStart"/>
      <w:r>
        <w:rPr>
          <w:rFonts w:ascii="宋体" w:eastAsia="宋体" w:hAnsi="宋体" w:cs="宋体" w:hint="eastAsia"/>
          <w:sz w:val="24"/>
        </w:rPr>
        <w:t>规</w:t>
      </w:r>
      <w:proofErr w:type="gramEnd"/>
      <w:r>
        <w:rPr>
          <w:rFonts w:ascii="宋体" w:eastAsia="宋体" w:hAnsi="宋体" w:cs="宋体" w:hint="eastAsia"/>
          <w:sz w:val="24"/>
        </w:rPr>
        <w:t>管理部门应根据合</w:t>
      </w:r>
      <w:proofErr w:type="gramStart"/>
      <w:r>
        <w:rPr>
          <w:rFonts w:ascii="宋体" w:eastAsia="宋体" w:hAnsi="宋体" w:cs="宋体" w:hint="eastAsia"/>
          <w:sz w:val="24"/>
        </w:rPr>
        <w:t>规</w:t>
      </w:r>
      <w:proofErr w:type="gramEnd"/>
      <w:r>
        <w:rPr>
          <w:rFonts w:ascii="宋体" w:eastAsia="宋体" w:hAnsi="宋体" w:cs="宋体" w:hint="eastAsia"/>
          <w:sz w:val="24"/>
        </w:rPr>
        <w:t>管理程序主动识别和管理合</w:t>
      </w:r>
      <w:proofErr w:type="gramStart"/>
      <w:r>
        <w:rPr>
          <w:rFonts w:ascii="宋体" w:eastAsia="宋体" w:hAnsi="宋体" w:cs="宋体" w:hint="eastAsia"/>
          <w:sz w:val="24"/>
        </w:rPr>
        <w:t>规</w:t>
      </w:r>
      <w:proofErr w:type="gramEnd"/>
      <w:r>
        <w:rPr>
          <w:rFonts w:ascii="宋体" w:eastAsia="宋体" w:hAnsi="宋体" w:cs="宋体" w:hint="eastAsia"/>
          <w:sz w:val="24"/>
        </w:rPr>
        <w:t>风险，按照合</w:t>
      </w:r>
      <w:proofErr w:type="gramStart"/>
      <w:r>
        <w:rPr>
          <w:rFonts w:ascii="宋体" w:eastAsia="宋体" w:hAnsi="宋体" w:cs="宋体" w:hint="eastAsia"/>
          <w:sz w:val="24"/>
        </w:rPr>
        <w:t>规</w:t>
      </w:r>
      <w:proofErr w:type="gramEnd"/>
      <w:r>
        <w:rPr>
          <w:rFonts w:ascii="宋体" w:eastAsia="宋体" w:hAnsi="宋体" w:cs="宋体" w:hint="eastAsia"/>
          <w:sz w:val="24"/>
        </w:rPr>
        <w:t>风险的报告路线和报告要求及时报告。</w:t>
      </w:r>
    </w:p>
    <w:p w14:paraId="73889B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商业银行应建立合</w:t>
      </w:r>
      <w:proofErr w:type="gramStart"/>
      <w:r>
        <w:rPr>
          <w:rFonts w:ascii="宋体" w:eastAsia="宋体" w:hAnsi="宋体" w:cs="宋体" w:hint="eastAsia"/>
          <w:sz w:val="24"/>
        </w:rPr>
        <w:t>规</w:t>
      </w:r>
      <w:proofErr w:type="gramEnd"/>
      <w:r>
        <w:rPr>
          <w:rFonts w:ascii="宋体" w:eastAsia="宋体" w:hAnsi="宋体" w:cs="宋体" w:hint="eastAsia"/>
          <w:sz w:val="24"/>
        </w:rPr>
        <w:t>管理部门与风险管理部门在合</w:t>
      </w:r>
      <w:proofErr w:type="gramStart"/>
      <w:r>
        <w:rPr>
          <w:rFonts w:ascii="宋体" w:eastAsia="宋体" w:hAnsi="宋体" w:cs="宋体" w:hint="eastAsia"/>
          <w:sz w:val="24"/>
        </w:rPr>
        <w:t>规</w:t>
      </w:r>
      <w:proofErr w:type="gramEnd"/>
      <w:r>
        <w:rPr>
          <w:rFonts w:ascii="宋体" w:eastAsia="宋体" w:hAnsi="宋体" w:cs="宋体" w:hint="eastAsia"/>
          <w:sz w:val="24"/>
        </w:rPr>
        <w:t>管理方面的协作机制。</w:t>
      </w:r>
    </w:p>
    <w:p w14:paraId="5ACF2E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商业银行合</w:t>
      </w:r>
      <w:proofErr w:type="gramStart"/>
      <w:r>
        <w:rPr>
          <w:rFonts w:ascii="宋体" w:eastAsia="宋体" w:hAnsi="宋体" w:cs="宋体" w:hint="eastAsia"/>
          <w:sz w:val="24"/>
        </w:rPr>
        <w:t>规</w:t>
      </w:r>
      <w:proofErr w:type="gramEnd"/>
      <w:r>
        <w:rPr>
          <w:rFonts w:ascii="宋体" w:eastAsia="宋体" w:hAnsi="宋体" w:cs="宋体" w:hint="eastAsia"/>
          <w:sz w:val="24"/>
        </w:rPr>
        <w:t>管理职能应与内部审计职能分离，合</w:t>
      </w:r>
      <w:proofErr w:type="gramStart"/>
      <w:r>
        <w:rPr>
          <w:rFonts w:ascii="宋体" w:eastAsia="宋体" w:hAnsi="宋体" w:cs="宋体" w:hint="eastAsia"/>
          <w:sz w:val="24"/>
        </w:rPr>
        <w:t>规</w:t>
      </w:r>
      <w:proofErr w:type="gramEnd"/>
      <w:r>
        <w:rPr>
          <w:rFonts w:ascii="宋体" w:eastAsia="宋体" w:hAnsi="宋体" w:cs="宋体" w:hint="eastAsia"/>
          <w:sz w:val="24"/>
        </w:rPr>
        <w:t>管理职能的履行情况应受到内部审计部门定期的独立评价。</w:t>
      </w:r>
    </w:p>
    <w:p w14:paraId="59272D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内部审计部门应负责商业银行各项经营活动的合</w:t>
      </w:r>
      <w:proofErr w:type="gramStart"/>
      <w:r>
        <w:rPr>
          <w:rFonts w:ascii="宋体" w:eastAsia="宋体" w:hAnsi="宋体" w:cs="宋体" w:hint="eastAsia"/>
          <w:sz w:val="24"/>
        </w:rPr>
        <w:t>规</w:t>
      </w:r>
      <w:proofErr w:type="gramEnd"/>
      <w:r>
        <w:rPr>
          <w:rFonts w:ascii="宋体" w:eastAsia="宋体" w:hAnsi="宋体" w:cs="宋体" w:hint="eastAsia"/>
          <w:sz w:val="24"/>
        </w:rPr>
        <w:t>性审计。内部审计方案应包括合</w:t>
      </w:r>
      <w:proofErr w:type="gramStart"/>
      <w:r>
        <w:rPr>
          <w:rFonts w:ascii="宋体" w:eastAsia="宋体" w:hAnsi="宋体" w:cs="宋体" w:hint="eastAsia"/>
          <w:sz w:val="24"/>
        </w:rPr>
        <w:t>规</w:t>
      </w:r>
      <w:proofErr w:type="gramEnd"/>
      <w:r>
        <w:rPr>
          <w:rFonts w:ascii="宋体" w:eastAsia="宋体" w:hAnsi="宋体" w:cs="宋体" w:hint="eastAsia"/>
          <w:sz w:val="24"/>
        </w:rPr>
        <w:t>管理职能适当性和有效性的审计评价，内部审计的风险评估方法应包括对合</w:t>
      </w:r>
      <w:proofErr w:type="gramStart"/>
      <w:r>
        <w:rPr>
          <w:rFonts w:ascii="宋体" w:eastAsia="宋体" w:hAnsi="宋体" w:cs="宋体" w:hint="eastAsia"/>
          <w:sz w:val="24"/>
        </w:rPr>
        <w:t>规</w:t>
      </w:r>
      <w:proofErr w:type="gramEnd"/>
      <w:r>
        <w:rPr>
          <w:rFonts w:ascii="宋体" w:eastAsia="宋体" w:hAnsi="宋体" w:cs="宋体" w:hint="eastAsia"/>
          <w:sz w:val="24"/>
        </w:rPr>
        <w:t>风险的评估。</w:t>
      </w:r>
    </w:p>
    <w:p w14:paraId="4F0579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商业银行应明确合</w:t>
      </w:r>
      <w:proofErr w:type="gramStart"/>
      <w:r>
        <w:rPr>
          <w:rFonts w:ascii="宋体" w:eastAsia="宋体" w:hAnsi="宋体" w:cs="宋体" w:hint="eastAsia"/>
          <w:sz w:val="24"/>
        </w:rPr>
        <w:t>规</w:t>
      </w:r>
      <w:proofErr w:type="gramEnd"/>
      <w:r>
        <w:rPr>
          <w:rFonts w:ascii="宋体" w:eastAsia="宋体" w:hAnsi="宋体" w:cs="宋体" w:hint="eastAsia"/>
          <w:sz w:val="24"/>
        </w:rPr>
        <w:t>管理部门与内部审计部门在合</w:t>
      </w:r>
      <w:proofErr w:type="gramStart"/>
      <w:r>
        <w:rPr>
          <w:rFonts w:ascii="宋体" w:eastAsia="宋体" w:hAnsi="宋体" w:cs="宋体" w:hint="eastAsia"/>
          <w:sz w:val="24"/>
        </w:rPr>
        <w:t>规</w:t>
      </w:r>
      <w:proofErr w:type="gramEnd"/>
      <w:r>
        <w:rPr>
          <w:rFonts w:ascii="宋体" w:eastAsia="宋体" w:hAnsi="宋体" w:cs="宋体" w:hint="eastAsia"/>
          <w:sz w:val="24"/>
        </w:rPr>
        <w:t>风险评估和合</w:t>
      </w:r>
      <w:proofErr w:type="gramStart"/>
      <w:r>
        <w:rPr>
          <w:rFonts w:ascii="宋体" w:eastAsia="宋体" w:hAnsi="宋体" w:cs="宋体" w:hint="eastAsia"/>
          <w:sz w:val="24"/>
        </w:rPr>
        <w:t>规</w:t>
      </w:r>
      <w:proofErr w:type="gramEnd"/>
      <w:r>
        <w:rPr>
          <w:rFonts w:ascii="宋体" w:eastAsia="宋体" w:hAnsi="宋体" w:cs="宋体" w:hint="eastAsia"/>
          <w:sz w:val="24"/>
        </w:rPr>
        <w:t>性测试方面的职责。内部审计部门应随时将合</w:t>
      </w:r>
      <w:proofErr w:type="gramStart"/>
      <w:r>
        <w:rPr>
          <w:rFonts w:ascii="宋体" w:eastAsia="宋体" w:hAnsi="宋体" w:cs="宋体" w:hint="eastAsia"/>
          <w:sz w:val="24"/>
        </w:rPr>
        <w:t>规</w:t>
      </w:r>
      <w:proofErr w:type="gramEnd"/>
      <w:r>
        <w:rPr>
          <w:rFonts w:ascii="宋体" w:eastAsia="宋体" w:hAnsi="宋体" w:cs="宋体" w:hint="eastAsia"/>
          <w:sz w:val="24"/>
        </w:rPr>
        <w:t>性审计结果告知合</w:t>
      </w:r>
      <w:proofErr w:type="gramStart"/>
      <w:r>
        <w:rPr>
          <w:rFonts w:ascii="宋体" w:eastAsia="宋体" w:hAnsi="宋体" w:cs="宋体" w:hint="eastAsia"/>
          <w:sz w:val="24"/>
        </w:rPr>
        <w:t>规</w:t>
      </w:r>
      <w:proofErr w:type="gramEnd"/>
      <w:r>
        <w:rPr>
          <w:rFonts w:ascii="宋体" w:eastAsia="宋体" w:hAnsi="宋体" w:cs="宋体" w:hint="eastAsia"/>
          <w:sz w:val="24"/>
        </w:rPr>
        <w:t>负责人。</w:t>
      </w:r>
    </w:p>
    <w:p w14:paraId="200476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商业银行应明确合</w:t>
      </w:r>
      <w:proofErr w:type="gramStart"/>
      <w:r>
        <w:rPr>
          <w:rFonts w:ascii="宋体" w:eastAsia="宋体" w:hAnsi="宋体" w:cs="宋体" w:hint="eastAsia"/>
          <w:sz w:val="24"/>
        </w:rPr>
        <w:t>规</w:t>
      </w:r>
      <w:proofErr w:type="gramEnd"/>
      <w:r>
        <w:rPr>
          <w:rFonts w:ascii="宋体" w:eastAsia="宋体" w:hAnsi="宋体" w:cs="宋体" w:hint="eastAsia"/>
          <w:sz w:val="24"/>
        </w:rPr>
        <w:t>风险报告路线以及合</w:t>
      </w:r>
      <w:proofErr w:type="gramStart"/>
      <w:r>
        <w:rPr>
          <w:rFonts w:ascii="宋体" w:eastAsia="宋体" w:hAnsi="宋体" w:cs="宋体" w:hint="eastAsia"/>
          <w:sz w:val="24"/>
        </w:rPr>
        <w:t>规</w:t>
      </w:r>
      <w:proofErr w:type="gramEnd"/>
      <w:r>
        <w:rPr>
          <w:rFonts w:ascii="宋体" w:eastAsia="宋体" w:hAnsi="宋体" w:cs="宋体" w:hint="eastAsia"/>
          <w:sz w:val="24"/>
        </w:rPr>
        <w:t>风险报告的要素、格式和频率。</w:t>
      </w:r>
    </w:p>
    <w:p w14:paraId="664896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商业银行境外分支机构或附属机构应加强合</w:t>
      </w:r>
      <w:proofErr w:type="gramStart"/>
      <w:r>
        <w:rPr>
          <w:rFonts w:ascii="宋体" w:eastAsia="宋体" w:hAnsi="宋体" w:cs="宋体" w:hint="eastAsia"/>
          <w:sz w:val="24"/>
        </w:rPr>
        <w:t>规</w:t>
      </w:r>
      <w:proofErr w:type="gramEnd"/>
      <w:r>
        <w:rPr>
          <w:rFonts w:ascii="宋体" w:eastAsia="宋体" w:hAnsi="宋体" w:cs="宋体" w:hint="eastAsia"/>
          <w:sz w:val="24"/>
        </w:rPr>
        <w:t>管理职能，合</w:t>
      </w:r>
      <w:proofErr w:type="gramStart"/>
      <w:r>
        <w:rPr>
          <w:rFonts w:ascii="宋体" w:eastAsia="宋体" w:hAnsi="宋体" w:cs="宋体" w:hint="eastAsia"/>
          <w:sz w:val="24"/>
        </w:rPr>
        <w:t>规</w:t>
      </w:r>
      <w:proofErr w:type="gramEnd"/>
      <w:r>
        <w:rPr>
          <w:rFonts w:ascii="宋体" w:eastAsia="宋体" w:hAnsi="宋体" w:cs="宋体" w:hint="eastAsia"/>
          <w:sz w:val="24"/>
        </w:rPr>
        <w:t>管理职能的组织结构应符合当地的法律和监管要求。</w:t>
      </w:r>
    </w:p>
    <w:p w14:paraId="09CAF7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董事会和高级管理层应对合</w:t>
      </w:r>
      <w:proofErr w:type="gramStart"/>
      <w:r>
        <w:rPr>
          <w:rFonts w:ascii="宋体" w:eastAsia="宋体" w:hAnsi="宋体" w:cs="宋体" w:hint="eastAsia"/>
          <w:sz w:val="24"/>
        </w:rPr>
        <w:t>规</w:t>
      </w:r>
      <w:proofErr w:type="gramEnd"/>
      <w:r>
        <w:rPr>
          <w:rFonts w:ascii="宋体" w:eastAsia="宋体" w:hAnsi="宋体" w:cs="宋体" w:hint="eastAsia"/>
          <w:sz w:val="24"/>
        </w:rPr>
        <w:t>管理部门工作的外包遵循法律、</w:t>
      </w:r>
      <w:r>
        <w:rPr>
          <w:rFonts w:ascii="宋体" w:eastAsia="宋体" w:hAnsi="宋体" w:cs="宋体" w:hint="eastAsia"/>
          <w:sz w:val="24"/>
        </w:rPr>
        <w:lastRenderedPageBreak/>
        <w:t>规则和准则负责。</w:t>
      </w:r>
    </w:p>
    <w:p w14:paraId="4A8877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商业银行应确保任何合</w:t>
      </w:r>
      <w:proofErr w:type="gramStart"/>
      <w:r>
        <w:rPr>
          <w:rFonts w:ascii="宋体" w:eastAsia="宋体" w:hAnsi="宋体" w:cs="宋体" w:hint="eastAsia"/>
          <w:sz w:val="24"/>
        </w:rPr>
        <w:t>规</w:t>
      </w:r>
      <w:proofErr w:type="gramEnd"/>
      <w:r>
        <w:rPr>
          <w:rFonts w:ascii="宋体" w:eastAsia="宋体" w:hAnsi="宋体" w:cs="宋体" w:hint="eastAsia"/>
          <w:sz w:val="24"/>
        </w:rPr>
        <w:t>管理部门工作的外包安排都受到合</w:t>
      </w:r>
      <w:proofErr w:type="gramStart"/>
      <w:r>
        <w:rPr>
          <w:rFonts w:ascii="宋体" w:eastAsia="宋体" w:hAnsi="宋体" w:cs="宋体" w:hint="eastAsia"/>
          <w:sz w:val="24"/>
        </w:rPr>
        <w:t>规</w:t>
      </w:r>
      <w:proofErr w:type="gramEnd"/>
      <w:r>
        <w:rPr>
          <w:rFonts w:ascii="宋体" w:eastAsia="宋体" w:hAnsi="宋体" w:cs="宋体" w:hint="eastAsia"/>
          <w:sz w:val="24"/>
        </w:rPr>
        <w:t>负责人的适当监督，不妨碍银监会的有效监管。</w:t>
      </w:r>
    </w:p>
    <w:p w14:paraId="704A28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合</w:t>
      </w:r>
      <w:proofErr w:type="gramStart"/>
      <w:r>
        <w:rPr>
          <w:rFonts w:ascii="宋体" w:eastAsia="宋体" w:hAnsi="宋体" w:cs="宋体" w:hint="eastAsia"/>
          <w:sz w:val="24"/>
        </w:rPr>
        <w:t>规</w:t>
      </w:r>
      <w:proofErr w:type="gramEnd"/>
      <w:r>
        <w:rPr>
          <w:rFonts w:ascii="宋体" w:eastAsia="宋体" w:hAnsi="宋体" w:cs="宋体" w:hint="eastAsia"/>
          <w:sz w:val="24"/>
        </w:rPr>
        <w:t>风险监管</w:t>
      </w:r>
    </w:p>
    <w:p w14:paraId="67FF6B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商业银行应及时将合</w:t>
      </w:r>
      <w:proofErr w:type="gramStart"/>
      <w:r>
        <w:rPr>
          <w:rFonts w:ascii="宋体" w:eastAsia="宋体" w:hAnsi="宋体" w:cs="宋体" w:hint="eastAsia"/>
          <w:sz w:val="24"/>
        </w:rPr>
        <w:t>规</w:t>
      </w:r>
      <w:proofErr w:type="gramEnd"/>
      <w:r>
        <w:rPr>
          <w:rFonts w:ascii="宋体" w:eastAsia="宋体" w:hAnsi="宋体" w:cs="宋体" w:hint="eastAsia"/>
          <w:sz w:val="24"/>
        </w:rPr>
        <w:t>政策、合</w:t>
      </w:r>
      <w:proofErr w:type="gramStart"/>
      <w:r>
        <w:rPr>
          <w:rFonts w:ascii="宋体" w:eastAsia="宋体" w:hAnsi="宋体" w:cs="宋体" w:hint="eastAsia"/>
          <w:sz w:val="24"/>
        </w:rPr>
        <w:t>规</w:t>
      </w:r>
      <w:proofErr w:type="gramEnd"/>
      <w:r>
        <w:rPr>
          <w:rFonts w:ascii="宋体" w:eastAsia="宋体" w:hAnsi="宋体" w:cs="宋体" w:hint="eastAsia"/>
          <w:sz w:val="24"/>
        </w:rPr>
        <w:t>管理程序和合</w:t>
      </w:r>
      <w:proofErr w:type="gramStart"/>
      <w:r>
        <w:rPr>
          <w:rFonts w:ascii="宋体" w:eastAsia="宋体" w:hAnsi="宋体" w:cs="宋体" w:hint="eastAsia"/>
          <w:sz w:val="24"/>
        </w:rPr>
        <w:t>规</w:t>
      </w:r>
      <w:proofErr w:type="gramEnd"/>
      <w:r>
        <w:rPr>
          <w:rFonts w:ascii="宋体" w:eastAsia="宋体" w:hAnsi="宋体" w:cs="宋体" w:hint="eastAsia"/>
          <w:sz w:val="24"/>
        </w:rPr>
        <w:t>指南等内部制度向银监会备案。</w:t>
      </w:r>
    </w:p>
    <w:p w14:paraId="4CDB04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商业银行应及时向银监会报送合</w:t>
      </w:r>
      <w:proofErr w:type="gramStart"/>
      <w:r>
        <w:rPr>
          <w:rFonts w:ascii="宋体" w:eastAsia="宋体" w:hAnsi="宋体" w:cs="宋体" w:hint="eastAsia"/>
          <w:sz w:val="24"/>
        </w:rPr>
        <w:t>规</w:t>
      </w:r>
      <w:proofErr w:type="gramEnd"/>
      <w:r>
        <w:rPr>
          <w:rFonts w:ascii="宋体" w:eastAsia="宋体" w:hAnsi="宋体" w:cs="宋体" w:hint="eastAsia"/>
          <w:sz w:val="24"/>
        </w:rPr>
        <w:t>风险管理计划和合</w:t>
      </w:r>
      <w:proofErr w:type="gramStart"/>
      <w:r>
        <w:rPr>
          <w:rFonts w:ascii="宋体" w:eastAsia="宋体" w:hAnsi="宋体" w:cs="宋体" w:hint="eastAsia"/>
          <w:sz w:val="24"/>
        </w:rPr>
        <w:t>规</w:t>
      </w:r>
      <w:proofErr w:type="gramEnd"/>
      <w:r>
        <w:rPr>
          <w:rFonts w:ascii="宋体" w:eastAsia="宋体" w:hAnsi="宋体" w:cs="宋体" w:hint="eastAsia"/>
          <w:sz w:val="24"/>
        </w:rPr>
        <w:t>风险评估报告。</w:t>
      </w:r>
    </w:p>
    <w:p w14:paraId="0936B0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商业银行发现重大违规事件应按照重大事项报告制度的规定向银监会报告。</w:t>
      </w:r>
    </w:p>
    <w:p w14:paraId="122E3D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商业银行任命合</w:t>
      </w:r>
      <w:proofErr w:type="gramStart"/>
      <w:r>
        <w:rPr>
          <w:rFonts w:ascii="宋体" w:eastAsia="宋体" w:hAnsi="宋体" w:cs="宋体" w:hint="eastAsia"/>
          <w:sz w:val="24"/>
        </w:rPr>
        <w:t>规</w:t>
      </w:r>
      <w:proofErr w:type="gramEnd"/>
      <w:r>
        <w:rPr>
          <w:rFonts w:ascii="宋体" w:eastAsia="宋体" w:hAnsi="宋体" w:cs="宋体" w:hint="eastAsia"/>
          <w:sz w:val="24"/>
        </w:rPr>
        <w:t>负责人，应按有关规定报告银监会。商业银行在合</w:t>
      </w:r>
      <w:proofErr w:type="gramStart"/>
      <w:r>
        <w:rPr>
          <w:rFonts w:ascii="宋体" w:eastAsia="宋体" w:hAnsi="宋体" w:cs="宋体" w:hint="eastAsia"/>
          <w:sz w:val="24"/>
        </w:rPr>
        <w:t>规</w:t>
      </w:r>
      <w:proofErr w:type="gramEnd"/>
      <w:r>
        <w:rPr>
          <w:rFonts w:ascii="宋体" w:eastAsia="宋体" w:hAnsi="宋体" w:cs="宋体" w:hint="eastAsia"/>
          <w:sz w:val="24"/>
        </w:rPr>
        <w:t>负责人离任后的十个工作日内，应向银监会报告离任原因等有关情况。</w:t>
      </w:r>
    </w:p>
    <w:p w14:paraId="13099D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银监会应定期对商业银行合</w:t>
      </w:r>
      <w:proofErr w:type="gramStart"/>
      <w:r>
        <w:rPr>
          <w:rFonts w:ascii="宋体" w:eastAsia="宋体" w:hAnsi="宋体" w:cs="宋体" w:hint="eastAsia"/>
          <w:sz w:val="24"/>
        </w:rPr>
        <w:t>规</w:t>
      </w:r>
      <w:proofErr w:type="gramEnd"/>
      <w:r>
        <w:rPr>
          <w:rFonts w:ascii="宋体" w:eastAsia="宋体" w:hAnsi="宋体" w:cs="宋体" w:hint="eastAsia"/>
          <w:sz w:val="24"/>
        </w:rPr>
        <w:t>风险管理的有效性进行评价，评价报告作为分类监管的重要依据。</w:t>
      </w:r>
    </w:p>
    <w:p w14:paraId="72ED69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银监会应根据商业银行的合</w:t>
      </w:r>
      <w:proofErr w:type="gramStart"/>
      <w:r>
        <w:rPr>
          <w:rFonts w:ascii="宋体" w:eastAsia="宋体" w:hAnsi="宋体" w:cs="宋体" w:hint="eastAsia"/>
          <w:sz w:val="24"/>
        </w:rPr>
        <w:t>规</w:t>
      </w:r>
      <w:proofErr w:type="gramEnd"/>
      <w:r>
        <w:rPr>
          <w:rFonts w:ascii="宋体" w:eastAsia="宋体" w:hAnsi="宋体" w:cs="宋体" w:hint="eastAsia"/>
          <w:sz w:val="24"/>
        </w:rPr>
        <w:t>记录及合</w:t>
      </w:r>
      <w:proofErr w:type="gramStart"/>
      <w:r>
        <w:rPr>
          <w:rFonts w:ascii="宋体" w:eastAsia="宋体" w:hAnsi="宋体" w:cs="宋体" w:hint="eastAsia"/>
          <w:sz w:val="24"/>
        </w:rPr>
        <w:t>规</w:t>
      </w:r>
      <w:proofErr w:type="gramEnd"/>
      <w:r>
        <w:rPr>
          <w:rFonts w:ascii="宋体" w:eastAsia="宋体" w:hAnsi="宋体" w:cs="宋体" w:hint="eastAsia"/>
          <w:sz w:val="24"/>
        </w:rPr>
        <w:t>风险管理评价报告，确定合</w:t>
      </w:r>
      <w:proofErr w:type="gramStart"/>
      <w:r>
        <w:rPr>
          <w:rFonts w:ascii="宋体" w:eastAsia="宋体" w:hAnsi="宋体" w:cs="宋体" w:hint="eastAsia"/>
          <w:sz w:val="24"/>
        </w:rPr>
        <w:t>规</w:t>
      </w:r>
      <w:proofErr w:type="gramEnd"/>
      <w:r>
        <w:rPr>
          <w:rFonts w:ascii="宋体" w:eastAsia="宋体" w:hAnsi="宋体" w:cs="宋体" w:hint="eastAsia"/>
          <w:sz w:val="24"/>
        </w:rPr>
        <w:t>风险现场检查的频率、范围和深度，检查的主要内容包括：</w:t>
      </w:r>
    </w:p>
    <w:p w14:paraId="18FD35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（一）商业银行合</w:t>
      </w:r>
      <w:proofErr w:type="gramStart"/>
      <w:r>
        <w:rPr>
          <w:rFonts w:ascii="宋体" w:eastAsia="宋体" w:hAnsi="宋体" w:cs="宋体" w:hint="eastAsia"/>
          <w:sz w:val="24"/>
        </w:rPr>
        <w:t>规</w:t>
      </w:r>
      <w:proofErr w:type="gramEnd"/>
      <w:r>
        <w:rPr>
          <w:rFonts w:ascii="宋体" w:eastAsia="宋体" w:hAnsi="宋体" w:cs="宋体" w:hint="eastAsia"/>
          <w:sz w:val="24"/>
        </w:rPr>
        <w:t>风险管理体系的适当性和有效性；</w:t>
      </w:r>
    </w:p>
    <w:p w14:paraId="450976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（二）商业银行董事会和高级管理层在合</w:t>
      </w:r>
      <w:proofErr w:type="gramStart"/>
      <w:r>
        <w:rPr>
          <w:rFonts w:ascii="宋体" w:eastAsia="宋体" w:hAnsi="宋体" w:cs="宋体" w:hint="eastAsia"/>
          <w:sz w:val="24"/>
        </w:rPr>
        <w:t>规</w:t>
      </w:r>
      <w:proofErr w:type="gramEnd"/>
      <w:r>
        <w:rPr>
          <w:rFonts w:ascii="宋体" w:eastAsia="宋体" w:hAnsi="宋体" w:cs="宋体" w:hint="eastAsia"/>
          <w:sz w:val="24"/>
        </w:rPr>
        <w:t>风险管理中的作用；</w:t>
      </w:r>
    </w:p>
    <w:p w14:paraId="17202D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（三）商业银行绩效考核制度、问</w:t>
      </w:r>
      <w:proofErr w:type="gramStart"/>
      <w:r>
        <w:rPr>
          <w:rFonts w:ascii="宋体" w:eastAsia="宋体" w:hAnsi="宋体" w:cs="宋体" w:hint="eastAsia"/>
          <w:sz w:val="24"/>
        </w:rPr>
        <w:t>责制度</w:t>
      </w:r>
      <w:proofErr w:type="gramEnd"/>
      <w:r>
        <w:rPr>
          <w:rFonts w:ascii="宋体" w:eastAsia="宋体" w:hAnsi="宋体" w:cs="宋体" w:hint="eastAsia"/>
          <w:sz w:val="24"/>
        </w:rPr>
        <w:t>和诚信举报制度的适当性和有效性；</w:t>
      </w:r>
    </w:p>
    <w:p w14:paraId="488FD7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（四）商业银行合</w:t>
      </w:r>
      <w:proofErr w:type="gramStart"/>
      <w:r>
        <w:rPr>
          <w:rFonts w:ascii="宋体" w:eastAsia="宋体" w:hAnsi="宋体" w:cs="宋体" w:hint="eastAsia"/>
          <w:sz w:val="24"/>
        </w:rPr>
        <w:t>规</w:t>
      </w:r>
      <w:proofErr w:type="gramEnd"/>
      <w:r>
        <w:rPr>
          <w:rFonts w:ascii="宋体" w:eastAsia="宋体" w:hAnsi="宋体" w:cs="宋体" w:hint="eastAsia"/>
          <w:sz w:val="24"/>
        </w:rPr>
        <w:t>管理职能的适当性和有效性。</w:t>
      </w:r>
    </w:p>
    <w:p w14:paraId="5147B4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附则</w:t>
      </w:r>
    </w:p>
    <w:p w14:paraId="46F5DE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本指引由银监会负责解释。</w:t>
      </w:r>
    </w:p>
    <w:p w14:paraId="61607AF0"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第三十一条 本指引自发布之日起实施。</w:t>
      </w:r>
    </w:p>
    <w:p w14:paraId="4D592B45" w14:textId="77777777" w:rsidR="00F50CD8" w:rsidRDefault="00000000">
      <w:pPr>
        <w:spacing w:afterLines="50" w:after="156" w:line="360" w:lineRule="auto"/>
        <w:ind w:firstLineChars="200" w:firstLine="482"/>
        <w:rPr>
          <w:rFonts w:ascii="宋体" w:eastAsia="宋体" w:hAnsi="宋体" w:cs="宋体" w:hint="eastAsia"/>
          <w:sz w:val="24"/>
        </w:rPr>
      </w:pPr>
      <w:r>
        <w:rPr>
          <w:rFonts w:ascii="宋体" w:eastAsia="宋体" w:hAnsi="宋体" w:cs="宋体" w:hint="eastAsia"/>
          <w:b/>
          <w:bCs/>
          <w:sz w:val="24"/>
        </w:rPr>
        <w:lastRenderedPageBreak/>
        <w:t>45.《市属国有企业全面推进企业法律顾问制度建设的通知》</w:t>
      </w:r>
      <w:r>
        <w:rPr>
          <w:rFonts w:ascii="宋体" w:eastAsia="宋体" w:hAnsi="宋体" w:cs="宋体" w:hint="eastAsia"/>
          <w:sz w:val="24"/>
        </w:rPr>
        <w:tab/>
      </w:r>
    </w:p>
    <w:p w14:paraId="70DDC6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发文机构：北京市人民政府国有资产监督管理委员会</w:t>
      </w:r>
      <w:r>
        <w:rPr>
          <w:rFonts w:ascii="宋体" w:eastAsia="宋体" w:hAnsi="宋体" w:cs="宋体" w:hint="eastAsia"/>
          <w:sz w:val="24"/>
        </w:rPr>
        <w:tab/>
      </w:r>
    </w:p>
    <w:p w14:paraId="0727B8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文号：京国资法规字〔2007〕1号</w:t>
      </w:r>
      <w:r>
        <w:rPr>
          <w:rFonts w:ascii="宋体" w:eastAsia="宋体" w:hAnsi="宋体" w:cs="宋体" w:hint="eastAsia"/>
          <w:sz w:val="24"/>
        </w:rPr>
        <w:tab/>
      </w:r>
    </w:p>
    <w:p w14:paraId="19D7D9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一、全面推进企业法律顾问制度建设的总体思路</w:t>
      </w:r>
    </w:p>
    <w:p w14:paraId="08B122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根据《国有企业法律顾问管理办法》（国务院国资委令第6号，以下简称《办法》）的规定和《意见》提出的总体目标及工作思路，分以下三个层次全面推进市属国有企业法律顾问制度建设：</w:t>
      </w:r>
    </w:p>
    <w:p w14:paraId="0E93B0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结合市国资委近三年来确定的市属国有重点骨干企业名单，在综合考虑各重点骨干企业的规模、资产关系、法律事务与纠纷案件数量、市国资委近期调整重组计划等多方面因素的基础上，确定首钢总公司等26家市属国有重点骨干企业在2007年推行企业总法律顾问制度（具体名单见附件1）。</w:t>
      </w:r>
    </w:p>
    <w:p w14:paraId="52D705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在2005年底开展总法律顾问制度试点的10家企业，要深入总结一年来试点工作的做法与成效，认真查找存在的问题和差距，在此基础上继续按照市国资委关于试点方案的批复和《关于进一步推进企业总法律顾问制度试点工作有关问题的通知》的要求，进一步深化试点工作，确保总法律顾问制度发挥应有的作用，不断提升本企业的法律风险防范水平和核心竞争能力。</w:t>
      </w:r>
    </w:p>
    <w:p w14:paraId="1DEC5A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上述36家推行企业总法律顾问制度之外的企（事）业单位，要严格按照《意见》的要求，采取有力措施切实加强企业法制建设工作。要结合实际，建立健全法律事务机构，并根据工作需要配备企业法律顾问和法律工作人员；要建立健全法律风险防范机制，逐步提高企业防范法律风险的能力和水平。</w:t>
      </w:r>
    </w:p>
    <w:p w14:paraId="0F67B4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二、全面推进企业法律顾问制度建设的主要目标及内容</w:t>
      </w:r>
    </w:p>
    <w:p w14:paraId="188433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推行企业法律顾问制度，是建立现代企业制度的内在要求，是提高企业依法治企能力、防范法律风险的重要举措。各企（事）业单位要按照《意见》提出的加强企业法制建设的指导思想和总体目标，从本企业实际出发，统筹安排，分步实施，稳妥推进，务求实效。</w:t>
      </w:r>
    </w:p>
    <w:p w14:paraId="22BA39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（一）尽快实现企业总法律顾问岗位职责到位</w:t>
      </w:r>
    </w:p>
    <w:p w14:paraId="5D354F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总法律顾问制度是企业法律顾问制度建设的核心。《国有企业法律顾问管理办法》规定，企业总法律顾问是指具有企业法律顾问执业资格，由企业聘任，全面负责企业法律事务工作的高级管理人员。26家市属重点企业要按照《办法》规定的任职条件，首先从本企业优秀人才队伍中选择政治素质高、业务能力强、法律专业精，并熟悉企业实际情况的负责同志担任企业总法律顾问，并及时履行聘任程序。同时，要结合企业生产经营管理实际，</w:t>
      </w:r>
      <w:proofErr w:type="gramStart"/>
      <w:r>
        <w:rPr>
          <w:rFonts w:ascii="宋体" w:eastAsia="宋体" w:hAnsi="宋体" w:cs="宋体" w:hint="eastAsia"/>
          <w:sz w:val="24"/>
        </w:rPr>
        <w:t>明确总</w:t>
      </w:r>
      <w:proofErr w:type="gramEnd"/>
      <w:r>
        <w:rPr>
          <w:rFonts w:ascii="宋体" w:eastAsia="宋体" w:hAnsi="宋体" w:cs="宋体" w:hint="eastAsia"/>
          <w:sz w:val="24"/>
        </w:rPr>
        <w:t>法律顾问的职能定位、职责权限、履职途径及方式，切实</w:t>
      </w:r>
      <w:proofErr w:type="gramStart"/>
      <w:r>
        <w:rPr>
          <w:rFonts w:ascii="宋体" w:eastAsia="宋体" w:hAnsi="宋体" w:cs="宋体" w:hint="eastAsia"/>
          <w:sz w:val="24"/>
        </w:rPr>
        <w:t>发挥总</w:t>
      </w:r>
      <w:proofErr w:type="gramEnd"/>
      <w:r>
        <w:rPr>
          <w:rFonts w:ascii="宋体" w:eastAsia="宋体" w:hAnsi="宋体" w:cs="宋体" w:hint="eastAsia"/>
          <w:sz w:val="24"/>
        </w:rPr>
        <w:t>法律顾问的作用。</w:t>
      </w:r>
    </w:p>
    <w:p w14:paraId="6126D7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根据总法律顾问的岗位特点和职责要求，企业总法律顾问一般应当具有企业法律顾问执业资格或法律职业资格。如果本企业暂无符合上述条件的总法律顾问人选的，应当明确一名主管法律事务工作的企业领导兼任。对暂由企业负责人兼任总法律顾问的，应当明确过渡期的时间，一般不得多于两年。在过渡期内，一方面可以对本企业法律事务机构负责人或其他符合条件的优秀人员进行重点培养；另一方面，企业也可以面向社会公开招聘政治、业务素质较高、具有企业实际工作经验的专业人才担任总法律顾问或进行重点培养，确保企业总法律顾问尽快到位。</w:t>
      </w:r>
    </w:p>
    <w:p w14:paraId="2A2A11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（二）建立健全企业法律工作组织体系</w:t>
      </w:r>
    </w:p>
    <w:p w14:paraId="2ADC0A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律事务机构和法律工作人员是推进企业法律顾问制度建设的重要组织保障。各企（事）业单位要结合实际规范设置法律事务机构，并根据工作需要配备企业法律顾问和法律工作人员。企业法律事务机构可以单独设置，也可以与相关职能部门联合设置或合署办公，但不论采取何种方式，必须建立法律事务机构。在人员配备上，要结合本企业实际，既要配备具有法律专业资质或背景的人员，也要配备懂财务、懂企业管理、具有企业实际经验的人员，做到知识结构的优势互补。同时，各企（事）业单位要加强对所属企业法律事务工作的指导、管理和监督，建立健全所属企业的法律机构和人员，形成上下一体、相互配合的企业法律工作组织体系。上述目标应当在2007年底前全面实现。</w:t>
      </w:r>
    </w:p>
    <w:p w14:paraId="568A57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企（事）业单位要把法律顾问队伍建设纳入企业人才发展战略，有计划、有目的地锻炼和培养企业法律人才。要拓宽渠道，选配一些业务强、有经验、有法律专业背景的同志，加大培养力度，鼓励具备条件的人员参加全国企业法律顾</w:t>
      </w:r>
      <w:r>
        <w:rPr>
          <w:rFonts w:ascii="宋体" w:eastAsia="宋体" w:hAnsi="宋体" w:cs="宋体" w:hint="eastAsia"/>
          <w:sz w:val="24"/>
        </w:rPr>
        <w:lastRenderedPageBreak/>
        <w:t>问执业资格和司法职业资格考试，不断充实企业法律顾问队伍。同时，要通过讲座、交流、脱产学习等形式多样的政治教育和业务培训，不断提高法律工作人员的业务素质和工作能力。市国资委与北京企业法律顾问协会也将加大对企业法律顾问和法律工作人员的培训力度。</w:t>
      </w:r>
    </w:p>
    <w:p w14:paraId="1451E5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（三）稳步推进企业法律风险防范机制建设</w:t>
      </w:r>
    </w:p>
    <w:p w14:paraId="24EAE4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推行企业法律顾问制度，加强企业法制建设，要在建立健全法律防范风险机制和内部监督机制上下功夫。各企（事）业单位要按照《企业国有资产监督管理暂行条例》和《意见》的要求，紧紧围绕企业改革发展这个中心，稳步推进以事前防范和事中控制为主、事后补救为辅的法律风险防范机制建设。</w:t>
      </w:r>
    </w:p>
    <w:p w14:paraId="624872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方面，要围绕落实法律监督审核职能这个目标，建立科学、规范的企业法律顾问工作制度和工作流程。要结合本企业实际，科学界定总法律顾问、法律事务机构、法律工作人员在企业经营管理和法律风险防范中的职责，明确法律事务机构和其他职能部门在参与和处理企业重大决策、重大投资项目、起草和审核重要规章制度、资产处置、改制改组、合同管理、诉讼、仲裁等各项法律事务中的权限、程序、工作时限及各业务流程的关键控制点，逐步建立起由企业主要负责人领导、总法律顾问或分管法律事务的企业负责人牵头、业务部门参与、法律部门组织实施的法律风险防范工作机制，确保企业法律顾问顺利开展工作，切实发挥法律监督体系的作用。</w:t>
      </w:r>
    </w:p>
    <w:p w14:paraId="1068C4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另一方面，要树立防范企业法律风险以管理为主、以事前为主、以预防为主的理念，建立健全防范法律风险的各项规章制度。要深入分析本企业、本单位在生产经营管理中面临的各种法律风险及风险产生的根源，建立健全相关议事规则、合同管理、对外担保、对外投资、债权债务管理、资产处置、招投标管理、知识产权管理、纠纷案件管理等各项规章制度，力争将制度建设全方位、全过程地贯穿于企业生产经营管理的各个环节，实现对企业法律风险，乃至各项风险的全方位防范和动态化监控。</w:t>
      </w:r>
    </w:p>
    <w:p w14:paraId="1E553A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（四）着力加强企业法制文化建设</w:t>
      </w:r>
    </w:p>
    <w:p w14:paraId="46AFA0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先进的企业文化是企业持续发展的精神支柱和动力源泉，是企业核心竞争力</w:t>
      </w:r>
      <w:r>
        <w:rPr>
          <w:rFonts w:ascii="宋体" w:eastAsia="宋体" w:hAnsi="宋体" w:cs="宋体" w:hint="eastAsia"/>
          <w:sz w:val="24"/>
        </w:rPr>
        <w:lastRenderedPageBreak/>
        <w:t>的重要组成部分。各企（事）业单位要按照市国资委系统“五五普法”规划的要求，深入开展全员法制宣传教育，积极营造依法决策、依法经营的核心价值理念和崇尚法治、依法治企的企业文化建设氛围。</w:t>
      </w:r>
    </w:p>
    <w:p w14:paraId="5AB0D3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负责人要认真学习与企业经营管理相关的法律知识，不断增强法律意识和风险意识，提高运用法律思考问题、处理问题的能力，努力成为学法、懂法、守法、用法、护法的表率。要加强对企业经营管理人员诚实守信、公平竞争、契约自由等市场规则的宣传教育，努力掌握与完善现代企业制度、规范市场秩序有关的法律法规，不断培养和增强企业经营管理人员重诺守信、依法经营的意识。要进一步完善和落实企业各项规章制度和岗位要求，教育引导全体员工尽快形成依法办事的思维方式，逐步养成按章操作的行为习惯，使之真正成为企业员工的行为规范。</w:t>
      </w:r>
    </w:p>
    <w:p w14:paraId="4C9FEE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三、全面推进企业法律顾问制度建设的进度安排</w:t>
      </w:r>
    </w:p>
    <w:p w14:paraId="2E9EE4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结合企业法律顾问制度建设的要求和各单位的实际，推行企业总法律顾问制度建设大致按照以下三个阶段进行：</w:t>
      </w:r>
    </w:p>
    <w:p w14:paraId="20A939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准备阶段（2007年1月--3月）。26家重点企业要加强学习宣传，提高对推行企业总法律顾问制度重要意义的认识。同时，要在深入调研和全面分析本企业法制建设现状和存在问题的基础上，结合实际研究制定企业总法律顾问制度实施方案（实施方案提纲见附件2），并在3月底前报市国资委。</w:t>
      </w:r>
    </w:p>
    <w:p w14:paraId="1719B4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2.方案完善及批复阶段（2007年4月--5月）。市国资委与26家重点企业就实施方案进行沟通交流，指导企业完善实施方案，并结合各重点企业实际逐一批复实施方案。</w:t>
      </w:r>
    </w:p>
    <w:p w14:paraId="503CB0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3.实施阶段（2007年6月以后）。26家重点企业具体组织实施试点方案，确保总法律顾问岗位到位、职责到位、法律机构和人员到位，建立</w:t>
      </w:r>
      <w:proofErr w:type="gramStart"/>
      <w:r>
        <w:rPr>
          <w:rFonts w:ascii="宋体" w:eastAsia="宋体" w:hAnsi="宋体" w:cs="宋体" w:hint="eastAsia"/>
          <w:sz w:val="24"/>
        </w:rPr>
        <w:t>健全总</w:t>
      </w:r>
      <w:proofErr w:type="gramEnd"/>
      <w:r>
        <w:rPr>
          <w:rFonts w:ascii="宋体" w:eastAsia="宋体" w:hAnsi="宋体" w:cs="宋体" w:hint="eastAsia"/>
          <w:sz w:val="24"/>
        </w:rPr>
        <w:t>法律顾问制度。市国资委将指导和帮助企业落实实施方案。</w:t>
      </w:r>
    </w:p>
    <w:p w14:paraId="4345F7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在推行工作中，市国资委将对26家重点企业和10家试点企业总法律顾问制度建设情况实行动态跟踪、指导和督促检查，并在适当时候组织企业进行交流，对一些企业的有效做法和经验进行总结和推广。</w:t>
      </w:r>
    </w:p>
    <w:p w14:paraId="6E456F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市国资委其他（企）事业单位，也要在深入调研和全面分析本企业法制建设现状和存在问题的基础上，在3月底之前制定出推进企业法律顾问制度建设的实施方案，在2007年9月底之前实现法律事务机构和工作人员正式到位，并着手开展企业法律风险防范机制建设相关工作。市国资委将在适当时候对工作进展情况进行检查。</w:t>
      </w:r>
    </w:p>
    <w:p w14:paraId="78C42C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推进企业法律顾问制度建设在市属国有企业推进企业法律顾问制度建设，是加强企业法制建设和推进依法治企的重要内容和制度保证，是建立和完善企业法律风险防范机制的有效举措。各企（事）业单位要进一步贯彻落实《条例》和《意见》的精神，充分认识推行企业法律顾问制度建设的重要意义。各企业主要负责人要高度重视，加强领导，并指派一名领导专门负责此项工作。要按照市国资委的统一部署和要求，周密筹划，精心组织，结合实际制定切实可行的工作方案，认真落实推行企业法律顾问制度的各项要求和工作任务，力争形成自己的特色，不断积累经验，提升工作水平。推行企业法律顾问制度建设，涉及面广、政策性强，企业内部各部门必须加强协调、沟通与配合，形成工作合力，为推进企业法律顾问制度创造良好的环境，力争通过一段时间的努力，在市属国有企业中普遍建立起符合市场经济要求的企业法律风险防范机制。</w:t>
      </w:r>
    </w:p>
    <w:p w14:paraId="18DDFF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w:t>
      </w:r>
    </w:p>
    <w:p w14:paraId="17A281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 2007年推行企业总法律顾问制度企业名单</w:t>
      </w:r>
    </w:p>
    <w:p w14:paraId="505094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 企业总法律顾问制度实施方案的基本内容</w:t>
      </w:r>
    </w:p>
    <w:p w14:paraId="3E6B43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二ОΟ七年一月二十二日</w:t>
      </w:r>
    </w:p>
    <w:p w14:paraId="3408F9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附件1：</w:t>
      </w:r>
    </w:p>
    <w:p w14:paraId="5758EE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2007年推行总法律顾问制度企业名单（共26家）</w:t>
      </w:r>
    </w:p>
    <w:p w14:paraId="09B081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1.首钢总公司</w:t>
      </w:r>
    </w:p>
    <w:p w14:paraId="536F4C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2.北京地铁运营有限公司</w:t>
      </w:r>
    </w:p>
    <w:p w14:paraId="6FDFD7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3.北京首都创业集团有限公司</w:t>
      </w:r>
    </w:p>
    <w:p w14:paraId="7951EE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4.北京能源投资（集团）有限公司</w:t>
      </w:r>
    </w:p>
    <w:p w14:paraId="573EF5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5.北京市国有资产经营有限责任公司</w:t>
      </w:r>
    </w:p>
    <w:p w14:paraId="256CBD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6.北京市热力集团有限责任公司</w:t>
      </w:r>
    </w:p>
    <w:p w14:paraId="57C184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7.北京市自来水集团有限责任公司</w:t>
      </w:r>
    </w:p>
    <w:p w14:paraId="360ACA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8.北京电子控股有限责任公司</w:t>
      </w:r>
    </w:p>
    <w:p w14:paraId="56FAA2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9.北京汽车工业控股有限责任公司</w:t>
      </w:r>
    </w:p>
    <w:p w14:paraId="68424C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10.北京城建集团有限责任公司</w:t>
      </w:r>
    </w:p>
    <w:p w14:paraId="526BB6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11.北京建工集团有限责任公司</w:t>
      </w:r>
    </w:p>
    <w:p w14:paraId="093801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12.北京金隅集团有限责任公司</w:t>
      </w:r>
    </w:p>
    <w:p w14:paraId="44AE18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13.北京首都开发控股（集团）有限公司</w:t>
      </w:r>
    </w:p>
    <w:p w14:paraId="65E5D3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14.北京首都公路发展有限责任公司</w:t>
      </w:r>
    </w:p>
    <w:p w14:paraId="3CF482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15.北京京城机电控股有限责任公司</w:t>
      </w:r>
    </w:p>
    <w:p w14:paraId="0B463A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16.北京京煤集团有限责任公司</w:t>
      </w:r>
    </w:p>
    <w:p w14:paraId="202F0E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17.中国北京同仁堂（集团）有限责任公司</w:t>
      </w:r>
    </w:p>
    <w:p w14:paraId="484DDF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18.北京纺织控股有限责任公司</w:t>
      </w:r>
    </w:p>
    <w:p w14:paraId="6E7CBA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19.北京市政路桥建设控股（集团）有限公司</w:t>
      </w:r>
    </w:p>
    <w:p w14:paraId="42061B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20.北京祥龙资产经营有限责任公司</w:t>
      </w:r>
    </w:p>
    <w:p w14:paraId="7F480A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21.北京北辰实业集团公司</w:t>
      </w:r>
    </w:p>
    <w:p w14:paraId="09C1EF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22.北京环境卫生工程集团有限公司</w:t>
      </w:r>
    </w:p>
    <w:p w14:paraId="701260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23.北京二商集团有限责任公司</w:t>
      </w:r>
    </w:p>
    <w:p w14:paraId="0C199C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24.北京一商集团有限责任公司</w:t>
      </w:r>
    </w:p>
    <w:p w14:paraId="4D93D6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25.北京城乡建设集团有限责任公司</w:t>
      </w:r>
    </w:p>
    <w:p w14:paraId="3B90F8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26.北京对外经贸控股有限责任公司</w:t>
      </w:r>
    </w:p>
    <w:p w14:paraId="439561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附件2：</w:t>
      </w:r>
    </w:p>
    <w:p w14:paraId="54D3EB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企业总法律顾问制度实施方案提纲</w:t>
      </w:r>
    </w:p>
    <w:p w14:paraId="610424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（一）企业的基本情况</w:t>
      </w:r>
    </w:p>
    <w:p w14:paraId="76FA5E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（二）企业法制建设的现状（机构、人员、制度等）及存在的问题</w:t>
      </w:r>
    </w:p>
    <w:p w14:paraId="7E067B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（三）企业推行企业总法律顾问制度的总体规划及目标</w:t>
      </w:r>
    </w:p>
    <w:p w14:paraId="59B540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（四）企业总法律顾问人选的产生及职责</w:t>
      </w:r>
    </w:p>
    <w:p w14:paraId="196D78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（五）企业法律事务机构的组建、职责及法律工作人员的配备</w:t>
      </w:r>
    </w:p>
    <w:p w14:paraId="17C56BCD"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（六）企业法律风险防范及监督机制建设目标</w:t>
      </w:r>
    </w:p>
    <w:p w14:paraId="0BC55E6F"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46.《银行保险机构操作风险管理办法》</w:t>
      </w:r>
      <w:r>
        <w:rPr>
          <w:rFonts w:ascii="宋体" w:eastAsia="宋体" w:hAnsi="宋体" w:cs="宋体" w:hint="eastAsia"/>
          <w:b/>
          <w:bCs/>
          <w:sz w:val="24"/>
        </w:rPr>
        <w:tab/>
      </w:r>
    </w:p>
    <w:p w14:paraId="2DC47C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发文机构：国家金融监督管理总局</w:t>
      </w:r>
    </w:p>
    <w:p w14:paraId="65E258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文号：国家金融监督管理总局令2023年第5号</w:t>
      </w:r>
    </w:p>
    <w:p w14:paraId="375FFF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78C900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为提高银行保险机构操作风险管理水平，根据《中华人民共和国银行业监督管理法》、《中华人民共和国商业银行法》、《中华人民共和国保险法》等法律法规，制定本办法。</w:t>
      </w:r>
    </w:p>
    <w:p w14:paraId="5212BF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本办法所称操作风险是指由于内部程序、员工、信息科技系统存在问题以及外部事件造成损失的风险，包括法律风险，但不包括战略风险和声誉风险。</w:t>
      </w:r>
    </w:p>
    <w:p w14:paraId="344EF2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操作风险管理是全面风险管理体系的重要组成部分，目标是有效防范操作风险，降低损失，提升对内外部事件冲击的应对能力，为业务稳健运营提供保障。</w:t>
      </w:r>
    </w:p>
    <w:p w14:paraId="53B1B0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操作风险管理应当遵循以下基本原则：</w:t>
      </w:r>
    </w:p>
    <w:p w14:paraId="62BD26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（一）审慎性原则。操作风险管理应当坚持风险为本的理念，充分重视风险苗头和潜在隐患，有效识别影响风险管理的不利因素，配置充足资源，及时采取措施，提升前瞻性。</w:t>
      </w:r>
    </w:p>
    <w:p w14:paraId="0D7981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（二）全面性原则。操作风险管理应当覆盖各业务条线、各分支机构，覆盖所有部门、岗位、员工和产品，贯穿决策、执行和监督全部过程，充分</w:t>
      </w:r>
      <w:proofErr w:type="gramStart"/>
      <w:r>
        <w:rPr>
          <w:rFonts w:ascii="宋体" w:eastAsia="宋体" w:hAnsi="宋体" w:cs="宋体" w:hint="eastAsia"/>
          <w:sz w:val="24"/>
        </w:rPr>
        <w:t>考量</w:t>
      </w:r>
      <w:proofErr w:type="gramEnd"/>
      <w:r>
        <w:rPr>
          <w:rFonts w:ascii="宋体" w:eastAsia="宋体" w:hAnsi="宋体" w:cs="宋体" w:hint="eastAsia"/>
          <w:sz w:val="24"/>
        </w:rPr>
        <w:t>其他内外部风险的相关性和传染性。</w:t>
      </w:r>
    </w:p>
    <w:p w14:paraId="0963C5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（三）匹配性原则。操作风险管理应当体现多层次、差异化的要求，管理体系、管理资源应当与机构发展战略、经营规模、复杂性和风险状况相适应，并根据情况变化及时调整。</w:t>
      </w:r>
    </w:p>
    <w:p w14:paraId="53A99D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（四）有效性原则。机构应当以风险偏好为导向，有效识别、评估、计量、控制、缓释、监测、报告所面临的操作风险，将操作风险控制在可承受范围之内。</w:t>
      </w:r>
    </w:p>
    <w:p w14:paraId="2D1698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第五条　规模较大的银行保险机构应当基于良好的治理架构，加强操作风险管理，做好与业务连续性、外包风险管理、网络安全、数据安全、突发事件应对、恢复与处置计划等体系机制的有机衔接，提升运营韧性，具备在发生重大风险和外部事件时持续提供关键业务和服务的能力。</w:t>
      </w:r>
    </w:p>
    <w:p w14:paraId="56E59C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国家金融监督管理总局及其派出机构依法对银行保险机构操作风险管理实施监管。</w:t>
      </w:r>
    </w:p>
    <w:p w14:paraId="41AEDC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风险治理和管理责任</w:t>
      </w:r>
    </w:p>
    <w:p w14:paraId="6C47A7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银行保险机构董事会应当将操作风险作为本机构面对的主要风险之一，承担操作风险管理的最终责任。主要职责包括：</w:t>
      </w:r>
    </w:p>
    <w:p w14:paraId="13FD7E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（一）审批操作风险管理基本制度，确保与战略目标一致；</w:t>
      </w:r>
    </w:p>
    <w:p w14:paraId="7EEAC7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（二）审批操作风险偏好及其传导机制，将操作风险控制在可承受范围之内；</w:t>
      </w:r>
    </w:p>
    <w:p w14:paraId="0FEC7D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（三）审批高级管理层有关操作风险管理职责、权限、报告等机制，确保操作风险管理体系的有效性；</w:t>
      </w:r>
    </w:p>
    <w:p w14:paraId="7E94E8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（四）每年至少审议一次高级管理层提交的操作风险管理报告，充分了解、评估操作风险管理总体情况以及高级管理层工作；</w:t>
      </w:r>
    </w:p>
    <w:p w14:paraId="31A6C8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（五）确保高级管理层建立必要的识别、评估、计量、控制、缓释、监测、报告操作风险的机制；</w:t>
      </w:r>
    </w:p>
    <w:p w14:paraId="665CB0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（六）确保操作风险管理体系接受内部审计部门的有效审查与监督；</w:t>
      </w:r>
    </w:p>
    <w:p w14:paraId="0CE00E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（七）审批操作风险信息披露相关制度；</w:t>
      </w:r>
    </w:p>
    <w:p w14:paraId="0A8924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（八）确保建立与操作风险管理要求匹配的风险文化；</w:t>
      </w:r>
    </w:p>
    <w:p w14:paraId="4A3715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（九）其他相关职责。</w:t>
      </w:r>
    </w:p>
    <w:p w14:paraId="3E343E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设立监事（会）的银行保险机构，其监事（会）应当承担操作风险管理的监督责任，负责监督检查董事会和高级管理层的履职尽责情况，及时督促整改，并纳入监事（会）工作报告。</w:t>
      </w:r>
    </w:p>
    <w:p w14:paraId="755D2E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银行保险机构高级管理层应当承担操作风险管理的实施责任。主要</w:t>
      </w:r>
      <w:r>
        <w:rPr>
          <w:rFonts w:ascii="宋体" w:eastAsia="宋体" w:hAnsi="宋体" w:cs="宋体" w:hint="eastAsia"/>
          <w:sz w:val="24"/>
        </w:rPr>
        <w:lastRenderedPageBreak/>
        <w:t>职责包括：</w:t>
      </w:r>
    </w:p>
    <w:p w14:paraId="12C553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（一）制定操作风险管理基本制度和管理办法；</w:t>
      </w:r>
    </w:p>
    <w:p w14:paraId="3717A9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（二）明确界定各部门、各级机构的操作风险管理职责和报告要求，督促各部门、各级机构履行操作风险管理职责，确保操作风险管理体系正常运行；</w:t>
      </w:r>
    </w:p>
    <w:p w14:paraId="21BC1E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（三）设置操作风险偏好及其传导机制，督促各部门、各级机构执行操作风险管理制度、风险偏好并定期审查，及时处理突破风险偏好以及其他违反操作风险管理要求的情况；</w:t>
      </w:r>
    </w:p>
    <w:p w14:paraId="48F66D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（四）全面掌握操作风险管理总体状况，特别是重大操作风险事件；</w:t>
      </w:r>
    </w:p>
    <w:p w14:paraId="30C8F9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（五）每年至少向董事会提交一次操作风险管理报告，并报送监事（会）；</w:t>
      </w:r>
    </w:p>
    <w:p w14:paraId="2926DB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（六）为操作风险管理配备充足财务、人力和信息科技系统等资源；</w:t>
      </w:r>
    </w:p>
    <w:p w14:paraId="52CDB7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（七）完善操作风险管理体系，有效应对操作风险事件；</w:t>
      </w:r>
    </w:p>
    <w:p w14:paraId="38F835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（八）制定操作风险管理考核评价与奖惩机制；</w:t>
      </w:r>
    </w:p>
    <w:p w14:paraId="252568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（九）其他相关职责。</w:t>
      </w:r>
    </w:p>
    <w:p w14:paraId="2736B1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银行保险机构应当建立操作风险管理的三道防线，三道防线之间及各防线内部应当建立完善风险数据和信息共享机制。</w:t>
      </w:r>
    </w:p>
    <w:p w14:paraId="7838C3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道防线包括各级业务和管理部门，是操作风险的直接承担者和管理者，负责各自领域内的操作风险管理工作。第二道防线包括各级负责操作风险管理和计量的牵头部门，指导、监督第一道防线的操作风险管理工作。第三道防线包括各级内部审计部门，对第一、二道防线履职情况及有效性进行监督评价。</w:t>
      </w:r>
    </w:p>
    <w:p w14:paraId="34AB14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第一道防线部门主要职责包括：</w:t>
      </w:r>
    </w:p>
    <w:p w14:paraId="22445D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（一）指定专人负责操作风险管理工作，投入充足资源；</w:t>
      </w:r>
    </w:p>
    <w:p w14:paraId="33C1FE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（二）按照风险管理评估方法，识别、评估自身操作风险；</w:t>
      </w:r>
    </w:p>
    <w:p w14:paraId="34518D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（三）建立控制、缓释措施，定期评估措施的有效性；</w:t>
      </w:r>
    </w:p>
    <w:p w14:paraId="37BB9C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（四）持续监测风险，确保符合操作风险偏好；</w:t>
      </w:r>
    </w:p>
    <w:p w14:paraId="3365CB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（五）定期报送操作风险管理报告，及时报告重大操作风险事件；</w:t>
      </w:r>
    </w:p>
    <w:p w14:paraId="6333DA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（六）制定业务流程和制度时充分体现操作风险管理和内部控制的要求；</w:t>
      </w:r>
    </w:p>
    <w:p w14:paraId="5748AE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（七）其他相关职责。</w:t>
      </w:r>
    </w:p>
    <w:p w14:paraId="1A54A7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第二道防线部门应当保持独立性，持续提升操作风险管理的一致性和有效性。主要职责包括：</w:t>
      </w:r>
    </w:p>
    <w:p w14:paraId="3CAFA0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（一）在一级分行（省级分公司）及以上设立操作风险管理专岗或指定专人，为其配备充足的资源；</w:t>
      </w:r>
    </w:p>
    <w:p w14:paraId="38AE61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（二）跟踪操作风险管理监管政策规定并组织落实；</w:t>
      </w:r>
    </w:p>
    <w:p w14:paraId="14DDE6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（三）拟定操作风险管理基本制度、管理办法，制定操作风险识别、评估、计量、监测、报告的方法和具体规定；</w:t>
      </w:r>
    </w:p>
    <w:p w14:paraId="1FED09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（四）指导、协助第一道防线识别、评估、监测、控制、缓释和报告操作风险，并定期开展监督；</w:t>
      </w:r>
    </w:p>
    <w:p w14:paraId="63893C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（五）每年至少向高级管理层提交一次操作风险管理报告；</w:t>
      </w:r>
    </w:p>
    <w:p w14:paraId="22E8F9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（六）负责操作风险资本计量；</w:t>
      </w:r>
    </w:p>
    <w:p w14:paraId="5EC263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（七）开展操作风险管理培训；</w:t>
      </w:r>
    </w:p>
    <w:p w14:paraId="62726E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（八）其他相关职责。</w:t>
      </w:r>
    </w:p>
    <w:p w14:paraId="5AFB2B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国家金融监督管理总局或其派出机构按照监管职责归属，可以豁免规模较小的银行保险机构在一级分行（省级分公司）设立操作风险管理专岗或专人的要求。</w:t>
      </w:r>
    </w:p>
    <w:p w14:paraId="70B4D0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法律、合</w:t>
      </w:r>
      <w:proofErr w:type="gramStart"/>
      <w:r>
        <w:rPr>
          <w:rFonts w:ascii="宋体" w:eastAsia="宋体" w:hAnsi="宋体" w:cs="宋体" w:hint="eastAsia"/>
          <w:sz w:val="24"/>
        </w:rPr>
        <w:t>规</w:t>
      </w:r>
      <w:proofErr w:type="gramEnd"/>
      <w:r>
        <w:rPr>
          <w:rFonts w:ascii="宋体" w:eastAsia="宋体" w:hAnsi="宋体" w:cs="宋体" w:hint="eastAsia"/>
          <w:sz w:val="24"/>
        </w:rPr>
        <w:t>、信息科技、数据管理、消费者权益保护、安全保卫、财务会计、人力资源、精算等部门在承担本部门操作风险管理职责的同时，应当在职责范围内为其他部门操作风险管理提供充足资源和支持。</w:t>
      </w:r>
    </w:p>
    <w:p w14:paraId="63A695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内部审计部门应当至少每三年开展一次操作风险管理专项审计，覆盖第一道防线、第二道防线操作风险管理情况，审计评价操作风险管理体系运行情况，并向董事会报告。</w:t>
      </w:r>
    </w:p>
    <w:p w14:paraId="08D160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内部审计部门在开展其他审计项目时，应当充分关注操作风险管理情况。</w:t>
      </w:r>
    </w:p>
    <w:p w14:paraId="6366BD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规模较大的银行保险机构应当定期委托第三方机构对其操作风险管理情况进行审计和评价，并向国家金融监督管理总局或其派出机构报送外部审计报告。</w:t>
      </w:r>
    </w:p>
    <w:p w14:paraId="7786D5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银行保险机构境内分支机构、直接经营业务的部门应当承担操作风险管理主体责任，并履行以下职责：</w:t>
      </w:r>
    </w:p>
    <w:p w14:paraId="0ABE8E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（一）为本级、本条</w:t>
      </w:r>
      <w:proofErr w:type="gramStart"/>
      <w:r>
        <w:rPr>
          <w:rFonts w:ascii="宋体" w:eastAsia="宋体" w:hAnsi="宋体" w:cs="宋体" w:hint="eastAsia"/>
          <w:sz w:val="24"/>
        </w:rPr>
        <w:t>线操作</w:t>
      </w:r>
      <w:proofErr w:type="gramEnd"/>
      <w:r>
        <w:rPr>
          <w:rFonts w:ascii="宋体" w:eastAsia="宋体" w:hAnsi="宋体" w:cs="宋体" w:hint="eastAsia"/>
          <w:sz w:val="24"/>
        </w:rPr>
        <w:t>风险管理部门配备充足资源；</w:t>
      </w:r>
    </w:p>
    <w:p w14:paraId="4B6DBF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（二）严格执行操作风险管理制度、风险偏好以及管理流程等要求；</w:t>
      </w:r>
    </w:p>
    <w:p w14:paraId="4C4588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（三）按照内外部审计结果和监管要求改进操作风险管理；</w:t>
      </w:r>
    </w:p>
    <w:p w14:paraId="22A172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（四）其他相关职责。</w:t>
      </w:r>
    </w:p>
    <w:p w14:paraId="26B2E3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境外分支机构除满足前款要求外，还应当符合所在地监管要求。</w:t>
      </w:r>
    </w:p>
    <w:p w14:paraId="37D661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银行保险机构应当要求其并表管理范围内的境内金融附属机构、金融科技类附属机构建立符合集团风险偏好，与其业务范围、风险特征、经营规模及监管要求相适应的操作风险管理体系，建立健全三道防线，制定操作风险管理制度。</w:t>
      </w:r>
    </w:p>
    <w:p w14:paraId="366B62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境外附属机构除满足前款要求外，还应当符合所在地监管要求。</w:t>
      </w:r>
    </w:p>
    <w:p w14:paraId="50B87216" w14:textId="77777777" w:rsidR="00F50CD8" w:rsidRDefault="00F50CD8">
      <w:pPr>
        <w:spacing w:afterLines="50" w:after="156" w:line="360" w:lineRule="auto"/>
        <w:ind w:firstLineChars="200" w:firstLine="480"/>
        <w:rPr>
          <w:rFonts w:ascii="宋体" w:eastAsia="宋体" w:hAnsi="宋体" w:cs="宋体" w:hint="eastAsia"/>
          <w:sz w:val="24"/>
        </w:rPr>
      </w:pPr>
    </w:p>
    <w:p w14:paraId="4EFD86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风险管理基本要求</w:t>
      </w:r>
    </w:p>
    <w:p w14:paraId="6F0B20FD" w14:textId="77777777" w:rsidR="00F50CD8" w:rsidRDefault="00F50CD8">
      <w:pPr>
        <w:spacing w:afterLines="50" w:after="156" w:line="360" w:lineRule="auto"/>
        <w:ind w:firstLineChars="200" w:firstLine="480"/>
        <w:rPr>
          <w:rFonts w:ascii="宋体" w:eastAsia="宋体" w:hAnsi="宋体" w:cs="宋体" w:hint="eastAsia"/>
          <w:sz w:val="24"/>
        </w:rPr>
      </w:pPr>
    </w:p>
    <w:p w14:paraId="18FD8C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操作风险管理基本制度应当与机构业务性质、规模、复杂程度和风险特征相适应，至少包括以下内容：</w:t>
      </w:r>
    </w:p>
    <w:p w14:paraId="520168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（一）操作风险定义；</w:t>
      </w:r>
    </w:p>
    <w:p w14:paraId="1B0CF8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（二）操作风险管理组织架构、权限和责任；</w:t>
      </w:r>
    </w:p>
    <w:p w14:paraId="5BB920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（三）操作风险识别、评估、计量、监测、控制、缓释程序；</w:t>
      </w:r>
    </w:p>
    <w:p w14:paraId="681670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（四）操作风险报告机制，包括报告主体、责任、路径、频率、时限等。</w:t>
      </w:r>
    </w:p>
    <w:p w14:paraId="3FDBE6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银行保险机构应当在操作风险管理基本制度制定或者修订后15个工作日内，按照监管职责归属报送国家金融监督管理总局或其派出机构。</w:t>
      </w:r>
    </w:p>
    <w:p w14:paraId="722DDF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银行保险机构应当在整体风险偏好下制定定性、定量指标并重的操作风险偏好，每年开展重检。风险偏好应当与战略目标、经营计划、绩效考评和薪酬机制等相衔接。风险偏好指标应当包括监管部门对特定机构确定的操作风险类监测指标要求。</w:t>
      </w:r>
    </w:p>
    <w:p w14:paraId="64EAE5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银行保险机构应当通过确定操作风险容忍</w:t>
      </w:r>
      <w:proofErr w:type="gramStart"/>
      <w:r>
        <w:rPr>
          <w:rFonts w:ascii="宋体" w:eastAsia="宋体" w:hAnsi="宋体" w:cs="宋体" w:hint="eastAsia"/>
          <w:sz w:val="24"/>
        </w:rPr>
        <w:t>度或者</w:t>
      </w:r>
      <w:proofErr w:type="gramEnd"/>
      <w:r>
        <w:rPr>
          <w:rFonts w:ascii="宋体" w:eastAsia="宋体" w:hAnsi="宋体" w:cs="宋体" w:hint="eastAsia"/>
          <w:sz w:val="24"/>
        </w:rPr>
        <w:t>风险限额等方式建立风险偏好传导机制，对操作风险进行持续监测和及时预警。</w:t>
      </w:r>
    </w:p>
    <w:p w14:paraId="227B46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银行保险机构应当建立具备操作风险管理功能的管理信息系统，主要功能包括：</w:t>
      </w:r>
    </w:p>
    <w:p w14:paraId="6E456B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（一）记录和存储损失相关数据和操作风险事件信息；</w:t>
      </w:r>
    </w:p>
    <w:p w14:paraId="782841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（二）支持操作风险和控制措施的自评估；</w:t>
      </w:r>
    </w:p>
    <w:p w14:paraId="3B6FBB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（三）支持关键风险指标监测；</w:t>
      </w:r>
    </w:p>
    <w:p w14:paraId="487F63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（四）支持操作风险资本计量；</w:t>
      </w:r>
    </w:p>
    <w:p w14:paraId="5A1000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（五）提供操作风险报告相关内容。</w:t>
      </w:r>
    </w:p>
    <w:p w14:paraId="32FE24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银行保险机构应当培育良好的操作风险管理文化，明确员工行为规范和职业道德要求。</w:t>
      </w:r>
    </w:p>
    <w:p w14:paraId="5AC4A8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银行保险机构应当建立有效的操作风险管理考核评价机制，考核评价指标应当兼顾操作风险管理过程和结果。</w:t>
      </w:r>
      <w:proofErr w:type="gramStart"/>
      <w:r>
        <w:rPr>
          <w:rFonts w:ascii="宋体" w:eastAsia="宋体" w:hAnsi="宋体" w:cs="宋体" w:hint="eastAsia"/>
          <w:sz w:val="24"/>
        </w:rPr>
        <w:t>薪</w:t>
      </w:r>
      <w:proofErr w:type="gramEnd"/>
      <w:r>
        <w:rPr>
          <w:rFonts w:ascii="宋体" w:eastAsia="宋体" w:hAnsi="宋体" w:cs="宋体" w:hint="eastAsia"/>
          <w:sz w:val="24"/>
        </w:rPr>
        <w:t>酬和激励约束机制应当反映考核评价结果。</w:t>
      </w:r>
    </w:p>
    <w:p w14:paraId="459409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银行保险机构应当定期开展操作风险管理相关培训。</w:t>
      </w:r>
    </w:p>
    <w:p w14:paraId="5B3CEB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银行保险机构应当按照国家金融监督管理总局的规定披露操作风险管理情况。</w:t>
      </w:r>
    </w:p>
    <w:p w14:paraId="4B311C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银行机构应当按照国家金融监督管理总局的要求披露损失数据等相关信息。</w:t>
      </w:r>
    </w:p>
    <w:p w14:paraId="36205D6E" w14:textId="77777777" w:rsidR="00F50CD8" w:rsidRDefault="00F50CD8">
      <w:pPr>
        <w:spacing w:afterLines="50" w:after="156" w:line="360" w:lineRule="auto"/>
        <w:ind w:firstLineChars="200" w:firstLine="480"/>
        <w:rPr>
          <w:rFonts w:ascii="宋体" w:eastAsia="宋体" w:hAnsi="宋体" w:cs="宋体" w:hint="eastAsia"/>
          <w:sz w:val="24"/>
        </w:rPr>
      </w:pPr>
    </w:p>
    <w:p w14:paraId="12AD1E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风险管理流程和方法</w:t>
      </w:r>
    </w:p>
    <w:p w14:paraId="1677F0AA" w14:textId="77777777" w:rsidR="00F50CD8" w:rsidRDefault="00F50CD8">
      <w:pPr>
        <w:spacing w:afterLines="50" w:after="156" w:line="360" w:lineRule="auto"/>
        <w:ind w:firstLineChars="200" w:firstLine="480"/>
        <w:rPr>
          <w:rFonts w:ascii="宋体" w:eastAsia="宋体" w:hAnsi="宋体" w:cs="宋体" w:hint="eastAsia"/>
          <w:sz w:val="24"/>
        </w:rPr>
      </w:pPr>
    </w:p>
    <w:p w14:paraId="12586D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银行保险机构应当根据操作风险偏好，识别内外部固有风险，评估控制、缓释措施的有效性，分析剩余风险发生的可能性和影响程度，划定操作风险等级，确定接受、降低、转移、规避等应对策略，有效分配管理资源。</w:t>
      </w:r>
    </w:p>
    <w:p w14:paraId="6564BC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银行保险机构应当结合风险识别、评估结果，实施控制、缓释措施，将操作风险控制在风险偏好内。</w:t>
      </w:r>
    </w:p>
    <w:p w14:paraId="64AB91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银行保险机构应当根据风险等级，对业务、产品、流程以及相关管理活动的风险采取控制、缓释措施，持续监督执行情况，建立良好的内部控制环境。</w:t>
      </w:r>
    </w:p>
    <w:p w14:paraId="24FCF9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银行保险机构通过购买保险、业务外包等措施缓释操作风险的，应当确保缓释措施实质有效。</w:t>
      </w:r>
    </w:p>
    <w:p w14:paraId="17EF99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银行保险机构应当将加强内部控制作为操作风险管理的有效手段。内部控制措施至少包括：</w:t>
      </w:r>
    </w:p>
    <w:p w14:paraId="5DE643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w:t>
      </w:r>
      <w:proofErr w:type="gramStart"/>
      <w:r>
        <w:rPr>
          <w:rFonts w:ascii="宋体" w:eastAsia="宋体" w:hAnsi="宋体" w:cs="宋体" w:hint="eastAsia"/>
          <w:sz w:val="24"/>
        </w:rPr>
        <w:t>明确部门</w:t>
      </w:r>
      <w:proofErr w:type="gramEnd"/>
      <w:r>
        <w:rPr>
          <w:rFonts w:ascii="宋体" w:eastAsia="宋体" w:hAnsi="宋体" w:cs="宋体" w:hint="eastAsia"/>
          <w:sz w:val="24"/>
        </w:rPr>
        <w:t>间职责分工，避免利益冲突；</w:t>
      </w:r>
    </w:p>
    <w:p w14:paraId="65B984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（二）密切监测风险偏好及其传导机制的执行情况；</w:t>
      </w:r>
    </w:p>
    <w:p w14:paraId="190FE4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（三）加强各类业务授权和信息系统权限管理；</w:t>
      </w:r>
    </w:p>
    <w:p w14:paraId="11CC1F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（四）建立重要财产的记录和保管、定期盘点、账实核对等日常管理和定期检查机制；</w:t>
      </w:r>
    </w:p>
    <w:p w14:paraId="5EF068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（五）加强不相容岗位管理，有效隔离重要业务部门和关键岗位，建立履职回避以及关键岗位轮岗、强制休假、离岗审计制度；</w:t>
      </w:r>
    </w:p>
    <w:p w14:paraId="47EDE3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（六）加强员工行为管理，重点关注关键岗位员工行为；</w:t>
      </w:r>
    </w:p>
    <w:p w14:paraId="0C477A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（七）对交易和账户进行定期对账；</w:t>
      </w:r>
    </w:p>
    <w:p w14:paraId="2D4363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（八）建立内部员工揭发检举的奖励和保护机制；</w:t>
      </w:r>
    </w:p>
    <w:p w14:paraId="0D47A0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（九）配置适当的员工并进行有效培训；</w:t>
      </w:r>
    </w:p>
    <w:p w14:paraId="0FD324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（十）建立操作风险管理的激励约束机制；</w:t>
      </w:r>
    </w:p>
    <w:p w14:paraId="321AFC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（十一）其他内部控制措施。</w:t>
      </w:r>
    </w:p>
    <w:p w14:paraId="5044B6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银行保险机构应当制定与其业务规模和复杂性相适应的业务连续性计划，有效应对导致业务中断的突发事件，最大限度减少业务中断影响。</w:t>
      </w:r>
    </w:p>
    <w:p w14:paraId="771AFB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当定期开展业务连续性应急预案演练评估，验证应急预案及备用资源的可用性，提高员工应急意识及处置能力，测试关键服务供应商的持续运营能力，确保业务连续性计划满足业务恢复目标，有效应对内外部威胁及风险。</w:t>
      </w:r>
    </w:p>
    <w:p w14:paraId="613B18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银行保险机构应当制定网络安全管理制度，履行网络安全保护义务，执行网络安全等级保护制度要求，采取必要的管理和技术措施，监测、防御、处置网络安全风险和威胁，有效应对网络安全事件，保障网络安全、稳定运行，防范网络违法犯罪活动。</w:t>
      </w:r>
    </w:p>
    <w:p w14:paraId="333454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银行保险机构应当制定数据安全管理制度，对数据进行分类分级管理，采取保护措施，保护数据免遭篡改、破坏、泄露、丢失或者被非法获取、非法利用，重点加强个人信息保护，规范数据处理活动，依法合理利用数据。</w:t>
      </w:r>
    </w:p>
    <w:p w14:paraId="79A464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银行保险机构应当制定与业务外包有关的风险管理制度，确保有严谨的业务外包合同和服务协议，明确各方责任义务，加强对外包方的监督管理。</w:t>
      </w:r>
    </w:p>
    <w:p w14:paraId="32BDD8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银行保险机构应当定期监测操作风险状况和重大损失情况，对风险持续扩大的情形建立预警机制，及时采取措施控制、缓释风险。</w:t>
      </w:r>
    </w:p>
    <w:p w14:paraId="383640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银行保险机构应当建立操作风险内部定期报告机制。第一道防线应当向上级对口管理部门和本级操作风险管理部门报告，各级操作风险管理部门汇总本级及所辖机构的情况向上级操作风险管理部门报告。</w:t>
      </w:r>
    </w:p>
    <w:p w14:paraId="144CA6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银行保险机构应当在每年四月底前按照监管职责归属向国家金融监督管理总局或其派出机构报送前一年度操作风险管理情况。</w:t>
      </w:r>
    </w:p>
    <w:p w14:paraId="5B8A4A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银行保险机构应当建立重大操作风险事件报告机制，及时向董</w:t>
      </w:r>
      <w:r>
        <w:rPr>
          <w:rFonts w:ascii="宋体" w:eastAsia="宋体" w:hAnsi="宋体" w:cs="宋体" w:hint="eastAsia"/>
          <w:sz w:val="24"/>
        </w:rPr>
        <w:lastRenderedPageBreak/>
        <w:t>事会、高级管理层、监事（会）和其他内部部门报告重大操作风险事件。</w:t>
      </w:r>
    </w:p>
    <w:p w14:paraId="634FBF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银行保险机构应当运用操作风险损失数据库、操作风险自评估、关键风险指标等基础管理工具管理操作风险，可以选择运用事件管理、控制监测和保证框架、情景分析、基准比较分析等管理工具，或者开发其他管理工具。</w:t>
      </w:r>
    </w:p>
    <w:p w14:paraId="0572CF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银行保险机构应当运用各项风险管理工具进行交叉校验，定期重检、优化操作风险管理工具。</w:t>
      </w:r>
    </w:p>
    <w:p w14:paraId="209E4C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银行保险机构存在以下重大变更情形的，应当强化操作风险的事前识别、评估等工作：</w:t>
      </w:r>
    </w:p>
    <w:p w14:paraId="73F228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（一）开发新业务、新产品；</w:t>
      </w:r>
    </w:p>
    <w:p w14:paraId="2C06BC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（二）新设境内外分支机构、附属机构；</w:t>
      </w:r>
    </w:p>
    <w:p w14:paraId="1976F3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（三）拓展新业务范围、形成新商业模式；</w:t>
      </w:r>
    </w:p>
    <w:p w14:paraId="0357B4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（四）业务流程、信息科技系统等发生重大变更；</w:t>
      </w:r>
    </w:p>
    <w:p w14:paraId="56BD56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（五）其他重大变更情形。</w:t>
      </w:r>
    </w:p>
    <w:p w14:paraId="38B7F3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银行保险机构应当建立操作风险压力测试机制，定期开展操作风险压力测试，在开展其他压力测试过程中应当充分考虑操作风险的影响，针对压力测试中识别的潜在风险点和薄弱环节，及时采取应对措施。</w:t>
      </w:r>
    </w:p>
    <w:p w14:paraId="040F01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银行机构应当按照国家金融监督管理总局关于资本监管的要求，对承担的操作风险计提充足资本。</w:t>
      </w:r>
    </w:p>
    <w:p w14:paraId="4EBBD1F8" w14:textId="77777777" w:rsidR="00F50CD8" w:rsidRDefault="00F50CD8">
      <w:pPr>
        <w:spacing w:afterLines="50" w:after="156" w:line="360" w:lineRule="auto"/>
        <w:ind w:firstLineChars="200" w:firstLine="480"/>
        <w:rPr>
          <w:rFonts w:ascii="宋体" w:eastAsia="宋体" w:hAnsi="宋体" w:cs="宋体" w:hint="eastAsia"/>
          <w:sz w:val="24"/>
        </w:rPr>
      </w:pPr>
    </w:p>
    <w:p w14:paraId="1672FD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监督管理</w:t>
      </w:r>
    </w:p>
    <w:p w14:paraId="54637D8B" w14:textId="77777777" w:rsidR="00F50CD8" w:rsidRDefault="00F50CD8">
      <w:pPr>
        <w:spacing w:afterLines="50" w:after="156" w:line="360" w:lineRule="auto"/>
        <w:ind w:firstLineChars="200" w:firstLine="480"/>
        <w:rPr>
          <w:rFonts w:ascii="宋体" w:eastAsia="宋体" w:hAnsi="宋体" w:cs="宋体" w:hint="eastAsia"/>
          <w:sz w:val="24"/>
        </w:rPr>
      </w:pPr>
    </w:p>
    <w:p w14:paraId="07D42D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国家金融监督管理总局及其派出机构应当将对银行保险机构操作风险的监督管理纳入集团和法人监管体系，检查评估操作风险管理体系的健全性和有效性。</w:t>
      </w:r>
    </w:p>
    <w:p w14:paraId="71EE69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国家金融监督管理总局及其派出机构加强与相关部门的监管协作和信息共享，共同防范金融风险跨机构、跨行业、跨区域传染。</w:t>
      </w:r>
    </w:p>
    <w:p w14:paraId="624374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国家金融监督管理总局及其派出机构通过监管评级、风险提示、监管通报、监管会谈、与外部审计师会谈等非现场监管和现场检查方式，实施对操作风险管理的持续监管。</w:t>
      </w:r>
    </w:p>
    <w:p w14:paraId="50DCDD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国家金融监督管理总局及其派出机构认为必要时，可以要求银行保险机构提供第三方机构就其操作风险管理出具的审计或者评价报告。</w:t>
      </w:r>
    </w:p>
    <w:p w14:paraId="441E38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国家金融监督管理总局及其派出机构发现银行保险机构操作风险管理存在缺陷和问题时，应当要求其及时整改，并上报整改落实情况。</w:t>
      </w:r>
    </w:p>
    <w:p w14:paraId="566989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国家金融监督管理总局及其派出机构依照职责通报重大操作风险事件和风险管理漏洞。</w:t>
      </w:r>
    </w:p>
    <w:p w14:paraId="29CAAE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银行保险机构应当在知悉或者应当知悉以下重大操作风险事件5个工作日内，按照监管职责归属向国家金融监督管理总局或其派出机构报告：</w:t>
      </w:r>
    </w:p>
    <w:p w14:paraId="5F891D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（一）形成预计损失5000万元（含）以上或者超过上年度末资本净额5%（含）以上的事件。</w:t>
      </w:r>
    </w:p>
    <w:p w14:paraId="2A478F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（二）形成损失金额1000万元（含）以上或者超过上年度末资本净额1%（含）以上的事件。</w:t>
      </w:r>
    </w:p>
    <w:p w14:paraId="166328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（三）造成重要数据、重要账册、重要空白凭证、重要资料严重损毁、丢失或者泄露，已经或者可能造成重大损失和严重影响的事件。</w:t>
      </w:r>
    </w:p>
    <w:p w14:paraId="751379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（四）重要信息系统出现故障、受到网络攻击，导致在同一省份的营业网点、电子渠道业务中断3小时以上；或者在两个及以上省份的营业网点、电子渠道业务中断30分钟以上。</w:t>
      </w:r>
    </w:p>
    <w:p w14:paraId="073765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（五）因网络欺诈及其他信息安全事件，导致本机构或客户资金损失1000万元以上，或者造成重大社会影响。</w:t>
      </w:r>
    </w:p>
    <w:p w14:paraId="7347A6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（六）董事、高级管理人员、监事及分支机构负责人被采取监察调查措施、刑事强制措施或者承担刑事法律责任的事件。</w:t>
      </w:r>
    </w:p>
    <w:p w14:paraId="1EBE2E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（七）严重侵犯公民个人信息安全和合法权益的事件。</w:t>
      </w:r>
    </w:p>
    <w:p w14:paraId="0117AD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（八）员工涉嫌发起、主导或者组织实施非法集资类违法犯罪被立案的事件。</w:t>
      </w:r>
    </w:p>
    <w:p w14:paraId="046A8E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（九）其他需要报告的重大操作风险事件。</w:t>
      </w:r>
    </w:p>
    <w:p w14:paraId="06DA9A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对于第一款规定的重大操作风险事件，国家金融监督管理总局在案件管理、突发事件管理等监管规定中另有报告要求的，应当按照有关要求报告，并在报告时注明该事件属于重大操作风险事件。</w:t>
      </w:r>
    </w:p>
    <w:p w14:paraId="0B60F7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国家金融监督管理总局可以根据监管工作需要，调整第一款规定的重大操作风险事件报告标准。</w:t>
      </w:r>
    </w:p>
    <w:p w14:paraId="2201D5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银行保险机构存在以下情形的，国家金融监督管理总局及其派出机构应当责令改正，并视情形依法采取监管措施：</w:t>
      </w:r>
    </w:p>
    <w:p w14:paraId="3B6A0E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（一）未按照规定制定或者执行操作风险管理制度；</w:t>
      </w:r>
    </w:p>
    <w:p w14:paraId="6EBDB1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（二）未按照规定设置或者履行操作风险管理职责；</w:t>
      </w:r>
    </w:p>
    <w:p w14:paraId="7E460F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（三）未按照规定设置操作风险偏好及其传导机制；</w:t>
      </w:r>
    </w:p>
    <w:p w14:paraId="60E01C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（四）未建立或者落实操作风险管理文化、考核评价机制、培训；</w:t>
      </w:r>
    </w:p>
    <w:p w14:paraId="10B8E2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（五）未建立操作风险管理流程、管理工具和信息系统，或者其设计、应用存在缺陷；</w:t>
      </w:r>
    </w:p>
    <w:p w14:paraId="1FD637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（六）其他违反监管规定的情形。</w:t>
      </w:r>
    </w:p>
    <w:p w14:paraId="781DB0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银行保险机构存在以下情形的，国家金融监督管理总局及其派出机构应当责令改正，并依法实施行政处罚；法律、行政法规没有规定的，由国家金融监督管理总局及其派出机构责令改正，予以警告、通报批评，或者处以二十万元以下罚款；涉嫌犯罪的，应当依法移送司法机关：</w:t>
      </w:r>
    </w:p>
    <w:p w14:paraId="260FCD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（一）严重违反本办法相关规定，导致发生第四十二条规定的重大操作风险事件；</w:t>
      </w:r>
    </w:p>
    <w:p w14:paraId="474188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（二）未按照监管要求整改；</w:t>
      </w:r>
    </w:p>
    <w:p w14:paraId="38256E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（三）瞒报、漏报、故意迟报本办法第四十二条规定的重大操作风险事件，情节严重的；</w:t>
      </w:r>
    </w:p>
    <w:p w14:paraId="0EFF9A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（四）其他严重违反监管规定的情形。</w:t>
      </w:r>
    </w:p>
    <w:p w14:paraId="7EC67E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中国银行业协会、中国保险行业协会等行业协会应当通过组织宣传、培训、自律、协调、服务等方式，协助引导会员单位提高操作风险管理水平。</w:t>
      </w:r>
    </w:p>
    <w:p w14:paraId="1FEE00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鼓励行业协会、学术机构、中介机构等建立相关领域的操作风险事件和损失数据库。</w:t>
      </w:r>
    </w:p>
    <w:p w14:paraId="08A0CE01" w14:textId="77777777" w:rsidR="00F50CD8" w:rsidRDefault="00F50CD8">
      <w:pPr>
        <w:spacing w:afterLines="50" w:after="156" w:line="360" w:lineRule="auto"/>
        <w:ind w:firstLineChars="200" w:firstLine="480"/>
        <w:rPr>
          <w:rFonts w:ascii="宋体" w:eastAsia="宋体" w:hAnsi="宋体" w:cs="宋体" w:hint="eastAsia"/>
          <w:sz w:val="24"/>
        </w:rPr>
      </w:pPr>
    </w:p>
    <w:p w14:paraId="1C0BAB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附　　则</w:t>
      </w:r>
    </w:p>
    <w:p w14:paraId="06C1C427" w14:textId="77777777" w:rsidR="00F50CD8" w:rsidRDefault="00F50CD8">
      <w:pPr>
        <w:spacing w:afterLines="50" w:after="156" w:line="360" w:lineRule="auto"/>
        <w:ind w:firstLineChars="200" w:firstLine="480"/>
        <w:rPr>
          <w:rFonts w:ascii="宋体" w:eastAsia="宋体" w:hAnsi="宋体" w:cs="宋体" w:hint="eastAsia"/>
          <w:sz w:val="24"/>
        </w:rPr>
      </w:pPr>
    </w:p>
    <w:p w14:paraId="528EC3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本办法所称银行保险机构，是指在中华人民共和国境内依法设立的商业银行、农村合作银行、农村信用合作社等吸收公众存款的金融机构以及开发性金融机构、政策性银行、保险公司。</w:t>
      </w:r>
    </w:p>
    <w:p w14:paraId="49FEC7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华人民共和国境内设立的外国银行分行、保险集团（控股）公司、再保险公司、金融资产管理公司、金融资产投资公司、信托公司、金融租赁公司、财务公司、消费金融公司、汽车金融公司、货币经纪公司、理财公司、保险资产管理公司、金融控股公司以及国家金融监督管理总局及其派出机构监管的其他机构参照本办法执行。</w:t>
      </w:r>
    </w:p>
    <w:p w14:paraId="4E2E6A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本办法所称的规模较大的银行保险机构，是指按照并</w:t>
      </w:r>
      <w:proofErr w:type="gramStart"/>
      <w:r>
        <w:rPr>
          <w:rFonts w:ascii="宋体" w:eastAsia="宋体" w:hAnsi="宋体" w:cs="宋体" w:hint="eastAsia"/>
          <w:sz w:val="24"/>
        </w:rPr>
        <w:t>表调整</w:t>
      </w:r>
      <w:proofErr w:type="gramEnd"/>
      <w:r>
        <w:rPr>
          <w:rFonts w:ascii="宋体" w:eastAsia="宋体" w:hAnsi="宋体" w:cs="宋体" w:hint="eastAsia"/>
          <w:sz w:val="24"/>
        </w:rPr>
        <w:t>后表内外资产（杠杆率分母）达到3000亿元人民币（含等值外币）及以上的银行机构，以及按照并表口径（境内外）表内总资产达到2000亿元人民币（含等值外币）及以上的保险机构。</w:t>
      </w:r>
    </w:p>
    <w:p w14:paraId="65ACBD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规模较小的银行保险机构是指未达到上述标准的机构。</w:t>
      </w:r>
    </w:p>
    <w:p w14:paraId="2EEA1B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未设董事会的银行保险机构，应当由其经营决策机构履行本办法规定的董事会职责。</w:t>
      </w:r>
    </w:p>
    <w:p w14:paraId="662B72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第四十九条　本办法第四条、第七条、第十条、第十二条、第十八条、第二十条关于计量的规定不适用于保险机构。</w:t>
      </w:r>
    </w:p>
    <w:p w14:paraId="2BD198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本办法第二十五条相关规定如与保险公司偿付能力监管规则不一致的，按照保险公司偿付能力监管规则执行。</w:t>
      </w:r>
    </w:p>
    <w:p w14:paraId="22C751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第五十条　关于本办法第二章、第三章、第四章的规定，规模较大的保险机构自本办法施行之日起1年内执行；规模较小的银行保险机构自本办法施行之日起2年内执行。</w:t>
      </w:r>
    </w:p>
    <w:p w14:paraId="5390AD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第五十一条　本办法由国家金融监督管理总局负责解释修订，自2024年7月1日起施行。</w:t>
      </w:r>
    </w:p>
    <w:p w14:paraId="706367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第五十二条　《商业银行操作风险管理指引》（银监发〔2007〕42号）、《中国银行业监督管理委员会关于加大防范操作风险工作力度的通知》（银监发〔2005〕17号）自本办法施行之日起废止。</w:t>
      </w:r>
    </w:p>
    <w:p w14:paraId="308055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附录：名词解释及示例</w:t>
      </w:r>
    </w:p>
    <w:p w14:paraId="466AD0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附录</w:t>
      </w:r>
    </w:p>
    <w:p w14:paraId="0ACB01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名词解释及示例</w:t>
      </w:r>
    </w:p>
    <w:p w14:paraId="28FDAB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一、操作风险事件</w:t>
      </w:r>
    </w:p>
    <w:p w14:paraId="26B021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操作风险事件是指由操作风险引发，导致银行保险机构发生实际或者预计损失的事件。银行保险机构分别依据商业银行资本监管规则和保险公司偿付能力监管规则进行损失事件分类。</w:t>
      </w:r>
    </w:p>
    <w:p w14:paraId="4E09DB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二、法律风险</w:t>
      </w:r>
    </w:p>
    <w:p w14:paraId="6B2426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法律风险包括但不限于下列风险：</w:t>
      </w:r>
    </w:p>
    <w:p w14:paraId="64E52A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1.签订的合同因违反法律或者行政法规可能被依法撤销或者确认无效；</w:t>
      </w:r>
    </w:p>
    <w:p w14:paraId="469A82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2.因违约、侵权或者其他事由被提起诉讼或者申请仲裁，依法可能承担赔偿责任；</w:t>
      </w:r>
    </w:p>
    <w:p w14:paraId="307B10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3.业务、管理活动违反法律、法规或者监管规定，依法可能承担刑事责任或</w:t>
      </w:r>
      <w:r>
        <w:rPr>
          <w:rFonts w:ascii="宋体" w:eastAsia="宋体" w:hAnsi="宋体" w:cs="宋体" w:hint="eastAsia"/>
          <w:sz w:val="24"/>
        </w:rPr>
        <w:lastRenderedPageBreak/>
        <w:t>者行政责任。</w:t>
      </w:r>
    </w:p>
    <w:p w14:paraId="7C431C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三、运营韧性</w:t>
      </w:r>
    </w:p>
    <w:p w14:paraId="3597B4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运营韧性是在发生重大风险和外部事件时，银行保险机构具备的持续提供关键业务和服务的能力。例如，在发生大规模网络攻击、大规模传染病、自然灾害等事件时，银行保险机构通过运营韧性管理机制，能够持续向客户提供存取款、转账、理赔等关键服务。</w:t>
      </w:r>
    </w:p>
    <w:p w14:paraId="17F293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四、操作风险管理报告</w:t>
      </w:r>
    </w:p>
    <w:p w14:paraId="5018C7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第七条、第九条、第十二条规定的操作风险管理报告以及第三十三条规定的操作风险管理情况可以是专项报告，也可以是包括操作风险管理内容的全面风险报告等综合性报告。</w:t>
      </w:r>
    </w:p>
    <w:p w14:paraId="6199A1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五、操作风险类监测指标</w:t>
      </w:r>
    </w:p>
    <w:p w14:paraId="5DE412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第十九条规定的操作风险类监测指标可以包括案件风险率和操作风险损失率。国家金融监督管理总局及其派出机构可以视情形决定，是否确定对特定机构的操作风险类监测指标。</w:t>
      </w:r>
    </w:p>
    <w:p w14:paraId="119CEF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（一）指标计算公式</w:t>
      </w:r>
    </w:p>
    <w:p w14:paraId="4C8D87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案件风险率=业内案件涉案金额/年初总资产和年末总资产的平均数×100%。国家金融监督管理总局对于稽查检查和案件管理制度另有规定的，则从其规定。</w:t>
      </w:r>
    </w:p>
    <w:p w14:paraId="6C9C7E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操作风险损失率=操作风险损失事件的损失金额总和/近三年平均营业收入×100%</w:t>
      </w:r>
    </w:p>
    <w:p w14:paraId="4AAAFA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（二）案件风险率</w:t>
      </w:r>
    </w:p>
    <w:p w14:paraId="1C5CF2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案件风险</w:t>
      </w:r>
      <w:proofErr w:type="gramStart"/>
      <w:r>
        <w:rPr>
          <w:rFonts w:ascii="宋体" w:eastAsia="宋体" w:hAnsi="宋体" w:cs="宋体" w:hint="eastAsia"/>
          <w:sz w:val="24"/>
        </w:rPr>
        <w:t>率应当</w:t>
      </w:r>
      <w:proofErr w:type="gramEnd"/>
      <w:r>
        <w:rPr>
          <w:rFonts w:ascii="宋体" w:eastAsia="宋体" w:hAnsi="宋体" w:cs="宋体" w:hint="eastAsia"/>
          <w:sz w:val="24"/>
        </w:rPr>
        <w:t>保持在监测目标值的合理区间。监测目标值公式为：</w:t>
      </w:r>
    </w:p>
    <w:p w14:paraId="34CD7C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St＝Ss＋ε</w:t>
      </w:r>
    </w:p>
    <w:p w14:paraId="4A2524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St为案件风险率监测目标值；Ss为案件风险率基准值，由监管部门根据同类型机构一定期间的案件风险率、特定机构一定期间的案件风险率，并具体选取时间范围、赋值适当权重后确定。ε为案件风险率调值，由监管部门裁量确定，</w:t>
      </w:r>
      <w:r>
        <w:rPr>
          <w:rFonts w:ascii="宋体" w:eastAsia="宋体" w:hAnsi="宋体" w:cs="宋体" w:hint="eastAsia"/>
          <w:sz w:val="24"/>
        </w:rPr>
        <w:lastRenderedPageBreak/>
        <w:t>主要影响因素包括公司治理和激励约束机制、反洗钱监管情况、风险事件演变情况、内部管理和控制情况、境外机构合</w:t>
      </w:r>
      <w:proofErr w:type="gramStart"/>
      <w:r>
        <w:rPr>
          <w:rFonts w:ascii="宋体" w:eastAsia="宋体" w:hAnsi="宋体" w:cs="宋体" w:hint="eastAsia"/>
          <w:sz w:val="24"/>
        </w:rPr>
        <w:t>规</w:t>
      </w:r>
      <w:proofErr w:type="gramEnd"/>
      <w:r>
        <w:rPr>
          <w:rFonts w:ascii="宋体" w:eastAsia="宋体" w:hAnsi="宋体" w:cs="宋体" w:hint="eastAsia"/>
          <w:sz w:val="24"/>
        </w:rPr>
        <w:t>风险事件情况等。</w:t>
      </w:r>
    </w:p>
    <w:p w14:paraId="0E00CB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（三）操作风险损失率</w:t>
      </w:r>
    </w:p>
    <w:p w14:paraId="4F8F76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操作风险损失率应当保持在监测目标值的合理区间。监测目标值公式为：</w:t>
      </w:r>
    </w:p>
    <w:p w14:paraId="4DB7CA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Lt＝Ls＋ε</w:t>
      </w:r>
    </w:p>
    <w:p w14:paraId="1EED7B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Lt为操作风险损失率监测目标值；Ls为操作风险损失率基准值，监管部门根据同类型机构一定期间的操作风险损失率、特定机构一定期间的实际操作风险损失率，并具体选取时间范围、赋值适当权重后确定。ε为操作风险损失率调整值，由监管部门裁量确定，主要影响因素包括操作风险内部管理和控制情况、操作风险损失事件数据管理情况、相关事件数量和金额变化情况、经济金融周期因素等。</w:t>
      </w:r>
    </w:p>
    <w:p w14:paraId="179F8F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六、风险偏好传导机制</w:t>
      </w:r>
    </w:p>
    <w:p w14:paraId="5F60C9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第十九条规定的风险偏好传导机制，是指银行保险机构根据风险偏好设定容忍</w:t>
      </w:r>
      <w:proofErr w:type="gramStart"/>
      <w:r>
        <w:rPr>
          <w:rFonts w:ascii="宋体" w:eastAsia="宋体" w:hAnsi="宋体" w:cs="宋体" w:hint="eastAsia"/>
          <w:sz w:val="24"/>
        </w:rPr>
        <w:t>度或者</w:t>
      </w:r>
      <w:proofErr w:type="gramEnd"/>
      <w:r>
        <w:rPr>
          <w:rFonts w:ascii="宋体" w:eastAsia="宋体" w:hAnsi="宋体" w:cs="宋体" w:hint="eastAsia"/>
          <w:sz w:val="24"/>
        </w:rPr>
        <w:t>风险限额等，并对境内外附属机构、分支机构或者业务条线等提出相应要求，如对全行（公司）、各附属机构、各分行（分公司）、各业务条线设定操作风险损失率、操作风险事件数量、信息系统服务可用率等指标或者目标值，并进行持续监测、预警和纠偏。其中，信息系统服务可用率=（信息系统计划服务时间—非预期停止服务时间）/计划服务时间×100%。</w:t>
      </w:r>
    </w:p>
    <w:p w14:paraId="1F1243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七、考核评价指标</w:t>
      </w:r>
    </w:p>
    <w:p w14:paraId="1AA8C7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规定的考核评价指标，应当兼顾操作风险管理过程和结果，设置过程类指标和结果类指标。例如，操作风险损失率属于结果类指标，可根据损失率的高低进行评分。操作风险事件报告评分属于过程类指标，可根据事件是否迟报瞒报、填报信息是否规范、重大事件是否按照要求单独分析等进行评分。</w:t>
      </w:r>
    </w:p>
    <w:p w14:paraId="57F7A0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八、固有风险、剩余风险</w:t>
      </w:r>
    </w:p>
    <w:p w14:paraId="51E38A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第二十五条规定的固有风险是指在没有考虑控制、缓释措施或者在其付诸实施之前就已经存在的风险。剩余风险是指现有的风险控制、缓释措施不能消除的</w:t>
      </w:r>
      <w:r>
        <w:rPr>
          <w:rFonts w:ascii="宋体" w:eastAsia="宋体" w:hAnsi="宋体" w:cs="宋体" w:hint="eastAsia"/>
          <w:sz w:val="24"/>
        </w:rPr>
        <w:lastRenderedPageBreak/>
        <w:t>风险。</w:t>
      </w:r>
    </w:p>
    <w:p w14:paraId="213290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条所指固有风险与保险公司偿付能力监管规则不一致，偿付能力监管规则中的固有风险是指在现有正常保险行业物质技术条件和生产组织方式下，保险公司在经营和管理活动中必然存在的、客观的偿付能力相关风险。</w:t>
      </w:r>
    </w:p>
    <w:p w14:paraId="2BE6D7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九、操作风险等级</w:t>
      </w:r>
    </w:p>
    <w:p w14:paraId="51F1E8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规定的操作风险等级由银行保险机构自行划分。例如，通常可划分为三个等级：发生可能性（频率）低、影响（损失）程度低的，风险等级为低；发生可能性（频率）高、影响（损失）程度低的，风险等级为中；发生可能性（频率）低、影响（损失）程度高或者发生可能性（频率）高、影响（损失）程度高的，风险等级为高。</w:t>
      </w:r>
    </w:p>
    <w:p w14:paraId="486EA1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十、缓释操作风险</w:t>
      </w:r>
    </w:p>
    <w:p w14:paraId="573E0C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规定的购买保险是指，银行保险机构通过购买保险，在自然灾害或者意外事故导致形成实物资产损失时，获得保险赔付，收回部分或者全部损失，有效缓释风险。其中，保险公司向本机构和关联机构购买保险不属于有效缓释风险。</w:t>
      </w:r>
    </w:p>
    <w:p w14:paraId="026F4E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十一、操作风险损失数据库、操作风险自评估、关键风险指标</w:t>
      </w:r>
    </w:p>
    <w:p w14:paraId="0315C3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第三十五条规定的操作风险损失数据库、操作风险自评估、关键风险指标是银行保险机构用于管理操作风险的基础工具。</w:t>
      </w:r>
    </w:p>
    <w:p w14:paraId="74EC5D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（一）操作风险损失数据库</w:t>
      </w:r>
    </w:p>
    <w:p w14:paraId="2AC245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操作风险损失数据库（保险公司偿付能力监管规则称为操作风险损失事件库）是指按统一的操作风险分类标准，收集汇总相应操作风险事件信息。操作风险损失数据库应当结合管理需要，收集一定金额以上的操作风险事件信息，收集范围应当至少包括内部损失事件，必要时可收集几近损失事件和外部损失事件。</w:t>
      </w:r>
    </w:p>
    <w:p w14:paraId="7A0153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内部损失事件是指，形成实际或者预计财务损失的操作风险事件，包括通过保险及其他手段收回部分或者全部损失的操作风险事件，以及与信用风险、市场风险等其他风险相关的操作风险事件。</w:t>
      </w:r>
    </w:p>
    <w:p w14:paraId="1FF36D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几近损失事件是指，事件已发生，但未造成实际或者预计的财务损失。例如，银行保险机构因过错造成客户损失，有可能被索赔，但因及时采取补救措施弥补了客户损失，客户谅解并未进行索赔。</w:t>
      </w:r>
    </w:p>
    <w:p w14:paraId="58CD47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外部损失事件是指，业内其他金融机构出现的大额监管处罚、案件等操作风险事件。</w:t>
      </w:r>
    </w:p>
    <w:p w14:paraId="56339C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（二）操作风险自评估</w:t>
      </w:r>
    </w:p>
    <w:p w14:paraId="14FD0A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操作风险自评估是指，识别业务、产品及管理活动中的固有操作风险，分析控制措施有效性，确定剩余操作风险，确定操作风险等级。</w:t>
      </w:r>
    </w:p>
    <w:p w14:paraId="4A7967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（三）关键风险指标</w:t>
      </w:r>
    </w:p>
    <w:p w14:paraId="2E8A54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关键风险指标是指，依据操作风险识别、评估结果，设定相应指标，全面反映机构的操作风险敞口、控制措施有效性及风险变化趋势等情况，并应当具有一定前瞻性。例如，从人员、系统、外部事件等维</w:t>
      </w:r>
      <w:proofErr w:type="gramStart"/>
      <w:r>
        <w:rPr>
          <w:rFonts w:ascii="宋体" w:eastAsia="宋体" w:hAnsi="宋体" w:cs="宋体" w:hint="eastAsia"/>
          <w:sz w:val="24"/>
        </w:rPr>
        <w:t>度制定</w:t>
      </w:r>
      <w:proofErr w:type="gramEnd"/>
      <w:r>
        <w:rPr>
          <w:rFonts w:ascii="宋体" w:eastAsia="宋体" w:hAnsi="宋体" w:cs="宋体" w:hint="eastAsia"/>
          <w:sz w:val="24"/>
        </w:rPr>
        <w:t>业内案件数量、业</w:t>
      </w:r>
      <w:proofErr w:type="gramStart"/>
      <w:r>
        <w:rPr>
          <w:rFonts w:ascii="宋体" w:eastAsia="宋体" w:hAnsi="宋体" w:cs="宋体" w:hint="eastAsia"/>
          <w:sz w:val="24"/>
        </w:rPr>
        <w:t>外案件</w:t>
      </w:r>
      <w:proofErr w:type="gramEnd"/>
      <w:r>
        <w:rPr>
          <w:rFonts w:ascii="宋体" w:eastAsia="宋体" w:hAnsi="宋体" w:cs="宋体" w:hint="eastAsia"/>
          <w:sz w:val="24"/>
        </w:rPr>
        <w:t>涉案金额等作为关键风险指标并设定阈值。</w:t>
      </w:r>
    </w:p>
    <w:p w14:paraId="0BCCFC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十二、事件管理、控制监测和保证框架、情景分析、基准比较分析</w:t>
      </w:r>
    </w:p>
    <w:p w14:paraId="520ECB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第三十五条规定的可以选择运用的操作风险管理工具，包括：</w:t>
      </w:r>
    </w:p>
    <w:p w14:paraId="1C989C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（一）事件管理</w:t>
      </w:r>
    </w:p>
    <w:p w14:paraId="25BED8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事件管理是指，对新发生的、对管理有较大影响的操作风险事件进行分析，识别风险成因、评估控制缺陷，并制定控制优化方案，防止类似事件再次发生。例如，发生操作风险事件后，要求第一道防线开展事件调查分析，查清业务或者管理存在的问题并进行整改。</w:t>
      </w:r>
    </w:p>
    <w:p w14:paraId="2589A5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（二）控制监测和保证框架</w:t>
      </w:r>
    </w:p>
    <w:p w14:paraId="2C9F19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控制监测和保证框架是指，对操作风险自评估等工具识别的关键控制措施进行持续分析、动态优化，确保关键控制措施的有效性。例如，利用控制监测和保证框架对关键控制措施进行评估、重检、持续监测和验证。</w:t>
      </w:r>
    </w:p>
    <w:p w14:paraId="6EAFD8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（三）情景分析</w:t>
      </w:r>
    </w:p>
    <w:p w14:paraId="6B0411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情景分析是指对假设情景进行识别、分析和计量。情景可以包括发生可能性（频率）低、影响程度（损失）高的事件。</w:t>
      </w:r>
    </w:p>
    <w:p w14:paraId="16290A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情景分析的基本假设可以引用操作风险损失数据库、操作风险自评估、关键风险指标、控制监测和保证框架等工具获取的数据信息。运用情景分析可发现潜在风险事件的影响和风险管理的效果，并可对其他风险工具进行完善。</w:t>
      </w:r>
    </w:p>
    <w:p w14:paraId="3F7FDD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情景分析可以与恢复与处置计划结合，用于测试运营韧性。例如，假设银行保险机构发生数据中心无法运行也无法恢复、必须由异地</w:t>
      </w:r>
      <w:proofErr w:type="gramStart"/>
      <w:r>
        <w:rPr>
          <w:rFonts w:ascii="宋体" w:eastAsia="宋体" w:hAnsi="宋体" w:cs="宋体" w:hint="eastAsia"/>
          <w:sz w:val="24"/>
        </w:rPr>
        <w:t>灾备中心</w:t>
      </w:r>
      <w:proofErr w:type="gramEnd"/>
      <w:r>
        <w:rPr>
          <w:rFonts w:ascii="宋体" w:eastAsia="宋体" w:hAnsi="宋体" w:cs="宋体" w:hint="eastAsia"/>
          <w:sz w:val="24"/>
        </w:rPr>
        <w:t>接替的情景，具体运用专家判断评估可能造成的损失和影响，制定业务恢复的优先顺序和恢复时间等目标，分析需要配置的资源保障。</w:t>
      </w:r>
    </w:p>
    <w:p w14:paraId="276D65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（四）基准比较分析</w:t>
      </w:r>
    </w:p>
    <w:p w14:paraId="2AE38E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基准比较分析，一方面是指将内外部监督检查结果、同业操作风险状况与本机构的操作风险识别、评估结果进行比对，对于偏离度较大的，</w:t>
      </w:r>
      <w:proofErr w:type="gramStart"/>
      <w:r>
        <w:rPr>
          <w:rFonts w:ascii="宋体" w:eastAsia="宋体" w:hAnsi="宋体" w:cs="宋体" w:hint="eastAsia"/>
          <w:sz w:val="24"/>
        </w:rPr>
        <w:t>需重启操作</w:t>
      </w:r>
      <w:proofErr w:type="gramEnd"/>
      <w:r>
        <w:rPr>
          <w:rFonts w:ascii="宋体" w:eastAsia="宋体" w:hAnsi="宋体" w:cs="宋体" w:hint="eastAsia"/>
          <w:sz w:val="24"/>
        </w:rPr>
        <w:t>风险识别、评估工作。另一方面是指操作风险管理工具之间互相验证，例如，将操作风险损失数据与操作风险自评估结果进行比较，确定管理工具是否有效运行。</w:t>
      </w:r>
    </w:p>
    <w:p w14:paraId="76ECCABD" w14:textId="77777777" w:rsidR="00F50CD8" w:rsidRDefault="00F50CD8">
      <w:pPr>
        <w:spacing w:afterLines="50" w:after="156" w:line="360" w:lineRule="auto"/>
        <w:rPr>
          <w:rFonts w:ascii="宋体" w:eastAsia="宋体" w:hAnsi="宋体" w:cs="宋体" w:hint="eastAsia"/>
          <w:sz w:val="24"/>
        </w:rPr>
      </w:pPr>
    </w:p>
    <w:p w14:paraId="752AAAAB" w14:textId="77777777" w:rsidR="00F50CD8" w:rsidRDefault="00F50CD8">
      <w:pPr>
        <w:spacing w:afterLines="50" w:after="156" w:line="360" w:lineRule="auto"/>
        <w:rPr>
          <w:rFonts w:ascii="宋体" w:eastAsia="宋体" w:hAnsi="宋体" w:cs="宋体" w:hint="eastAsia"/>
          <w:sz w:val="24"/>
        </w:rPr>
      </w:pPr>
    </w:p>
    <w:p w14:paraId="00E265A0" w14:textId="77777777" w:rsidR="00F50CD8" w:rsidRDefault="00F50CD8">
      <w:pPr>
        <w:spacing w:afterLines="50" w:after="156" w:line="360" w:lineRule="auto"/>
        <w:rPr>
          <w:rFonts w:ascii="宋体" w:eastAsia="宋体" w:hAnsi="宋体" w:cs="宋体" w:hint="eastAsia"/>
          <w:sz w:val="24"/>
        </w:rPr>
      </w:pPr>
    </w:p>
    <w:p w14:paraId="08615636" w14:textId="77777777" w:rsidR="00F50CD8" w:rsidRDefault="00F50CD8">
      <w:pPr>
        <w:spacing w:afterLines="50" w:after="156" w:line="360" w:lineRule="auto"/>
        <w:rPr>
          <w:rFonts w:ascii="宋体" w:eastAsia="宋体" w:hAnsi="宋体" w:cs="宋体" w:hint="eastAsia"/>
          <w:sz w:val="24"/>
        </w:rPr>
      </w:pPr>
    </w:p>
    <w:p w14:paraId="19351A1B" w14:textId="77777777" w:rsidR="00F50CD8" w:rsidRDefault="00F50CD8">
      <w:pPr>
        <w:spacing w:afterLines="50" w:after="156" w:line="360" w:lineRule="auto"/>
        <w:rPr>
          <w:rFonts w:ascii="宋体" w:eastAsia="宋体" w:hAnsi="宋体" w:cs="宋体" w:hint="eastAsia"/>
          <w:sz w:val="24"/>
        </w:rPr>
      </w:pPr>
    </w:p>
    <w:p w14:paraId="25373D89" w14:textId="77777777" w:rsidR="00F50CD8" w:rsidRDefault="00F50CD8">
      <w:pPr>
        <w:spacing w:afterLines="50" w:after="156" w:line="360" w:lineRule="auto"/>
        <w:rPr>
          <w:rFonts w:ascii="宋体" w:eastAsia="宋体" w:hAnsi="宋体" w:cs="宋体" w:hint="eastAsia"/>
          <w:sz w:val="24"/>
        </w:rPr>
      </w:pPr>
    </w:p>
    <w:p w14:paraId="53408A0C" w14:textId="77777777" w:rsidR="00F50CD8" w:rsidRDefault="00F50CD8">
      <w:pPr>
        <w:spacing w:afterLines="50" w:after="156" w:line="360" w:lineRule="auto"/>
        <w:rPr>
          <w:rFonts w:ascii="宋体" w:eastAsia="宋体" w:hAnsi="宋体" w:cs="宋体" w:hint="eastAsia"/>
          <w:sz w:val="24"/>
        </w:rPr>
      </w:pPr>
    </w:p>
    <w:p w14:paraId="6DFCC550" w14:textId="77777777" w:rsidR="00F50CD8" w:rsidRDefault="00F50CD8">
      <w:pPr>
        <w:spacing w:afterLines="50" w:after="156" w:line="360" w:lineRule="auto"/>
        <w:rPr>
          <w:rFonts w:ascii="宋体" w:eastAsia="宋体" w:hAnsi="宋体" w:cs="宋体" w:hint="eastAsia"/>
          <w:sz w:val="24"/>
        </w:rPr>
      </w:pPr>
    </w:p>
    <w:p w14:paraId="152A7338" w14:textId="77777777" w:rsidR="00F50CD8" w:rsidRDefault="00F50CD8">
      <w:pPr>
        <w:spacing w:afterLines="50" w:after="156" w:line="360" w:lineRule="auto"/>
        <w:rPr>
          <w:rFonts w:ascii="宋体" w:eastAsia="宋体" w:hAnsi="宋体" w:cs="宋体" w:hint="eastAsia"/>
          <w:sz w:val="24"/>
        </w:rPr>
      </w:pPr>
    </w:p>
    <w:p w14:paraId="1892E737" w14:textId="77777777" w:rsidR="00F50CD8" w:rsidRDefault="00000000">
      <w:pPr>
        <w:pStyle w:val="1"/>
        <w:spacing w:afterLines="50" w:after="156" w:line="360" w:lineRule="auto"/>
        <w:ind w:firstLineChars="200" w:firstLine="482"/>
        <w:rPr>
          <w:rFonts w:ascii="宋体" w:eastAsia="宋体" w:hAnsi="宋体" w:cs="宋体" w:hint="eastAsia"/>
          <w:bCs/>
          <w:szCs w:val="24"/>
        </w:rPr>
      </w:pPr>
      <w:r>
        <w:rPr>
          <w:rStyle w:val="10"/>
          <w:rFonts w:ascii="宋体" w:eastAsia="宋体" w:hAnsi="宋体" w:cs="宋体" w:hint="eastAsia"/>
          <w:b/>
        </w:rPr>
        <w:lastRenderedPageBreak/>
        <w:t>47</w:t>
      </w:r>
      <w:r>
        <w:rPr>
          <w:rFonts w:ascii="宋体" w:eastAsia="宋体" w:hAnsi="宋体" w:cs="宋体" w:hint="eastAsia"/>
          <w:bCs/>
          <w:szCs w:val="24"/>
        </w:rPr>
        <w:t>.《中国银行业监督管理委员会关于建立银行业金融机构市场风险管理计量参考基准的通知》</w:t>
      </w:r>
    </w:p>
    <w:p w14:paraId="56BCE1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2722DD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文号：银监发〔2007〕48号</w:t>
      </w:r>
      <w:r>
        <w:rPr>
          <w:rFonts w:ascii="宋体" w:eastAsia="宋体" w:hAnsi="宋体" w:cs="宋体" w:hint="eastAsia"/>
          <w:sz w:val="24"/>
        </w:rPr>
        <w:tab/>
      </w:r>
    </w:p>
    <w:p w14:paraId="7F98BC68"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局，各政策性银行、国有商业银行、股份制商业银行、邮储银行：</w:t>
      </w:r>
    </w:p>
    <w:p w14:paraId="2180EF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为进一步加强银行业金融机构市场风险管理，尽快建立银行业金融机构市场风险管理计量参考基准，现就有关要求通知如下：</w:t>
      </w:r>
    </w:p>
    <w:p w14:paraId="6A6FBB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一、各行应高度重视市场风险管理工作，切实加强对人民币债券收益率曲线（以下简称收益率曲线）的研究和应用。</w:t>
      </w:r>
    </w:p>
    <w:p w14:paraId="5B665B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二、各行可使用自行编制的或其他机构编制的收益率曲线进行市场风险管理，所使用的收益率曲线对市场变化情况的反映要客观、合理。</w:t>
      </w:r>
    </w:p>
    <w:p w14:paraId="00E153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三、各行用于市场风险管理的收益率曲线应力</w:t>
      </w:r>
      <w:proofErr w:type="gramStart"/>
      <w:r>
        <w:rPr>
          <w:rFonts w:ascii="宋体" w:eastAsia="宋体" w:hAnsi="宋体" w:cs="宋体" w:hint="eastAsia"/>
          <w:sz w:val="24"/>
        </w:rPr>
        <w:t>求建立</w:t>
      </w:r>
      <w:proofErr w:type="gramEnd"/>
      <w:r>
        <w:rPr>
          <w:rFonts w:ascii="宋体" w:eastAsia="宋体" w:hAnsi="宋体" w:cs="宋体" w:hint="eastAsia"/>
          <w:sz w:val="24"/>
        </w:rPr>
        <w:t>在全面、客观、合理的债券数据源基础上，并尽量剔除异常价格的影响。</w:t>
      </w:r>
    </w:p>
    <w:p w14:paraId="5F5CF0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四、各行用于市场风险管理的收益率曲线的构建模型应适应债券市场多变的收益率形态，并满足光滑性和稳定性的要求。</w:t>
      </w:r>
    </w:p>
    <w:p w14:paraId="0B721D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五、各行用于市场风险管理的收益率曲线应至少有一年以上的收益率曲线数据可供比较、查询。</w:t>
      </w:r>
    </w:p>
    <w:p w14:paraId="33EF44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六、各行用于市场风险管理的收益率曲线应包括但不限于国债、央行票据、政策性金融债等人民币债券品种。</w:t>
      </w:r>
    </w:p>
    <w:p w14:paraId="7D119D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从2007年10月第一个工作日开始，各行应采用中央国债登记结算有限责任公司编制公布的银行间国债收益率曲线、央行票据收益率曲线与政策性金融债收益率曲线(以下简称中债收益率曲线)计算交易账户人民币头寸市值，并与根据自行编制或其他机构编制的收益率曲线计算得出的相应市值在每个工作日至少进行一次比较。如果在每个季度内有5个（含）以上工作日两者计算结果相差超过1%，应在下个季度前10个工作日内向中国银监会书面报告，并做出详细、准确的说明。</w:t>
      </w:r>
    </w:p>
    <w:p w14:paraId="27D80D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八、直接使用中债收益率曲线对交易账户人民币头寸进行市值计算的银行，不适用第七条规定。</w:t>
      </w:r>
    </w:p>
    <w:p w14:paraId="2692E7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九、鼓励各行参照第七条规定的中债收益率曲线计算风险价值(</w:t>
      </w:r>
      <w:proofErr w:type="spellStart"/>
      <w:r>
        <w:rPr>
          <w:rFonts w:ascii="宋体" w:eastAsia="宋体" w:hAnsi="宋体" w:cs="宋体" w:hint="eastAsia"/>
          <w:sz w:val="24"/>
        </w:rPr>
        <w:t>VaR</w:t>
      </w:r>
      <w:proofErr w:type="spellEnd"/>
      <w:r>
        <w:rPr>
          <w:rFonts w:ascii="宋体" w:eastAsia="宋体" w:hAnsi="宋体" w:cs="宋体" w:hint="eastAsia"/>
          <w:sz w:val="24"/>
        </w:rPr>
        <w:t>)等市场风险管理数据,对所承担的市场风险水平进行量化计算。</w:t>
      </w:r>
    </w:p>
    <w:p w14:paraId="6CBC28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十、境内外资法人银行、外国银行分行适用本通知各项规定。城市商业银行、农村商业银行、农村合作银行、城市信用社等其他银行业金融机构可根据具体情况参照执行。</w:t>
      </w:r>
    </w:p>
    <w:p w14:paraId="095B5D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十一、属地监管的银行业金融机构法人在按照第七条规定向银监会报告的同时，应将报告抄送所在地银行业监管机构。</w:t>
      </w:r>
    </w:p>
    <w:p w14:paraId="111D66FD"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请各银监</w:t>
      </w:r>
      <w:proofErr w:type="gramEnd"/>
      <w:r>
        <w:rPr>
          <w:rFonts w:ascii="宋体" w:eastAsia="宋体" w:hAnsi="宋体" w:cs="宋体" w:hint="eastAsia"/>
          <w:sz w:val="24"/>
        </w:rPr>
        <w:t>局将本通知转发至辖内各法人银行业金融机构。</w:t>
      </w:r>
    </w:p>
    <w:p w14:paraId="3004B9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中国银行业监督管理委员会</w:t>
      </w:r>
    </w:p>
    <w:p w14:paraId="4054CDF0"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二〇〇七年五月二十日</w:t>
      </w:r>
    </w:p>
    <w:p w14:paraId="106D35B9"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48.《贷款风险分类指引》</w:t>
      </w:r>
      <w:r>
        <w:rPr>
          <w:rFonts w:ascii="宋体" w:eastAsia="宋体" w:hAnsi="宋体" w:cs="宋体" w:hint="eastAsia"/>
          <w:b/>
          <w:bCs/>
          <w:sz w:val="24"/>
        </w:rPr>
        <w:tab/>
      </w:r>
    </w:p>
    <w:p w14:paraId="48B2C3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0CF9BF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文号：银监发〔2007〕54号</w:t>
      </w:r>
    </w:p>
    <w:p w14:paraId="64213E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为促进商业银行完善信贷管理，科学评估信贷资产质量，根据《中华人民共和国银行业监督管理法》、《中华人民共和国商业银行法》及其他法律、行政法规，制定本指引。</w:t>
      </w:r>
    </w:p>
    <w:p w14:paraId="6A7292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本指引所指的贷款分类，是指商业银行按照风险程度将贷款划分为不同档次的过程，其实质是判断债务人及时足额偿还贷款本息的可能性。</w:t>
      </w:r>
    </w:p>
    <w:p w14:paraId="4867CD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通过贷款分类应达到以下目标：</w:t>
      </w:r>
    </w:p>
    <w:p w14:paraId="515089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（一）揭示贷款的实际价值和风险程度，真实、全面、动态地反映贷款质量。</w:t>
      </w:r>
    </w:p>
    <w:p w14:paraId="19A75A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（二）及时发现信贷管理过程中存在的问题，加强贷款管理。</w:t>
      </w:r>
    </w:p>
    <w:p w14:paraId="4453F7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（三）为判断贷款损失准备金是否充足提供依据。</w:t>
      </w:r>
    </w:p>
    <w:p w14:paraId="644F2D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贷款分类应遵循以下原则：</w:t>
      </w:r>
    </w:p>
    <w:p w14:paraId="4C8814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（一）真实性原则。分类应真实客观地反映贷款的风险状况。</w:t>
      </w:r>
    </w:p>
    <w:p w14:paraId="1B75C6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（二）及时性原则。应及时、动态地根据借款人经营管理等状况的变化调整分类结果。</w:t>
      </w:r>
    </w:p>
    <w:p w14:paraId="104876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（三）重要性原则。对影响贷款分类的诸多因素，要根据本指引第五条的核心定义确定关键因素进行评估和分类。</w:t>
      </w:r>
    </w:p>
    <w:p w14:paraId="46E45E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（四）审慎性原则。对难以准确判断借款人还款能力的贷款，应适度下调其分类等级。</w:t>
      </w:r>
    </w:p>
    <w:p w14:paraId="41FDE5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商业银行应按照本指引，至少将贷款划分为正常、关注、次级、可疑和损失五类，后三类合称为不良贷款。</w:t>
      </w:r>
    </w:p>
    <w:p w14:paraId="4460E4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正常：借款人能够履行合同，没有足够理由怀疑贷款本息不能按时足额偿还。</w:t>
      </w:r>
    </w:p>
    <w:p w14:paraId="543C4C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关注：尽管借款人目前有能力偿还贷款本息，但存在一些可能对偿还产生不</w:t>
      </w:r>
      <w:r>
        <w:rPr>
          <w:rFonts w:ascii="宋体" w:eastAsia="宋体" w:hAnsi="宋体" w:cs="宋体" w:hint="eastAsia"/>
          <w:sz w:val="24"/>
        </w:rPr>
        <w:lastRenderedPageBreak/>
        <w:t>利影响的因素。</w:t>
      </w:r>
    </w:p>
    <w:p w14:paraId="28608D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次级：借款人的还款能力出现明显问题，完全依靠其正常营业收入无法足额偿还贷款本息，即使执行担保，也可能会造成一定损失。</w:t>
      </w:r>
    </w:p>
    <w:p w14:paraId="1B1D3F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可疑：借款人无法足额偿还贷款本息，即使执行担保，也肯定要造成较大损失。</w:t>
      </w:r>
    </w:p>
    <w:p w14:paraId="4C1403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损失：在采取所有可能的措施或一切必要的法律程序之后，本息仍然无法收回，或只能收回极少部分。</w:t>
      </w:r>
    </w:p>
    <w:p w14:paraId="36C92C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商业银行对贷款进行分类，应注意考虑以下因素：</w:t>
      </w:r>
    </w:p>
    <w:p w14:paraId="5EB691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（一）借款人的还款能力。</w:t>
      </w:r>
    </w:p>
    <w:p w14:paraId="1D04F0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（二）借款人的还款记录。</w:t>
      </w:r>
    </w:p>
    <w:p w14:paraId="617AA0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（三）借款人的还款意愿。</w:t>
      </w:r>
    </w:p>
    <w:p w14:paraId="387216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（四）贷款项目的盈利能力。</w:t>
      </w:r>
    </w:p>
    <w:p w14:paraId="0BE006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（五）贷款的担保。</w:t>
      </w:r>
    </w:p>
    <w:p w14:paraId="2C65C6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（六）贷款偿还的法律责任。</w:t>
      </w:r>
    </w:p>
    <w:p w14:paraId="577BDA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（七）银行的信贷管理状况。</w:t>
      </w:r>
    </w:p>
    <w:p w14:paraId="4574E3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对贷款进行分类时，要以评估借款人的还款能力为核心，把借款人的正常营业收入作为贷款的主要还款来源，贷款的担保作为次要还款来源。</w:t>
      </w:r>
    </w:p>
    <w:p w14:paraId="304584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借款人的还款能力包括借款人现金流量、财务状况、影响还款能力的非财务因素等。</w:t>
      </w:r>
    </w:p>
    <w:p w14:paraId="75FBA2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不能用客户的信用评级代替对贷款的分类，信用评级只能作为贷款分类的参考因素。</w:t>
      </w:r>
    </w:p>
    <w:p w14:paraId="51A1F4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对零售贷款如自然人和小企业贷款主要采取脱期法，依据贷款逾期可同时结合信用等级、担保情况等进行风险分类。</w:t>
      </w:r>
    </w:p>
    <w:p w14:paraId="4D2360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同一笔贷款不得进行拆分分类。</w:t>
      </w:r>
    </w:p>
    <w:p w14:paraId="612EDD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第十条 下列贷款应至少归为关注类：</w:t>
      </w:r>
    </w:p>
    <w:p w14:paraId="5DE992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（一）本金和利息虽尚未逾期，但借款人有利用兼并、重组、分立等形式恶意逃废银行债务的嫌疑。</w:t>
      </w:r>
    </w:p>
    <w:p w14:paraId="64B453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（二）借新还旧，或者需通过其他融资方式偿还。</w:t>
      </w:r>
    </w:p>
    <w:p w14:paraId="74F6EA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（三）改变贷款用途。</w:t>
      </w:r>
    </w:p>
    <w:p w14:paraId="3F9777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（四）本金或者利息逾期。</w:t>
      </w:r>
    </w:p>
    <w:p w14:paraId="30C2D2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（五）同一借款人对本行或其他银行的部分债务已经不良。</w:t>
      </w:r>
    </w:p>
    <w:p w14:paraId="3D1764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（六）违反国家有关法律和法规发放的贷款。</w:t>
      </w:r>
    </w:p>
    <w:p w14:paraId="458783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下列贷款应至少归为次级类：</w:t>
      </w:r>
    </w:p>
    <w:p w14:paraId="7ADD25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（一）逾期（含展期后）超过一定期限、其应收利息不再计入当期损益。</w:t>
      </w:r>
    </w:p>
    <w:p w14:paraId="10EB79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（二）借款人利用合并、分立等形式恶意逃废银行债务，本金或者利息已经逾期。</w:t>
      </w:r>
    </w:p>
    <w:p w14:paraId="349ED8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需要重组的贷款应至少归为次级类。</w:t>
      </w:r>
    </w:p>
    <w:p w14:paraId="4CF276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重组贷款是指银行由于借款人财务状况恶化，或无力还款而对借款合同还款条款</w:t>
      </w:r>
      <w:proofErr w:type="gramStart"/>
      <w:r>
        <w:rPr>
          <w:rFonts w:ascii="宋体" w:eastAsia="宋体" w:hAnsi="宋体" w:cs="宋体" w:hint="eastAsia"/>
          <w:sz w:val="24"/>
        </w:rPr>
        <w:t>作出</w:t>
      </w:r>
      <w:proofErr w:type="gramEnd"/>
      <w:r>
        <w:rPr>
          <w:rFonts w:ascii="宋体" w:eastAsia="宋体" w:hAnsi="宋体" w:cs="宋体" w:hint="eastAsia"/>
          <w:sz w:val="24"/>
        </w:rPr>
        <w:t>调整的贷款。</w:t>
      </w:r>
    </w:p>
    <w:p w14:paraId="0CC9E1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重组后的贷款（简称重组贷款）如果仍然逾期，或者借款人仍然无力归还贷款，应至少归为可疑类。</w:t>
      </w:r>
    </w:p>
    <w:p w14:paraId="37DDDA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重组贷款的分类档次在至少6个月的观察期内不得调离，观察期结束后，应严格按照本指引规定进行分类。</w:t>
      </w:r>
    </w:p>
    <w:p w14:paraId="5502EE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商业银行在贷款分类中应当做到：</w:t>
      </w:r>
    </w:p>
    <w:p w14:paraId="6C8B47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（一）制定和修订信贷资产风险分类的管理政策、操作实施细则或业务操作流程。</w:t>
      </w:r>
    </w:p>
    <w:p w14:paraId="363F0B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（二）开发和运用信贷资产风险分类操作实施系统和信息管理系统。</w:t>
      </w:r>
    </w:p>
    <w:p w14:paraId="2B9A49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（三）保证信贷资产分类人员具备必要的分类知识和业务素质。</w:t>
      </w:r>
    </w:p>
    <w:p w14:paraId="590297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（四）建立完整的信贷档案，保证分类资料信息准确、连续、完整。</w:t>
      </w:r>
    </w:p>
    <w:p w14:paraId="538A62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（五）建立有效的信贷组织管理体制，形成相互监督制约的内部控制机制，保证贷款分类的独立、连续、可靠。</w:t>
      </w:r>
    </w:p>
    <w:p w14:paraId="7EE013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商业银行高级管理层要对贷款分类制度的执行、贷款分类的结果承担责任。</w:t>
      </w:r>
    </w:p>
    <w:p w14:paraId="756322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商业银行应至少每季度对全部贷款进行一次分类。</w:t>
      </w:r>
    </w:p>
    <w:p w14:paraId="773E52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如果影响借款人财务状况或贷款偿还因素发生重大变化，应及时调整对贷款的分类。</w:t>
      </w:r>
    </w:p>
    <w:p w14:paraId="2CFC6C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对不良贷款应严密监控，加大分析和分类的频率，根据贷款的风险状况采取相应的管理措施。</w:t>
      </w:r>
    </w:p>
    <w:p w14:paraId="6AD3A5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逾期天数是分类的重要参考指标。商业银行应加强对贷款的期限管理。</w:t>
      </w:r>
    </w:p>
    <w:p w14:paraId="547B76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商业银行内部审计部门应对信贷资产分类政策、程序和执行情况进行检查和评估，将结果向上级行或董事会</w:t>
      </w:r>
      <w:proofErr w:type="gramStart"/>
      <w:r>
        <w:rPr>
          <w:rFonts w:ascii="宋体" w:eastAsia="宋体" w:hAnsi="宋体" w:cs="宋体" w:hint="eastAsia"/>
          <w:sz w:val="24"/>
        </w:rPr>
        <w:t>作出</w:t>
      </w:r>
      <w:proofErr w:type="gramEnd"/>
      <w:r>
        <w:rPr>
          <w:rFonts w:ascii="宋体" w:eastAsia="宋体" w:hAnsi="宋体" w:cs="宋体" w:hint="eastAsia"/>
          <w:sz w:val="24"/>
        </w:rPr>
        <w:t>书面汇报，并报送中国银行业监督管理委员会或其派出机构。</w:t>
      </w:r>
    </w:p>
    <w:p w14:paraId="1F8433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检查、评估的频率每年不得少于一次。</w:t>
      </w:r>
    </w:p>
    <w:p w14:paraId="2DA909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本指引规定的贷款分类方式是贷款风险分类的最低要求，各商业银行可根据自身实际制定贷款分类制度，细化分类方法，但不得低于本指引提出的标准和要求，并与本指引的贷款风险分类方法具有明确的对应和转换关系。</w:t>
      </w:r>
    </w:p>
    <w:p w14:paraId="48E4B8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商业银行制定的贷款分类制度应向中国银行业监督管理委员会或其派出机构进行报备。</w:t>
      </w:r>
    </w:p>
    <w:p w14:paraId="0992FF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对贷款以外的各类资产，包括表外项目中的直接信用替代项目，也应根据资产的净值、债务人的偿还能力、债务人的信用评级情况和担保情况划分为正常、关注、次级、可疑、损失五类，其中后三类合称为不良资产。</w:t>
      </w:r>
    </w:p>
    <w:p w14:paraId="67662E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分类时，要以资产价值的安全程度为核心，具体可参照贷款风险分类的标准和要求。</w:t>
      </w:r>
    </w:p>
    <w:p w14:paraId="562575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第十九条 中国银行业监督管理委员会及其派出机构通过现场检查和非现场监管对贷款分类及其质量进行监督管理。</w:t>
      </w:r>
    </w:p>
    <w:p w14:paraId="762433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商业银行应当按照相关规定，向中国银行业监督管理委员会及其派出机构报送贷款分类的数据资料。</w:t>
      </w:r>
    </w:p>
    <w:p w14:paraId="65CFF8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商业银行应在贷款分类的基础上，根据有关规定及时足额计</w:t>
      </w:r>
      <w:proofErr w:type="gramStart"/>
      <w:r>
        <w:rPr>
          <w:rFonts w:ascii="宋体" w:eastAsia="宋体" w:hAnsi="宋体" w:cs="宋体" w:hint="eastAsia"/>
          <w:sz w:val="24"/>
        </w:rPr>
        <w:t>提贷</w:t>
      </w:r>
      <w:proofErr w:type="gramEnd"/>
      <w:r>
        <w:rPr>
          <w:rFonts w:ascii="宋体" w:eastAsia="宋体" w:hAnsi="宋体" w:cs="宋体" w:hint="eastAsia"/>
          <w:sz w:val="24"/>
        </w:rPr>
        <w:t>款损失准备，核销贷款损失。</w:t>
      </w:r>
    </w:p>
    <w:p w14:paraId="767A01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商业银行应依据有关信息披露的规定，披露贷款分类方法、程序、结果及贷款损失计提、贷款损失核销等信息。</w:t>
      </w:r>
    </w:p>
    <w:p w14:paraId="419C5D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本指引适用于各类商业银行、农村合作银行、村镇银行、贷款公司和农村信用社。</w:t>
      </w:r>
    </w:p>
    <w:p w14:paraId="26CAD1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政策性银行和经中国银行业监督管理委员会批准经营信贷业务的其他金融机构可参照本指引建立各自的分类制度，但不应低于本指引所提出的标准和要求。</w:t>
      </w:r>
    </w:p>
    <w:p w14:paraId="4DE1E3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本指引由中国银行业监督管理委员会负责解释和修改。</w:t>
      </w:r>
    </w:p>
    <w:p w14:paraId="6DE37103"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第二十五条 本指引自发布之日起施行，在本指引发布施行前有关规定与本指引相抵触的，以本指引为准。</w:t>
      </w:r>
    </w:p>
    <w:p w14:paraId="4973634B"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49.《中国银监会关于有效防范企业债担保风险的意见》</w:t>
      </w:r>
      <w:r>
        <w:rPr>
          <w:rFonts w:ascii="宋体" w:eastAsia="宋体" w:hAnsi="宋体" w:cs="宋体" w:hint="eastAsia"/>
          <w:b/>
          <w:bCs/>
          <w:sz w:val="24"/>
        </w:rPr>
        <w:tab/>
      </w:r>
    </w:p>
    <w:p w14:paraId="6AB520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41BE93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文号：银监发〔2007〕75号</w:t>
      </w:r>
    </w:p>
    <w:p w14:paraId="471D1698"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局，各政策性银行、国有商业银行、股份制商业银行，邮政储蓄银行，银监会直接监管的信托公司、财务公司、租赁公司：</w:t>
      </w:r>
    </w:p>
    <w:p w14:paraId="41F8A5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近年来，企业债券发行规模快速增长，债券品种和发行主体日益多样化，对构建多层次资本市场、提高金融资源配置效率、深化国有企业改革起到了重要作用。但部分银行存在忽视企业信用风险、盲目为企业发债提供担保的问题。为有效防范企业债券发行担保风险，保障银行资产安全，现就有关问题提出以下意见：</w:t>
      </w:r>
    </w:p>
    <w:p w14:paraId="7AE3A9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一、严格区分直接融资和间接融资市场不同的利益主体，防止侵害存款人利益</w:t>
      </w:r>
    </w:p>
    <w:p w14:paraId="0AF003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券市场是直接融资市场，与以银行作为中介的间接融资市场有本质区别。直接融资市场以企业信用为基础，需保护投资人利益；间接融资市场以银行信用为基础，主要保护存款人利益。企业发债强调的是企业资信和还款能力，应与银行授</w:t>
      </w:r>
      <w:proofErr w:type="gramStart"/>
      <w:r>
        <w:rPr>
          <w:rFonts w:ascii="宋体" w:eastAsia="宋体" w:hAnsi="宋体" w:cs="宋体" w:hint="eastAsia"/>
          <w:sz w:val="24"/>
        </w:rPr>
        <w:t>信严格</w:t>
      </w:r>
      <w:proofErr w:type="gramEnd"/>
      <w:r>
        <w:rPr>
          <w:rFonts w:ascii="宋体" w:eastAsia="宋体" w:hAnsi="宋体" w:cs="宋体" w:hint="eastAsia"/>
          <w:sz w:val="24"/>
        </w:rPr>
        <w:t>区分。按照我国现行债券发行审批要求，发债企业须聘请其他独立经济法人依法对企业</w:t>
      </w:r>
      <w:proofErr w:type="gramStart"/>
      <w:r>
        <w:rPr>
          <w:rFonts w:ascii="宋体" w:eastAsia="宋体" w:hAnsi="宋体" w:cs="宋体" w:hint="eastAsia"/>
          <w:sz w:val="24"/>
        </w:rPr>
        <w:t>债进行</w:t>
      </w:r>
      <w:proofErr w:type="gramEnd"/>
      <w:r>
        <w:rPr>
          <w:rFonts w:ascii="宋体" w:eastAsia="宋体" w:hAnsi="宋体" w:cs="宋体" w:hint="eastAsia"/>
          <w:sz w:val="24"/>
        </w:rPr>
        <w:t>担保，担保人应承担连带担保责任。若银行为企业债券提供担保，一旦债券到期不能偿付，银行将代为承担偿付责任，这实质掩盖了债券真实风险，以银行信用代替或补充了企业信用。一方面，这可能引发发债企业和债券投资者双方的道德风险，难以建立市场化定价机制，不利于培育发债主体和投资者风险意识，有悖于国家大力发展债券市场、促进直接融资的初衷。另一方面，银行为企业发债提供担保，担保费率远低于贷款利率，而承担的信用风险却与贷款无异，甚至因缺乏严格的审批程序和有效的监控措施会高于贷款风险。还要间接承担额外的交易对手风险以及市场风险。银行担保保护了债券投资人利益，却使债券市场的各类风险转移至银行系统，可能损害银行股东利益和存款人资金安全。</w:t>
      </w:r>
    </w:p>
    <w:p w14:paraId="34CE6F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二、充分认识企业债担保风险，防止偿债风险的跨业转移</w:t>
      </w:r>
    </w:p>
    <w:p w14:paraId="6E9717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现阶段我国债券市场尚不发达，债券发行人信用水平不高，债券发行申请、</w:t>
      </w:r>
      <w:r>
        <w:rPr>
          <w:rFonts w:ascii="宋体" w:eastAsia="宋体" w:hAnsi="宋体" w:cs="宋体" w:hint="eastAsia"/>
          <w:sz w:val="24"/>
        </w:rPr>
        <w:lastRenderedPageBreak/>
        <w:t>审批、债券资金运用监督、信息披露等制度有待健全，债券到期偿付风险较高，各银行应充分认识为企业</w:t>
      </w:r>
      <w:proofErr w:type="gramStart"/>
      <w:r>
        <w:rPr>
          <w:rFonts w:ascii="宋体" w:eastAsia="宋体" w:hAnsi="宋体" w:cs="宋体" w:hint="eastAsia"/>
          <w:sz w:val="24"/>
        </w:rPr>
        <w:t>债提供</w:t>
      </w:r>
      <w:proofErr w:type="gramEnd"/>
      <w:r>
        <w:rPr>
          <w:rFonts w:ascii="宋体" w:eastAsia="宋体" w:hAnsi="宋体" w:cs="宋体" w:hint="eastAsia"/>
          <w:sz w:val="24"/>
        </w:rPr>
        <w:t>担保的风险。一是目前企业债发行市场化程度不高，中介机构发展相对滞后，部分评级公司的专业性、公信力不强，相关法律审查、会计审计的独立性不够，难以准确评判企业</w:t>
      </w:r>
      <w:proofErr w:type="gramStart"/>
      <w:r>
        <w:rPr>
          <w:rFonts w:ascii="宋体" w:eastAsia="宋体" w:hAnsi="宋体" w:cs="宋体" w:hint="eastAsia"/>
          <w:sz w:val="24"/>
        </w:rPr>
        <w:t>债真实</w:t>
      </w:r>
      <w:proofErr w:type="gramEnd"/>
      <w:r>
        <w:rPr>
          <w:rFonts w:ascii="宋体" w:eastAsia="宋体" w:hAnsi="宋体" w:cs="宋体" w:hint="eastAsia"/>
          <w:sz w:val="24"/>
        </w:rPr>
        <w:t>风险和发挥有效监督。二是发债企业信息披露要求得不到有效落实，担保银行对发债企业资金使用和经营情况缺乏有效监控手段，企业一旦改变债券资金用途或发生其他影响偿债能力的事件，银行难以及时采取有效措施化解风险。如部分企业发债所筹资金违规流入股市和房市，增大了银行担保风险。三是个别银行未将对客户的担保纳入统一授信管理，未按照《商业银行授信尽职工作指引》要求对被担保企业进行严格审查，甚至存在为维持客户关系放松担保条件要求等问题，需要引起高度关注。</w:t>
      </w:r>
    </w:p>
    <w:p w14:paraId="357039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三、加强债券担保管理，健全或有负债风险问责制</w:t>
      </w:r>
    </w:p>
    <w:p w14:paraId="2D4B2D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以项目</w:t>
      </w:r>
      <w:proofErr w:type="gramStart"/>
      <w:r>
        <w:rPr>
          <w:rFonts w:ascii="宋体" w:eastAsia="宋体" w:hAnsi="宋体" w:cs="宋体" w:hint="eastAsia"/>
          <w:sz w:val="24"/>
        </w:rPr>
        <w:t>债为主</w:t>
      </w:r>
      <w:proofErr w:type="gramEnd"/>
      <w:r>
        <w:rPr>
          <w:rFonts w:ascii="宋体" w:eastAsia="宋体" w:hAnsi="宋体" w:cs="宋体" w:hint="eastAsia"/>
          <w:sz w:val="24"/>
        </w:rPr>
        <w:t>的企业债券，债券期限较长，一般为5至10年，长的可达20年，多投放于较大的固定资产投资项目、技术改造项目，还款来源通常为项目租金收入、经营收入，受国家宏观调控政策、地区经济发展等因素影响较大，项目能否如期建成和按期偿还债券本息均存在较大风险，银行履行偿付责任概率较高。</w:t>
      </w:r>
    </w:p>
    <w:p w14:paraId="382520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各银行（公司总部）要进一步完善融资类担保业务的授权授信制度，将该类业务审批权限上收至各银行总行（公司总部）。即日起要一律停止对以项目</w:t>
      </w:r>
      <w:proofErr w:type="gramStart"/>
      <w:r>
        <w:rPr>
          <w:rFonts w:ascii="宋体" w:eastAsia="宋体" w:hAnsi="宋体" w:cs="宋体" w:hint="eastAsia"/>
          <w:sz w:val="24"/>
        </w:rPr>
        <w:t>债为主</w:t>
      </w:r>
      <w:proofErr w:type="gramEnd"/>
      <w:r>
        <w:rPr>
          <w:rFonts w:ascii="宋体" w:eastAsia="宋体" w:hAnsi="宋体" w:cs="宋体" w:hint="eastAsia"/>
          <w:sz w:val="24"/>
        </w:rPr>
        <w:t>的企业</w:t>
      </w:r>
      <w:proofErr w:type="gramStart"/>
      <w:r>
        <w:rPr>
          <w:rFonts w:ascii="宋体" w:eastAsia="宋体" w:hAnsi="宋体" w:cs="宋体" w:hint="eastAsia"/>
          <w:sz w:val="24"/>
        </w:rPr>
        <w:t>债进行</w:t>
      </w:r>
      <w:proofErr w:type="gramEnd"/>
      <w:r>
        <w:rPr>
          <w:rFonts w:ascii="宋体" w:eastAsia="宋体" w:hAnsi="宋体" w:cs="宋体" w:hint="eastAsia"/>
          <w:sz w:val="24"/>
        </w:rPr>
        <w:t>担保，对其他用途的企业债券、公司债券、信托计划、保险公司收益计划、</w:t>
      </w:r>
      <w:proofErr w:type="gramStart"/>
      <w:r>
        <w:rPr>
          <w:rFonts w:ascii="宋体" w:eastAsia="宋体" w:hAnsi="宋体" w:cs="宋体" w:hint="eastAsia"/>
          <w:sz w:val="24"/>
        </w:rPr>
        <w:t>券商专项</w:t>
      </w:r>
      <w:proofErr w:type="gramEnd"/>
      <w:r>
        <w:rPr>
          <w:rFonts w:ascii="宋体" w:eastAsia="宋体" w:hAnsi="宋体" w:cs="宋体" w:hint="eastAsia"/>
          <w:sz w:val="24"/>
        </w:rPr>
        <w:t>资产管理计划等其他融资性项目原则上不再出具银行担保；已经办理担保的，要采取逐步退出措施，及时追加必要的资产保全措施。</w:t>
      </w:r>
    </w:p>
    <w:p w14:paraId="034A1A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四、加强担保等表外业务的授信管理，严格责任追究</w:t>
      </w:r>
    </w:p>
    <w:p w14:paraId="4CDB6A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各银行应当按照《商业银行授权授信管理暂行办法》要求，将担保等表外或有负债业务纳入统一授信管理，严格准入条件，严格担保审查，严格授权制度。对未纳入授</w:t>
      </w:r>
      <w:proofErr w:type="gramStart"/>
      <w:r>
        <w:rPr>
          <w:rFonts w:ascii="宋体" w:eastAsia="宋体" w:hAnsi="宋体" w:cs="宋体" w:hint="eastAsia"/>
          <w:sz w:val="24"/>
        </w:rPr>
        <w:t>信统一</w:t>
      </w:r>
      <w:proofErr w:type="gramEnd"/>
      <w:r>
        <w:rPr>
          <w:rFonts w:ascii="宋体" w:eastAsia="宋体" w:hAnsi="宋体" w:cs="宋体" w:hint="eastAsia"/>
          <w:sz w:val="24"/>
        </w:rPr>
        <w:t>额度管理的客户，不得办理担保业务。对银行违反规定办理企业债担保业务的，或因未达到尽职要求形成风险的，银行监管部门将严厉追究有关机构和责任人责任。</w:t>
      </w:r>
    </w:p>
    <w:p w14:paraId="187F1FB5"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局要将本意见转发至辖内</w:t>
      </w:r>
      <w:proofErr w:type="gramStart"/>
      <w:r>
        <w:rPr>
          <w:rFonts w:ascii="宋体" w:eastAsia="宋体" w:hAnsi="宋体" w:cs="宋体" w:hint="eastAsia"/>
          <w:sz w:val="24"/>
        </w:rPr>
        <w:t>各银监分局</w:t>
      </w:r>
      <w:proofErr w:type="gramEnd"/>
      <w:r>
        <w:rPr>
          <w:rFonts w:ascii="宋体" w:eastAsia="宋体" w:hAnsi="宋体" w:cs="宋体" w:hint="eastAsia"/>
          <w:sz w:val="24"/>
        </w:rPr>
        <w:t>和城市商业银行、农村商业银行、</w:t>
      </w:r>
      <w:r>
        <w:rPr>
          <w:rFonts w:ascii="宋体" w:eastAsia="宋体" w:hAnsi="宋体" w:cs="宋体" w:hint="eastAsia"/>
          <w:sz w:val="24"/>
        </w:rPr>
        <w:lastRenderedPageBreak/>
        <w:t>农村合作银行、城乡信用社；各政策性银行、国有商业银行、股份制商业银行要立即将本意见转发至各分支机构。</w:t>
      </w:r>
    </w:p>
    <w:p w14:paraId="5FF01D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中国银行业监督管理委员会</w:t>
      </w:r>
    </w:p>
    <w:p w14:paraId="19B11A2D"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二</w:t>
      </w:r>
      <w:proofErr w:type="gramStart"/>
      <w:r>
        <w:rPr>
          <w:rFonts w:ascii="宋体" w:eastAsia="宋体" w:hAnsi="宋体" w:cs="宋体" w:hint="eastAsia"/>
          <w:sz w:val="24"/>
        </w:rPr>
        <w:t>００</w:t>
      </w:r>
      <w:proofErr w:type="gramEnd"/>
      <w:r>
        <w:rPr>
          <w:rFonts w:ascii="宋体" w:eastAsia="宋体" w:hAnsi="宋体" w:cs="宋体" w:hint="eastAsia"/>
          <w:sz w:val="24"/>
        </w:rPr>
        <w:t>七年十月十二日</w:t>
      </w:r>
      <w:r>
        <w:rPr>
          <w:rFonts w:ascii="宋体" w:eastAsia="宋体" w:hAnsi="宋体" w:cs="宋体" w:hint="eastAsia"/>
          <w:sz w:val="24"/>
        </w:rPr>
        <w:tab/>
      </w:r>
    </w:p>
    <w:p w14:paraId="3A45ED44"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50.《中国银监会办公厅关于加强银行业金融机构信息科技风险监管的通知》</w:t>
      </w:r>
    </w:p>
    <w:p w14:paraId="27AC17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0FFC52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文号：银监办通〔2007〕269号</w:t>
      </w:r>
      <w:r>
        <w:rPr>
          <w:rFonts w:ascii="宋体" w:eastAsia="宋体" w:hAnsi="宋体" w:cs="宋体" w:hint="eastAsia"/>
          <w:sz w:val="24"/>
        </w:rPr>
        <w:tab/>
      </w:r>
      <w:r>
        <w:rPr>
          <w:rFonts w:ascii="宋体" w:eastAsia="宋体" w:hAnsi="宋体" w:cs="宋体" w:hint="eastAsia"/>
          <w:sz w:val="24"/>
        </w:rPr>
        <w:tab/>
      </w:r>
    </w:p>
    <w:p w14:paraId="5E000045"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w:t>
      </w:r>
    </w:p>
    <w:p w14:paraId="411733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近一段时间以来，一些商业银行包括第三方存管等计算机业务处理系统相继出现很多问题，妨碍了业务的正常开展，在社会上造成了一定的负面影响。</w:t>
      </w:r>
      <w:proofErr w:type="gramStart"/>
      <w:r>
        <w:rPr>
          <w:rFonts w:ascii="宋体" w:eastAsia="宋体" w:hAnsi="宋体" w:cs="宋体" w:hint="eastAsia"/>
          <w:sz w:val="24"/>
        </w:rPr>
        <w:t>各银监</w:t>
      </w:r>
      <w:proofErr w:type="gramEnd"/>
      <w:r>
        <w:rPr>
          <w:rFonts w:ascii="宋体" w:eastAsia="宋体" w:hAnsi="宋体" w:cs="宋体" w:hint="eastAsia"/>
          <w:sz w:val="24"/>
        </w:rPr>
        <w:t>局要认真学习贯彻今年银监会信息科技工作会议和银行业信息科技风险评价审计座谈会精神，狠抓落实工作，加强对辖内银行业金融机构信息科技风险的监管，以及内部信息科技风险的管理和预防工作，建立应急机制，防患于未然。现将有关事项通知如下：</w:t>
      </w:r>
    </w:p>
    <w:p w14:paraId="321DC1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一、加强组织领导，督促银行业金融机构落实信息科技风险管理责任制</w:t>
      </w:r>
    </w:p>
    <w:p w14:paraId="3A974B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局要加强对银行业金融机构的指导，督促其尽快健全信息科技风险管理组织架构和制度体系，明确董事会、高级管理层对信息科技管理的职责权限。建立一把手负责制，并逐级落实信息科技风险管理责任制。银行业金融机构要制定实施方案和具体措施，保证行内各机构和部门统一思想、统一认识、协调一致，</w:t>
      </w:r>
      <w:proofErr w:type="gramStart"/>
      <w:r>
        <w:rPr>
          <w:rFonts w:ascii="宋体" w:eastAsia="宋体" w:hAnsi="宋体" w:cs="宋体" w:hint="eastAsia"/>
          <w:sz w:val="24"/>
        </w:rPr>
        <w:t>严格报告</w:t>
      </w:r>
      <w:proofErr w:type="gramEnd"/>
      <w:r>
        <w:rPr>
          <w:rFonts w:ascii="宋体" w:eastAsia="宋体" w:hAnsi="宋体" w:cs="宋体" w:hint="eastAsia"/>
          <w:sz w:val="24"/>
        </w:rPr>
        <w:t>制和值班制，把信息安全工作层层落到实处。</w:t>
      </w:r>
    </w:p>
    <w:p w14:paraId="593117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二、加强监督检查，防止重大信息科技安全事故的发生</w:t>
      </w:r>
    </w:p>
    <w:p w14:paraId="4B4D2E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年底前，各局要督促辖内银行业金融机构开展一次信息科技风险自查活动，按照“安全第一，预防为主”的原则，及时排除各类隐患。</w:t>
      </w:r>
    </w:p>
    <w:p w14:paraId="6B037E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审慎安排信息系统的重大变更和调整等工作。在明年“两会”、奥运会等重大活动期间，银行业金融机构禁止安排新系统上线和重大系统变更等工作。各项重大活动之前，对于业务量变化和技术资源需求必须提前开展充分的风险评估，合理安排资源，提出工作预案，严禁系统超载运行和带病运行。解决安全问题和隐患时，要考虑周全，制定详细的工作计划和应急措施，防止出现新的安全隐患。</w:t>
      </w:r>
    </w:p>
    <w:p w14:paraId="001CD4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（二）强化防范抵御外部攻击的机制和手段。要督促各银行业金融机构把信</w:t>
      </w:r>
      <w:r>
        <w:rPr>
          <w:rFonts w:ascii="宋体" w:eastAsia="宋体" w:hAnsi="宋体" w:cs="宋体" w:hint="eastAsia"/>
          <w:sz w:val="24"/>
        </w:rPr>
        <w:lastRenderedPageBreak/>
        <w:t>息安全工作提升到随时应对状态，全面加强入侵攻击、恶意渗透、病毒爆发等安全事件的预防和应对能力，通过完善技术和管理手段，保证各类生产型数据和保密信息的安全。</w:t>
      </w:r>
    </w:p>
    <w:p w14:paraId="6D03BF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保障充分的应急处置能力。要督促各银行业金融机构认真梳理信息系统存在的各类安全隐患，完善和细化各个部位和各级机构的应急预案，切实落实应急演练，保证应急方案在突发情况下能够及时启动、及时运转，达到既定效果。</w:t>
      </w:r>
    </w:p>
    <w:p w14:paraId="43E5AB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（四）及时通报信息安全事故，有效提示和化解风险。</w:t>
      </w:r>
      <w:proofErr w:type="gramStart"/>
      <w:r>
        <w:rPr>
          <w:rFonts w:ascii="宋体" w:eastAsia="宋体" w:hAnsi="宋体" w:cs="宋体" w:hint="eastAsia"/>
          <w:sz w:val="24"/>
        </w:rPr>
        <w:t>各银监</w:t>
      </w:r>
      <w:proofErr w:type="gramEnd"/>
      <w:r>
        <w:rPr>
          <w:rFonts w:ascii="宋体" w:eastAsia="宋体" w:hAnsi="宋体" w:cs="宋体" w:hint="eastAsia"/>
          <w:sz w:val="24"/>
        </w:rPr>
        <w:t>局要按照银监办通〔2007〕226号关于银行业金融机构信息系统重大突发事件应急联系方式的通知要求，及时掌握和报告信息安全事故情况。对已查明情况、有必要进行风险提示的信息安全事故应予及时通报。事故通报范围根据事故性质、影响范围和风险提示效果确定，可分为在发生事故的机构内部、银监局辖内、银监会系统和全辖银行业金融机构等几种情况把握。事故通报方式可采取正式发文、事故通报会或电话通报等形式。信息安全事故通报的根本目的是提示和化解银行业金融机构信息技术风险，通报事故过程中要注意维护银行业金融机构合法权益，防止其他负面问题发生。</w:t>
      </w:r>
    </w:p>
    <w:p w14:paraId="5CEA96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三、加强沟通与协调，形成有效的监管合力</w:t>
      </w:r>
    </w:p>
    <w:p w14:paraId="2E989B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（一）加强信息科技部门与监管部门之间的沟通协调，加强非现场监管、现场检查、市场准入三条业务线的联动，相互配合，相互沟通，形成监管合力，切实有效维护银行业金融机构信息科技安全。</w:t>
      </w:r>
    </w:p>
    <w:p w14:paraId="2F952C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密切与证券和保险监管机构、证券业协会、银行业协会、银行业金融机构的外部沟通，及时通报信息科技工作的重大问题和风险隐患，总结交流金融机构信息系统建设和风险控制经验，促进相互学习，不断提高信息科技工作水平。</w:t>
      </w:r>
    </w:p>
    <w:p w14:paraId="08C79371"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请各银监</w:t>
      </w:r>
      <w:proofErr w:type="gramEnd"/>
      <w:r>
        <w:rPr>
          <w:rFonts w:ascii="宋体" w:eastAsia="宋体" w:hAnsi="宋体" w:cs="宋体" w:hint="eastAsia"/>
          <w:sz w:val="24"/>
        </w:rPr>
        <w:t>局参照信息中心调整后的“三定”方案，进一步完善本局的信息科技工作职责，推进信息科技风险监管体系建设。</w:t>
      </w:r>
    </w:p>
    <w:p w14:paraId="6B7009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附件：信息中心“三定”方案（略）</w:t>
      </w:r>
    </w:p>
    <w:p w14:paraId="443011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中国银监会办公厅</w:t>
      </w:r>
    </w:p>
    <w:p w14:paraId="031A86A8"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lastRenderedPageBreak/>
        <w:t>二</w:t>
      </w:r>
      <w:proofErr w:type="gramStart"/>
      <w:r>
        <w:rPr>
          <w:rFonts w:ascii="宋体" w:eastAsia="宋体" w:hAnsi="宋体" w:cs="宋体" w:hint="eastAsia"/>
          <w:sz w:val="24"/>
        </w:rPr>
        <w:t>００</w:t>
      </w:r>
      <w:proofErr w:type="gramEnd"/>
      <w:r>
        <w:rPr>
          <w:rFonts w:ascii="宋体" w:eastAsia="宋体" w:hAnsi="宋体" w:cs="宋体" w:hint="eastAsia"/>
          <w:sz w:val="24"/>
        </w:rPr>
        <w:t>七年十一月十九日</w:t>
      </w:r>
    </w:p>
    <w:p w14:paraId="2BAC83A5"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51.《企业法律审核工作若干规定》</w:t>
      </w:r>
    </w:p>
    <w:p w14:paraId="144315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发文机构：北京市人民政府国有资产监督管理委员会</w:t>
      </w:r>
      <w:r>
        <w:rPr>
          <w:rFonts w:ascii="宋体" w:eastAsia="宋体" w:hAnsi="宋体" w:cs="宋体" w:hint="eastAsia"/>
          <w:sz w:val="24"/>
        </w:rPr>
        <w:tab/>
      </w:r>
    </w:p>
    <w:p w14:paraId="6CA287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文号：京国资法规字〔2007〕29号</w:t>
      </w:r>
      <w:r>
        <w:rPr>
          <w:rFonts w:ascii="宋体" w:eastAsia="宋体" w:hAnsi="宋体" w:cs="宋体" w:hint="eastAsia"/>
          <w:sz w:val="24"/>
        </w:rPr>
        <w:tab/>
      </w:r>
      <w:r>
        <w:rPr>
          <w:rFonts w:ascii="宋体" w:eastAsia="宋体" w:hAnsi="宋体" w:cs="宋体" w:hint="eastAsia"/>
          <w:sz w:val="24"/>
        </w:rPr>
        <w:tab/>
      </w:r>
    </w:p>
    <w:p w14:paraId="32409F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7421F4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规范和加强企业重大经营活动的法律审核和论证，建立健全企业法律风险防范机制，促进企业依法决策和依法经营管理，维护出资人和企业的合法权益，根据《企业国有资产监督管理暂行条例》（国务院令第378号）、《国有企业法律顾问管理办法》（国务院国资委令第6号）等法规规章，结合本市实际，制定本规定。</w:t>
      </w:r>
    </w:p>
    <w:p w14:paraId="55BD63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本规定适用于北京市人民政府授权北京市人民政府国有资产监督管理委员会（以下简称市国资委）依法履行出资人职责的企业（以下简 称企业）。</w:t>
      </w:r>
    </w:p>
    <w:p w14:paraId="5DAED6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企业应当加强内部法律监督和风险控制，建立健全由企业主要负责人领导、总法律顾问或分管法律事务的企业负责人牵头、业务部门参与、法律事务机构组织实施的法律风险防范工作机制和内部法律监督机制。</w:t>
      </w:r>
    </w:p>
    <w:p w14:paraId="1771A6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企业应当建立科学、规范的企业法律事务管理制度和工作流程，明确法律事务机构和企业法律顾问处</w:t>
      </w:r>
      <w:proofErr w:type="gramStart"/>
      <w:r>
        <w:rPr>
          <w:rFonts w:ascii="宋体" w:eastAsia="宋体" w:hAnsi="宋体" w:cs="宋体" w:hint="eastAsia"/>
          <w:sz w:val="24"/>
        </w:rPr>
        <w:t>理企业</w:t>
      </w:r>
      <w:proofErr w:type="gramEnd"/>
      <w:r>
        <w:rPr>
          <w:rFonts w:ascii="宋体" w:eastAsia="宋体" w:hAnsi="宋体" w:cs="宋体" w:hint="eastAsia"/>
          <w:sz w:val="24"/>
        </w:rPr>
        <w:t>法律事务的权限、程序及工作内容，确保法律事务机构和企业法律顾问依法履行法律审核职责。</w:t>
      </w:r>
    </w:p>
    <w:p w14:paraId="7E12DD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实施法律审核应当遵循依法合</w:t>
      </w:r>
      <w:proofErr w:type="gramStart"/>
      <w:r>
        <w:rPr>
          <w:rFonts w:ascii="宋体" w:eastAsia="宋体" w:hAnsi="宋体" w:cs="宋体" w:hint="eastAsia"/>
          <w:sz w:val="24"/>
        </w:rPr>
        <w:t>规</w:t>
      </w:r>
      <w:proofErr w:type="gramEnd"/>
      <w:r>
        <w:rPr>
          <w:rFonts w:ascii="宋体" w:eastAsia="宋体" w:hAnsi="宋体" w:cs="宋体" w:hint="eastAsia"/>
          <w:sz w:val="24"/>
        </w:rPr>
        <w:t>、全面客观、程序规范、准确及时等原则。</w:t>
      </w:r>
    </w:p>
    <w:p w14:paraId="34C5CE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法律审核的内容</w:t>
      </w:r>
    </w:p>
    <w:p w14:paraId="239C7D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企业应当对以下事项实施法律审核及论证：</w:t>
      </w:r>
    </w:p>
    <w:p w14:paraId="457DB8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（一）重大经营决策；</w:t>
      </w:r>
    </w:p>
    <w:p w14:paraId="03254F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（二）起草修订公司章程及其他重要规章制度；</w:t>
      </w:r>
    </w:p>
    <w:p w14:paraId="496AB2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w:t>
      </w:r>
      <w:proofErr w:type="gramStart"/>
      <w:r>
        <w:rPr>
          <w:rFonts w:ascii="宋体" w:eastAsia="宋体" w:hAnsi="宋体" w:cs="宋体" w:hint="eastAsia"/>
          <w:sz w:val="24"/>
        </w:rPr>
        <w:t>拟对外</w:t>
      </w:r>
      <w:proofErr w:type="gramEnd"/>
      <w:r>
        <w:rPr>
          <w:rFonts w:ascii="宋体" w:eastAsia="宋体" w:hAnsi="宋体" w:cs="宋体" w:hint="eastAsia"/>
          <w:sz w:val="24"/>
        </w:rPr>
        <w:t>签订的合同、协议；</w:t>
      </w:r>
    </w:p>
    <w:p w14:paraId="1D520B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（四）分立、合并、破产、解散及改制、重组、公司上市等重大事项；</w:t>
      </w:r>
    </w:p>
    <w:p w14:paraId="6F9C54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（五）投融资、担保、产权转让、招投标、重大资产处置等重大经济活动；</w:t>
      </w:r>
    </w:p>
    <w:p w14:paraId="5B59EB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（六）其他应当实施法律审核及论证的事项。</w:t>
      </w:r>
    </w:p>
    <w:p w14:paraId="23A1FC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实施法律审核，应当对审核事项所涉及的主体、权限、程序、内容等进行合法性、合</w:t>
      </w:r>
      <w:proofErr w:type="gramStart"/>
      <w:r>
        <w:rPr>
          <w:rFonts w:ascii="宋体" w:eastAsia="宋体" w:hAnsi="宋体" w:cs="宋体" w:hint="eastAsia"/>
          <w:sz w:val="24"/>
        </w:rPr>
        <w:t>规</w:t>
      </w:r>
      <w:proofErr w:type="gramEnd"/>
      <w:r>
        <w:rPr>
          <w:rFonts w:ascii="宋体" w:eastAsia="宋体" w:hAnsi="宋体" w:cs="宋体" w:hint="eastAsia"/>
          <w:sz w:val="24"/>
        </w:rPr>
        <w:t>性审核。</w:t>
      </w:r>
    </w:p>
    <w:p w14:paraId="1854C1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企业总法律顾问参加或列席董事会、总经理办公会及各类经营决策会议，对重大经营决策提出法律意见和建议。</w:t>
      </w:r>
    </w:p>
    <w:p w14:paraId="069A27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法律事务机构和企业法律顾问应当按照企业相关规章制度和工作流程规定的权限、程序及工作内容，依法履行法律审核职责。</w:t>
      </w:r>
    </w:p>
    <w:p w14:paraId="62DC46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对法律审核中发现的企业经营管理中存在的突出问题，法律事务机构有权向企业负责人提出完善企业经营管理和风险防范制度的建议。</w:t>
      </w:r>
    </w:p>
    <w:p w14:paraId="378E4A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企业主要负责人应当重视企业法律顾问提出的有关防范法律风险的意见和建议，及时采取措施防范和消除法律风险。</w:t>
      </w:r>
    </w:p>
    <w:p w14:paraId="68DE62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法律事务机构与其他业务部门在法律审核工作中应当加强相互协调配合。</w:t>
      </w:r>
    </w:p>
    <w:p w14:paraId="368455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企业规范选聘并有效发挥外聘律师在法律审核方面的作用。</w:t>
      </w:r>
    </w:p>
    <w:p w14:paraId="0DD815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法律审核的程序</w:t>
      </w:r>
    </w:p>
    <w:p w14:paraId="35C77E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重大事项决策前，企业主要负责人应当责成企业总法律顾问或分管法律事务的企业负责人组织法律事务机构和企业法律顾问进行法律研究论证，必要时参加重大项目的谈判及签约。</w:t>
      </w:r>
    </w:p>
    <w:p w14:paraId="4151C7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企业总法律顾问在参与重大事项决策中，独立发表法律意见和建议，并在相应的会议记录中载明。</w:t>
      </w:r>
    </w:p>
    <w:p w14:paraId="795D3B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企业法律顾问依法独立实施法律审核，准确评估审核事项的法律风险，并出具明确的法律审核或论证意见。</w:t>
      </w:r>
    </w:p>
    <w:p w14:paraId="08CFDE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未经企业法律顾问研究论证的重大决策事项，不得提交相关决策会议讨论。</w:t>
      </w:r>
    </w:p>
    <w:p w14:paraId="299560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第十八条 未经法律事务机构审核会签的公司章程及企业重要规章制度，不得提交相关会议审议或发布实施。</w:t>
      </w:r>
    </w:p>
    <w:p w14:paraId="62A40B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重要合同或协议，企业法律顾问实施法律审核后，应当由企业总法律顾问或分管法律事务的企业负责人复核签字。未履行复核签字程序的，不得对外签订。</w:t>
      </w:r>
    </w:p>
    <w:p w14:paraId="4A5386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报送市国资委请求指导协调的重大法律纠纷案件，必须经企业法律机构审核。</w:t>
      </w:r>
    </w:p>
    <w:p w14:paraId="016A5F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法律意见书</w:t>
      </w:r>
    </w:p>
    <w:p w14:paraId="68D00B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本规定所称法律意见书，是指企业法律顾问或外聘律师在从事企业法律事务、参与企业重大经营活动过程中，就有关问题实施法律审查、分析法律风险并提出法律建议或解决方案的法律文书。</w:t>
      </w:r>
    </w:p>
    <w:p w14:paraId="1068E0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企业上报市国资委的下列事项，应当根据有关规定</w:t>
      </w:r>
      <w:proofErr w:type="gramStart"/>
      <w:r>
        <w:rPr>
          <w:rFonts w:ascii="宋体" w:eastAsia="宋体" w:hAnsi="宋体" w:cs="宋体" w:hint="eastAsia"/>
          <w:sz w:val="24"/>
        </w:rPr>
        <w:t>附法律</w:t>
      </w:r>
      <w:proofErr w:type="gramEnd"/>
      <w:r>
        <w:rPr>
          <w:rFonts w:ascii="宋体" w:eastAsia="宋体" w:hAnsi="宋体" w:cs="宋体" w:hint="eastAsia"/>
          <w:sz w:val="24"/>
        </w:rPr>
        <w:t>意见书：</w:t>
      </w:r>
    </w:p>
    <w:p w14:paraId="22680A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（一）报送市国资委审核或批准的企业分立、合并、破产、解散、增减资本、重大投融资等重大事项；</w:t>
      </w:r>
    </w:p>
    <w:p w14:paraId="0C60BD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（二）报送市国资委审核或批准的企业国有产权转让事项；</w:t>
      </w:r>
    </w:p>
    <w:p w14:paraId="7642D1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（三）报送市国资委审核或批准的重要子企业改制方案；</w:t>
      </w:r>
    </w:p>
    <w:p w14:paraId="7C7B6D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（四）根据有关法律、法规、规章，应当出具法律意见书的其他事项。</w:t>
      </w:r>
    </w:p>
    <w:p w14:paraId="262E28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法律意见书应当一事一议，要求格式规范、依据充分、分析透彻、逻辑严密、表述准确。</w:t>
      </w:r>
    </w:p>
    <w:p w14:paraId="53DC66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法律意见书一般包括标题、主送、正文、附件、落款五个部分。</w:t>
      </w:r>
    </w:p>
    <w:p w14:paraId="4942A5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第二十五条法律意见书正文一般包括：</w:t>
      </w:r>
    </w:p>
    <w:p w14:paraId="1CD34D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（一）问题缘由，包括论证事项来源及可能不完全信息的声明</w:t>
      </w:r>
    </w:p>
    <w:p w14:paraId="714F38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（二）基本事实，包括尽职调查的情况及相关证据资料；</w:t>
      </w:r>
    </w:p>
    <w:p w14:paraId="0748AC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（三）法律依据，包括适用的法律法规、规章及有关文件；</w:t>
      </w:r>
    </w:p>
    <w:p w14:paraId="09FB61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（四）法律论证，包括对重点问题的法律分析及相关论证；</w:t>
      </w:r>
    </w:p>
    <w:p w14:paraId="0BCDD7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（五）结论性意见或建议，包括对现有状况及可能状况的判断、存在的风险、审核意见及处理建议等；</w:t>
      </w:r>
    </w:p>
    <w:p w14:paraId="72C28D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（六）相关事项的说明。</w:t>
      </w:r>
    </w:p>
    <w:p w14:paraId="2CAA7F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法律意见书由承办该项事务的企业法律顾问起草，法律事务机构负责人审核；或者由法律事务机构委托外聘律师起草，以外</w:t>
      </w:r>
      <w:proofErr w:type="gramStart"/>
      <w:r>
        <w:rPr>
          <w:rFonts w:ascii="宋体" w:eastAsia="宋体" w:hAnsi="宋体" w:cs="宋体" w:hint="eastAsia"/>
          <w:sz w:val="24"/>
        </w:rPr>
        <w:t>聘法律</w:t>
      </w:r>
      <w:proofErr w:type="gramEnd"/>
      <w:r>
        <w:rPr>
          <w:rFonts w:ascii="宋体" w:eastAsia="宋体" w:hAnsi="宋体" w:cs="宋体" w:hint="eastAsia"/>
          <w:sz w:val="24"/>
        </w:rPr>
        <w:t>中介机构名义出具。但涉及企业国有产权转让事项的法律意见书，应当由外聘律师出具。</w:t>
      </w:r>
    </w:p>
    <w:p w14:paraId="23EEC4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企业法律顾问或外聘律师起草法律意见书，根据授权可以查阅本企业相关资料，向企业有关部门、个人调查了解情况。</w:t>
      </w:r>
    </w:p>
    <w:p w14:paraId="19EE0A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由企业法律顾问起草的法律意见书，应当由企业总法律顾问或分管法律事务的企业负责人复核签字。</w:t>
      </w:r>
    </w:p>
    <w:p w14:paraId="5C2231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法律意见书由法律事务机构报送企业负责人和相关业务部门。</w:t>
      </w:r>
    </w:p>
    <w:p w14:paraId="26DA3D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企业法律事务机构有权对法律意见书的实施情况进行跟踪检查，并负责将法律意见书按照档案管理的要求立卷归档存查。</w:t>
      </w:r>
    </w:p>
    <w:p w14:paraId="1D7099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监督管理</w:t>
      </w:r>
    </w:p>
    <w:p w14:paraId="03CD4E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企业法律顾问及外聘律师应当切实履行法律审核职责，对提出的法律意见及办理的法律事务的合法性负责。</w:t>
      </w:r>
    </w:p>
    <w:p w14:paraId="76596D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企业不按照本规定建立或规范实施法律审核制度，导致出现重大经营决策失误、发生重大法律纠纷案件或造成重大国有资产损失的，依据市国资委《企业重大经营决策失误责任追究暂行办法》和《关于资产损失责任追究的意见》的有关规定，追究相关人员的责任。</w:t>
      </w:r>
    </w:p>
    <w:p w14:paraId="5FDC08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凡提出的法律审核意见或出具的法律意见书存在明显瑕疵，导致重大决策出现错误、引发重大法律风险或造成重大国有资产损失的，企业应当追究相关人员的责任。</w:t>
      </w:r>
    </w:p>
    <w:p w14:paraId="1744AE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第六章 附 则</w:t>
      </w:r>
    </w:p>
    <w:p w14:paraId="40E4A1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企业可以依据本规定制定具体实施办法。</w:t>
      </w:r>
    </w:p>
    <w:p w14:paraId="1E2402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市政府授权市国资委管理的实行企业化管理的事业单位参照本规定执行。</w:t>
      </w:r>
    </w:p>
    <w:p w14:paraId="6693AF93"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第三十六条 本规定自印发之日起施行。</w:t>
      </w:r>
    </w:p>
    <w:p w14:paraId="4AC38A6B"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52.《商业银行信息科技风险管理指引》</w:t>
      </w:r>
    </w:p>
    <w:p w14:paraId="4AA219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47C907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文号：银监发〔2009〕19号</w:t>
      </w:r>
      <w:r>
        <w:rPr>
          <w:rFonts w:ascii="宋体" w:eastAsia="宋体" w:hAnsi="宋体" w:cs="宋体" w:hint="eastAsia"/>
          <w:sz w:val="24"/>
        </w:rPr>
        <w:tab/>
      </w:r>
      <w:r>
        <w:rPr>
          <w:rFonts w:ascii="宋体" w:eastAsia="宋体" w:hAnsi="宋体" w:cs="宋体" w:hint="eastAsia"/>
          <w:sz w:val="24"/>
        </w:rPr>
        <w:tab/>
      </w:r>
    </w:p>
    <w:p w14:paraId="0625AC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6E642C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加强商业银行信息科技风险管理，根据《中华人民共和国银行业监督管理法》、《中华人民共和国商业银行法》、《中华人民共和国外资银行管理条例》，以及国家信息安全相关要求和有关法律法规，制定本指引。</w:t>
      </w:r>
    </w:p>
    <w:p w14:paraId="140D76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本指引适用于在中华人民共和国境内依法设立的法人商业银行。</w:t>
      </w:r>
    </w:p>
    <w:p w14:paraId="638FF0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政策性银行、农村合作银行、城市信用社、农村信用社、村镇银行、贷款公司、金融资产管理公司、信托公司、财务公司、金融租赁公司、汽车金融公司、货币经纪公司等其他银行业金融机构参照执行。</w:t>
      </w:r>
    </w:p>
    <w:p w14:paraId="23FD89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指引所称信息科技是指计算机、通信、微电子和软件工程等现代信息技术，在商业银行业务交易处理、经营管理和内部控制等方面的应用，并包括进行信息科技治理，建立完整的管理组织架构，制订完善的管理制度和流程。</w:t>
      </w:r>
    </w:p>
    <w:p w14:paraId="508FB7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本指引所称信息科技风险，是指信息科技在商业银行运用过程中，由于自然因素、人为因素、技术漏洞和管理缺陷产生的操作、法律和声誉等风险。</w:t>
      </w:r>
    </w:p>
    <w:p w14:paraId="3479F4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信息科技风险管理的目标是通过建立有效的机制，实现对商业银行信息科技风险的识别、计量、监测和控制，促进商业银行安全、持续、稳健运行，推动业务创新，提高信息技术使用水平，增强核心竞争力和可持续发展能力。</w:t>
      </w:r>
    </w:p>
    <w:p w14:paraId="45956A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信息科技治理</w:t>
      </w:r>
    </w:p>
    <w:p w14:paraId="102FE6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商业银行法定代表人是本机构信息科技风险管理的第一责任人，负责组织本指引的贯彻落实。</w:t>
      </w:r>
    </w:p>
    <w:p w14:paraId="1898C8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商业银行的董事会应履行以下信息科技管理职责：</w:t>
      </w:r>
    </w:p>
    <w:p w14:paraId="385A53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（一）遵守并贯彻执行国家有关信息科技管理的法律、法规和技术标准，落实中国银行业监督管理委员会（以下简称银监会）相关监管要求。</w:t>
      </w:r>
    </w:p>
    <w:p w14:paraId="7C4808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（二）审查批准信息科技战略，确保其与银行的总体业务战略和重大策略相一致。评估信息科技及其风险管理工作的总体效果和效率。</w:t>
      </w:r>
    </w:p>
    <w:p w14:paraId="7282D5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（三）掌握主要的信息科技风险，确定可接受的风险级别，确保相关风险能够被识别、计量、监测和控制。</w:t>
      </w:r>
    </w:p>
    <w:p w14:paraId="20520A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（四）规范职业道德行为和廉洁标准，增强内部文化建设，提高全体人员对信息科技风险管理重要性的认识。</w:t>
      </w:r>
    </w:p>
    <w:p w14:paraId="0663B4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设立一个由来自高级管理层、信息科技部门和主要业务部门的代表组成的专门信息科技管理委员会，负责监督各项职责的落实，定期向董事会和高级管理层汇报信息科技战略规划的执行、信息科技预算和实际支出、信息科技的整体状况。</w:t>
      </w:r>
    </w:p>
    <w:p w14:paraId="3A04E7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（六）在建立良好的公司治理的基础上进行信息科技治理，形成分工合理、职责明确、相互制衡、报告关系清晰的信息科技治理组织结构。加强信息科技专业队伍的建设，建立人才激励机制。</w:t>
      </w:r>
    </w:p>
    <w:p w14:paraId="692D99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（七）确保内部审计部门进行独立有效的信息科技风险管理审计，对审计报告进行确认并落实整改。</w:t>
      </w:r>
    </w:p>
    <w:p w14:paraId="155965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（八）每年审阅并向银监会及其派出机构报送信息科技风险管理的年度报告。</w:t>
      </w:r>
    </w:p>
    <w:p w14:paraId="219215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（九）确保信息科技风险管理工作所需资金。</w:t>
      </w:r>
    </w:p>
    <w:p w14:paraId="7C3D4D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（十）确保银行所有员工充分理解和遵守经其批准的信息科技风险管理制度和流程，并安排相关培训。</w:t>
      </w:r>
    </w:p>
    <w:p w14:paraId="56C610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（十一）确保本法人机构涉及客户信息、账务信息以及产品信息等的核心系统在中国境内独立运行，并保持最高的管理权限，符合银监会监管和实施现场检查的要求，防范跨境风险。</w:t>
      </w:r>
    </w:p>
    <w:p w14:paraId="077DCD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（十二）及时向银监会及其派出机构报告本机构发生的重大信息科技事故或突发事件，按相关预案快速响应。</w:t>
      </w:r>
    </w:p>
    <w:p w14:paraId="004EE2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（十三）配合银监会及其派出机构做好信息科技风险监督检查工作，并按照监管意见进行整改。</w:t>
      </w:r>
    </w:p>
    <w:p w14:paraId="6D60FF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（十四）履行信息科技风险管理其他相关工作。</w:t>
      </w:r>
    </w:p>
    <w:p w14:paraId="3D4580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商业银行应设立首席信息官，直接向行长汇报，并参与决策。首席信息官的职责包括：</w:t>
      </w:r>
    </w:p>
    <w:p w14:paraId="2E648E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（一）直接参与本银行与信息科技运用有关的业务发展决策。</w:t>
      </w:r>
    </w:p>
    <w:p w14:paraId="62BDD7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（二）确保信息科技战略，尤其是信息系统开发战略，符合本银行的总体业务战略和信息科技风险管理策略。</w:t>
      </w:r>
    </w:p>
    <w:p w14:paraId="27F84B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负责建立一个切实有效的信息科技部门，承担本银行的信息科技职责。确保其履行：信息科技预算和支出、信息科技策略、标准和流程、信息科技内部控制、专业化研发、信息科技项目发起和管理、信息系统和信息科技基础设施的运行、维护和升级、信息安全管理、灾难恢复计划、信息科技外包和信息系统退出等职责。</w:t>
      </w:r>
    </w:p>
    <w:p w14:paraId="7B6DD5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（四）确保信息科技风险管理的有效性，并使有关管理措施落实到相关的每一个内设机构和分支机构。</w:t>
      </w:r>
    </w:p>
    <w:p w14:paraId="3FB71E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（五）组织专业培训，提高人才队伍的专业技能。</w:t>
      </w:r>
    </w:p>
    <w:p w14:paraId="6F2975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（六）履行信息科技风险管理其他相关工作。</w:t>
      </w:r>
    </w:p>
    <w:p w14:paraId="2490C4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商业银行应对信息科技部门内部管理职责进行明确的界定；各岗位的人员应具有相应的专业知识和技能，重要岗位应制定详细完整的工作手册并适时更新。对相关人员应采取下列风险防范措施：</w:t>
      </w:r>
    </w:p>
    <w:p w14:paraId="60BCED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（一）验证个人信息，包括核验有效身份证件、学历证明、工作经历和专业资格证书等信息。</w:t>
      </w:r>
    </w:p>
    <w:p w14:paraId="4AED40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（二）审核信息科技员工的道德品行，确保其具备相应的职业操守。</w:t>
      </w:r>
    </w:p>
    <w:p w14:paraId="0ADE6F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（三）确保员工了解、遵守信息科技策略、指导原则、信息保密、授权使用信息系统、信息科技管理制度和流程等要求，并同员工签订相关协议。</w:t>
      </w:r>
    </w:p>
    <w:p w14:paraId="126555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（四）评估关键岗位信息科技员工流失带来的风险，做好安排候补员工和岗位接替计划等防范措施；在员工岗位发生变化后及时变更相关信息。</w:t>
      </w:r>
    </w:p>
    <w:p w14:paraId="549B81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第十条 商业银行应设立或指派一个特定部门负责信息科技风险管理工作，并直接向首席信息官或首席风险官（风险管理委员会）报告工作。该部门应为信息科技突发事件应急响应小组的成员之一，负责协调制定有关信息科技风险管理策略，尤其是在涉及信息安全、业务连续性计划和合</w:t>
      </w:r>
      <w:proofErr w:type="gramStart"/>
      <w:r>
        <w:rPr>
          <w:rFonts w:ascii="宋体" w:eastAsia="宋体" w:hAnsi="宋体" w:cs="宋体" w:hint="eastAsia"/>
          <w:sz w:val="24"/>
        </w:rPr>
        <w:t>规</w:t>
      </w:r>
      <w:proofErr w:type="gramEnd"/>
      <w:r>
        <w:rPr>
          <w:rFonts w:ascii="宋体" w:eastAsia="宋体" w:hAnsi="宋体" w:cs="宋体" w:hint="eastAsia"/>
          <w:sz w:val="24"/>
        </w:rPr>
        <w:t>性风险等方面，为业务部门和信息科技部门提供建议及相关合</w:t>
      </w:r>
      <w:proofErr w:type="gramStart"/>
      <w:r>
        <w:rPr>
          <w:rFonts w:ascii="宋体" w:eastAsia="宋体" w:hAnsi="宋体" w:cs="宋体" w:hint="eastAsia"/>
          <w:sz w:val="24"/>
        </w:rPr>
        <w:t>规</w:t>
      </w:r>
      <w:proofErr w:type="gramEnd"/>
      <w:r>
        <w:rPr>
          <w:rFonts w:ascii="宋体" w:eastAsia="宋体" w:hAnsi="宋体" w:cs="宋体" w:hint="eastAsia"/>
          <w:sz w:val="24"/>
        </w:rPr>
        <w:t>性信息，实施持续信息科技风险评估，跟踪整改意见的落实，监控信息安全威胁和不合</w:t>
      </w:r>
      <w:proofErr w:type="gramStart"/>
      <w:r>
        <w:rPr>
          <w:rFonts w:ascii="宋体" w:eastAsia="宋体" w:hAnsi="宋体" w:cs="宋体" w:hint="eastAsia"/>
          <w:sz w:val="24"/>
        </w:rPr>
        <w:t>规</w:t>
      </w:r>
      <w:proofErr w:type="gramEnd"/>
      <w:r>
        <w:rPr>
          <w:rFonts w:ascii="宋体" w:eastAsia="宋体" w:hAnsi="宋体" w:cs="宋体" w:hint="eastAsia"/>
          <w:sz w:val="24"/>
        </w:rPr>
        <w:t>事件的发生。</w:t>
      </w:r>
    </w:p>
    <w:p w14:paraId="6CBC89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商业银行应在内部审计部门设立专门的信息科技风险审计岗位，负责信息科技审计制度和流程的实施，制订和执行信息科技审计计划，对信息科技整个生命周期和重大事件等进行审计。</w:t>
      </w:r>
    </w:p>
    <w:p w14:paraId="1801DF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商业银行应按照知识产权相关法律法规，制定本机构信息科技知识产权保护策略和制度，并使所有员工充分理解并遵照执行。确保购买和使用合法的软硬件产品，禁止侵权盗版；采取有效措施保护本机构自主知识产权。</w:t>
      </w:r>
    </w:p>
    <w:p w14:paraId="1ADA4B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商业银行应依据有关法律法规的要求，规范和及时披露信息科技风险状况。</w:t>
      </w:r>
    </w:p>
    <w:p w14:paraId="439555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信息科技风险管理</w:t>
      </w:r>
    </w:p>
    <w:p w14:paraId="52F393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商业银行应制</w:t>
      </w:r>
      <w:proofErr w:type="gramStart"/>
      <w:r>
        <w:rPr>
          <w:rFonts w:ascii="宋体" w:eastAsia="宋体" w:hAnsi="宋体" w:cs="宋体" w:hint="eastAsia"/>
          <w:sz w:val="24"/>
        </w:rPr>
        <w:t>定符合</w:t>
      </w:r>
      <w:proofErr w:type="gramEnd"/>
      <w:r>
        <w:rPr>
          <w:rFonts w:ascii="宋体" w:eastAsia="宋体" w:hAnsi="宋体" w:cs="宋体" w:hint="eastAsia"/>
          <w:sz w:val="24"/>
        </w:rPr>
        <w:t>银行总体业务规划的信息科技战略、信息科技运行计划和信息科技风险评估计划，确保配置足够人力、财力资源，维持稳定、安全的信息科技环境。</w:t>
      </w:r>
    </w:p>
    <w:p w14:paraId="6561D7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商业银行应制</w:t>
      </w:r>
      <w:proofErr w:type="gramStart"/>
      <w:r>
        <w:rPr>
          <w:rFonts w:ascii="宋体" w:eastAsia="宋体" w:hAnsi="宋体" w:cs="宋体" w:hint="eastAsia"/>
          <w:sz w:val="24"/>
        </w:rPr>
        <w:t>定全面</w:t>
      </w:r>
      <w:proofErr w:type="gramEnd"/>
      <w:r>
        <w:rPr>
          <w:rFonts w:ascii="宋体" w:eastAsia="宋体" w:hAnsi="宋体" w:cs="宋体" w:hint="eastAsia"/>
          <w:sz w:val="24"/>
        </w:rPr>
        <w:t>的信息科技风险管理策略，包括但不限于下述领域：</w:t>
      </w:r>
    </w:p>
    <w:p w14:paraId="75970A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（一）信息分级与保护。</w:t>
      </w:r>
    </w:p>
    <w:p w14:paraId="3E7B89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（二）信息系统开发、测试和维护。</w:t>
      </w:r>
    </w:p>
    <w:p w14:paraId="2452FC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（三）信息科技运行和维护。</w:t>
      </w:r>
    </w:p>
    <w:p w14:paraId="1EA4EA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（四）访问控制。</w:t>
      </w:r>
    </w:p>
    <w:p w14:paraId="37CC32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（五）物理安全。</w:t>
      </w:r>
    </w:p>
    <w:p w14:paraId="2FCAE2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（六）人员安全。</w:t>
      </w:r>
    </w:p>
    <w:p w14:paraId="155598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（七）业务连续性计划与应急处置。</w:t>
      </w:r>
    </w:p>
    <w:p w14:paraId="0FB5E6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商业银行应制</w:t>
      </w:r>
      <w:proofErr w:type="gramStart"/>
      <w:r>
        <w:rPr>
          <w:rFonts w:ascii="宋体" w:eastAsia="宋体" w:hAnsi="宋体" w:cs="宋体" w:hint="eastAsia"/>
          <w:sz w:val="24"/>
        </w:rPr>
        <w:t>定持续</w:t>
      </w:r>
      <w:proofErr w:type="gramEnd"/>
      <w:r>
        <w:rPr>
          <w:rFonts w:ascii="宋体" w:eastAsia="宋体" w:hAnsi="宋体" w:cs="宋体" w:hint="eastAsia"/>
          <w:sz w:val="24"/>
        </w:rPr>
        <w:t>的风险识别和评估流程，确定信息科技中存在隐患的区域，评价风险对其业务的潜在影响，对风险进行排序，并确定风险防范措施及所需资源的优先级别（包括外包供应商、产品供应商和服务商）。</w:t>
      </w:r>
    </w:p>
    <w:p w14:paraId="505AE7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商业银行应依据信息科技风险管理策略和风险评估结果，实施全面的风险防范措施。防范措施应包括：</w:t>
      </w:r>
    </w:p>
    <w:p w14:paraId="4A7499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（一）制定明确的信息科技风险管理制度、技术标准和操作规程等，定期进行更新和公示。</w:t>
      </w:r>
    </w:p>
    <w:p w14:paraId="7628FC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（二）确定潜在风险区域，并对这些区域进行详细和独立的监控，实现风险最小化。建立适当的控制框架，以便于检查和平衡风险；定义每个业务级别的控制内容，包括：</w:t>
      </w:r>
    </w:p>
    <w:p w14:paraId="1D69C8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1．最高权限用户的审查。</w:t>
      </w:r>
    </w:p>
    <w:p w14:paraId="7E4958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2．控制对数据和系统的物理和逻辑访问。</w:t>
      </w:r>
    </w:p>
    <w:p w14:paraId="5ED82C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3．访问授权以“必需知道”和“最小授权”为原则。</w:t>
      </w:r>
    </w:p>
    <w:p w14:paraId="262F81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4．审批和授权。</w:t>
      </w:r>
    </w:p>
    <w:p w14:paraId="078E30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5．验证和调节。</w:t>
      </w:r>
    </w:p>
    <w:p w14:paraId="74F3CE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商业银行应建立持续的信息科技风险计量和监测机制，其中应包括：</w:t>
      </w:r>
    </w:p>
    <w:p w14:paraId="4853E7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（一）建立信息科技项目实施前及实施后的评价机制。</w:t>
      </w:r>
    </w:p>
    <w:p w14:paraId="55EBA7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（二）建立定期检查系统性能的程序和标准。</w:t>
      </w:r>
    </w:p>
    <w:p w14:paraId="4C7A10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（三）建立信息科技服务投诉和事故处理的报告机制。</w:t>
      </w:r>
    </w:p>
    <w:p w14:paraId="01E017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（四）建立内部审计、外部审计和监管发现问题的整改处理机制。</w:t>
      </w:r>
    </w:p>
    <w:p w14:paraId="0CED57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（五）安排供应商和业务部门对服务水平协议的完成情况进行定期审查。</w:t>
      </w:r>
    </w:p>
    <w:p w14:paraId="084867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（六）定期评估新技术发展可能造成的影响和已使用软件面临的新威胁。</w:t>
      </w:r>
    </w:p>
    <w:p w14:paraId="5CC035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（七）定期进行运行环境下操作风险和管理控制的检查。</w:t>
      </w:r>
    </w:p>
    <w:p w14:paraId="54BF69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（八）定期进行信息科技外包项目的风险状况评价。</w:t>
      </w:r>
    </w:p>
    <w:p w14:paraId="4E30AE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中资商业银行在境外设立的机构及境内的外资商业银行，应当遵守境内外监管机构关于信息科技风险管理的要求，并</w:t>
      </w:r>
      <w:proofErr w:type="gramStart"/>
      <w:r>
        <w:rPr>
          <w:rFonts w:ascii="宋体" w:eastAsia="宋体" w:hAnsi="宋体" w:cs="宋体" w:hint="eastAsia"/>
          <w:sz w:val="24"/>
        </w:rPr>
        <w:t>防范因</w:t>
      </w:r>
      <w:proofErr w:type="gramEnd"/>
      <w:r>
        <w:rPr>
          <w:rFonts w:ascii="宋体" w:eastAsia="宋体" w:hAnsi="宋体" w:cs="宋体" w:hint="eastAsia"/>
          <w:sz w:val="24"/>
        </w:rPr>
        <w:t>监管差异所造成的风险。</w:t>
      </w:r>
    </w:p>
    <w:p w14:paraId="3CAF58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信息安全</w:t>
      </w:r>
    </w:p>
    <w:p w14:paraId="2DE7BD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商业银行信息科技部门负责建立和实施信息分类和保护体系，商业银行应使所有员工都了解信息安全的重要性，并组织提供必要的培训，让员工充分了解其职责范围内的信息保护流程。</w:t>
      </w:r>
    </w:p>
    <w:p w14:paraId="2E638D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商业银行信息科技部门应落实信息安全管理职能。</w:t>
      </w:r>
      <w:proofErr w:type="gramStart"/>
      <w:r>
        <w:rPr>
          <w:rFonts w:ascii="宋体" w:eastAsia="宋体" w:hAnsi="宋体" w:cs="宋体" w:hint="eastAsia"/>
          <w:sz w:val="24"/>
        </w:rPr>
        <w:t>该职能</w:t>
      </w:r>
      <w:proofErr w:type="gramEnd"/>
      <w:r>
        <w:rPr>
          <w:rFonts w:ascii="宋体" w:eastAsia="宋体" w:hAnsi="宋体" w:cs="宋体" w:hint="eastAsia"/>
          <w:sz w:val="24"/>
        </w:rPr>
        <w:t>应包括建立信息安全计划和保持长效的管理机制，提高全体员工信息安全意识，就安全问题向其他部门提供建议，并定期向信息科技管理委员会提交本银行信息安全评估报告。信息安全管理机制应包括信息安全标准、策略、实施计划和持续维护计划。</w:t>
      </w:r>
    </w:p>
    <w:p w14:paraId="3C290B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信息安全策略应涉及以下领域：</w:t>
      </w:r>
    </w:p>
    <w:p w14:paraId="0DB258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（一）安全制度管理。</w:t>
      </w:r>
    </w:p>
    <w:p w14:paraId="0E0184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（二）信息安全组织管理。</w:t>
      </w:r>
    </w:p>
    <w:p w14:paraId="6B5341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（三）资产管理。</w:t>
      </w:r>
    </w:p>
    <w:p w14:paraId="740645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（四）人员安全管理。</w:t>
      </w:r>
    </w:p>
    <w:p w14:paraId="2FB31D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（五）物理与环境安全管理。</w:t>
      </w:r>
    </w:p>
    <w:p w14:paraId="057FBF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（六）通信与运营管理。</w:t>
      </w:r>
    </w:p>
    <w:p w14:paraId="10D6B9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（七）访问控制管理。</w:t>
      </w:r>
    </w:p>
    <w:p w14:paraId="18890A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（八）系统开发与维护管理。</w:t>
      </w:r>
    </w:p>
    <w:p w14:paraId="5C5BC6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（九）信息安全事故管理。</w:t>
      </w:r>
    </w:p>
    <w:p w14:paraId="47D6D5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（十）业务连续性管理。</w:t>
      </w:r>
    </w:p>
    <w:p w14:paraId="17CB59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（十一）合</w:t>
      </w:r>
      <w:proofErr w:type="gramStart"/>
      <w:r>
        <w:rPr>
          <w:rFonts w:ascii="宋体" w:eastAsia="宋体" w:hAnsi="宋体" w:cs="宋体" w:hint="eastAsia"/>
          <w:sz w:val="24"/>
        </w:rPr>
        <w:t>规</w:t>
      </w:r>
      <w:proofErr w:type="gramEnd"/>
      <w:r>
        <w:rPr>
          <w:rFonts w:ascii="宋体" w:eastAsia="宋体" w:hAnsi="宋体" w:cs="宋体" w:hint="eastAsia"/>
          <w:sz w:val="24"/>
        </w:rPr>
        <w:t>性管理。</w:t>
      </w:r>
    </w:p>
    <w:p w14:paraId="6F2D48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商业银行应建立有效管理用户认证和访问控制的流程。用户对数据和系统的访问必须选择与信息访问级别相匹配的认证机制，并且确保其在信息系统内的活动只限于相关业务能合法开展所要求的最低限度。用户调动到新的工作岗位或离开商业银行时，应在系统中及时检查、更新或注销用户身份。</w:t>
      </w:r>
    </w:p>
    <w:p w14:paraId="373A57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商业银行应确保设立物理安全保护区域，包括计算机中心或数据中心、存储机密信息或放置网络设备等重要信息科技设备的区域，明确相应的职责，采取必要的预防、检测和恢复控制措施。</w:t>
      </w:r>
    </w:p>
    <w:p w14:paraId="543AF0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商业银行应根据信息安全级别，将网络划分为不同的逻辑安全域（以下简称为域）。应该对下列安全因素进行评估，并根据安全级别定义和评估结果实施有效的安全控制，如对每个域和整个网络进行物理或逻辑分区、实现网络内容过滤、逻辑访问控制、传输加密、网络监控、记录活动日志等。</w:t>
      </w:r>
    </w:p>
    <w:p w14:paraId="7425C7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（一）域内应用程序和用户组的重要程度。</w:t>
      </w:r>
    </w:p>
    <w:p w14:paraId="685444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（二）各种通讯渠道进入域的访问点。</w:t>
      </w:r>
    </w:p>
    <w:p w14:paraId="03CC40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（三）域内配置的网络设备和应用程序使用的网络协议和端口。</w:t>
      </w:r>
    </w:p>
    <w:p w14:paraId="4DC68C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（四）性能要求或标准。</w:t>
      </w:r>
    </w:p>
    <w:p w14:paraId="55065D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（五）域的性质，如生产域或测试域、内部域或外部域。</w:t>
      </w:r>
    </w:p>
    <w:p w14:paraId="704B8B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（六）不同域之间的连通性。</w:t>
      </w:r>
    </w:p>
    <w:p w14:paraId="1D2437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（七）域的可信程度。</w:t>
      </w:r>
    </w:p>
    <w:p w14:paraId="117393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商业银行应通过以下措施，确保所有计算机操作系统和系统软件的安全：</w:t>
      </w:r>
    </w:p>
    <w:p w14:paraId="19FDFE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（一）制定每种类型操作系统的基本安全要求，确保所有系统满足基本安全要求。</w:t>
      </w:r>
    </w:p>
    <w:p w14:paraId="4028B2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（二）明确定义包括终端用户、系统开发人员、系统测试人员、计算机操作人员、系统管理员和用户管理员等不同用户组的访问权限。</w:t>
      </w:r>
    </w:p>
    <w:p w14:paraId="745B20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（三）制定最高权限系统账户的审批、验证和监控流程，并确保最高权限用户的操作日志被记录和监察。</w:t>
      </w:r>
    </w:p>
    <w:p w14:paraId="66F28C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（四）要求技术人员定期检查可用的安全补丁，并报告补丁管理状态。</w:t>
      </w:r>
    </w:p>
    <w:p w14:paraId="020022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（五）在系统日志中记录不成功的登录、重要系统文件的访问、对用户账户的修改等有关重要事项，手动或自动监控系统出现的任何异常事件，定期汇报监控情况。</w:t>
      </w:r>
    </w:p>
    <w:p w14:paraId="5A36A5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商业银行应通过以下措施，确保所有信息系统的安全：</w:t>
      </w:r>
    </w:p>
    <w:p w14:paraId="7D71D5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（一）明确定义终端用户和信息科技技术人员在信息系统安全中的角色和职责。</w:t>
      </w:r>
    </w:p>
    <w:p w14:paraId="131280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（二）针对信息系统的重要性和敏感程度，采取有效的身份验证方法。</w:t>
      </w:r>
    </w:p>
    <w:p w14:paraId="47D9F3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（三）加强职责划分，对关键或敏感岗位进行双重控制。</w:t>
      </w:r>
    </w:p>
    <w:p w14:paraId="0F5D10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（四）在关键的接合点进行输入验证或输出核对。</w:t>
      </w:r>
    </w:p>
    <w:p w14:paraId="00514E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（五）采取安全的方式处理保密信息的输入和输出，防止信息泄露或被盗取、篡改。</w:t>
      </w:r>
    </w:p>
    <w:p w14:paraId="4A3713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（六）确保系统按预先定义的方式处理例外情况，当系统被迫终止时向用户提供必要信息。</w:t>
      </w:r>
    </w:p>
    <w:p w14:paraId="3E037C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（七）以书面或电子格式保存审计痕迹。</w:t>
      </w:r>
    </w:p>
    <w:p w14:paraId="26DAA4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（八）要求用户管理员监控和审查未成功的登录和用户账户的修改。</w:t>
      </w:r>
    </w:p>
    <w:p w14:paraId="2CE75C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商业银行应制定相关策略和流程，管理所有生产系统的活动日志，以支持有效的审核、安全取证分析和预防欺诈。日志可以在软件的不同层次、不同的计算机和网络设备上完成，日志划分为两大类：</w:t>
      </w:r>
    </w:p>
    <w:p w14:paraId="42D101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（一）交易日志。交易日志由应用软件和数据库管理系统产生，内容包括用户登录尝试、数据修改、错误信息等。交易日志应按照国家会计准则要求予以保</w:t>
      </w:r>
      <w:r>
        <w:rPr>
          <w:rFonts w:ascii="宋体" w:eastAsia="宋体" w:hAnsi="宋体" w:cs="宋体" w:hint="eastAsia"/>
          <w:sz w:val="24"/>
        </w:rPr>
        <w:lastRenderedPageBreak/>
        <w:t>存。</w:t>
      </w:r>
    </w:p>
    <w:p w14:paraId="674312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系统日志。系统日志由操作系统、数据库管理系统、防火墙、入侵检测系统和路由器等生成，内容包括管理登录尝试、系统事件、网络事件、错误信息等。系统日志保存期限按系统的风险等级确定，但不能少于一年。</w:t>
      </w:r>
    </w:p>
    <w:p w14:paraId="1323BD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保证交易日志和系统日志中包含足够的内容，以便完成有效的内部控制、解决系统故障和满足审计需要；应采取适当措施保证所有日志同步计时，并确保其完整性。在例外情况发生后应及时复查系统日志。交易日志或系统日志的复查频率和保存周期应由信息科技部门和有关业务部门共同决定，并报信息科技管理委员会批准。</w:t>
      </w:r>
    </w:p>
    <w:p w14:paraId="5D36D5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商业银行应采取加密技术，防范涉密信息在传输、处理、存储过程中出现泄露或被篡改的风险，并建立密码设备管理制度，以确保：</w:t>
      </w:r>
    </w:p>
    <w:p w14:paraId="1BA27A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（一）使用符合国家要求的加密技术和加密设备。</w:t>
      </w:r>
    </w:p>
    <w:p w14:paraId="433198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（二）管理、使用密码设备的员工经过专业培训和严格审查。</w:t>
      </w:r>
    </w:p>
    <w:p w14:paraId="60B039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（三）加密强度满足信息机密性的要求。</w:t>
      </w:r>
    </w:p>
    <w:p w14:paraId="63A26E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（四）制定并落实有效的管理流程，尤其是密钥和证书生命周期管理。</w:t>
      </w:r>
    </w:p>
    <w:p w14:paraId="6968BE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商业银行应配备切实有效的系统，确保所有终端用户设备的安全，并定期对所有设备进行安全检查，包括台式个人计算机（PC）、便携式计算机、柜员终端、自动柜员机（ATM）、存折打印机、读卡器、销售终端（POS）和个人数字助理（PDA）等。</w:t>
      </w:r>
    </w:p>
    <w:p w14:paraId="725220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商业银行应制定相关制度和流程，严格管理客户信息的采集、处理、存贮、传输、分发、备份、恢复、清理和销毁。</w:t>
      </w:r>
    </w:p>
    <w:p w14:paraId="53ABF6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商业银行应对所有员工进行必要的培训，使其充分掌握信息科技风险管理制度和流程，了解违反规定的后果，并对违反安全规定的行为采取零容忍政策。</w:t>
      </w:r>
    </w:p>
    <w:p w14:paraId="07107F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信息系统开发、测试和维护</w:t>
      </w:r>
    </w:p>
    <w:p w14:paraId="1EF674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第三十二条 商业银行应有能力对信息系统进行需求分析、规划、采购、开发、测试、部署、维护、升级和报废，制定制度和流程，管理信息科技项目的优先排序、立项、审批和控制。项目实施部门应定期向信息科技管理委员会提交重大信息科技项目的进度报告，由其进行审核，进度报告应当包括计划的重大变更、关键人员或供应商的变更以及主要费用支出情况。应在信息系统投产后一定时期内，组织对系统的后评价，并根据评价结果及时对系统功能进行调整和优化。</w:t>
      </w:r>
    </w:p>
    <w:p w14:paraId="6FD410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商业银行应认识到信息科技项目相关的风险，包括潜在的各种操作风险、财务损失风险和因无效项目规划或不适当的项目管理控制产生的机会成本，并采取适当的项目管理方法，控制信息科技项目相关的风险。</w:t>
      </w:r>
    </w:p>
    <w:p w14:paraId="35807E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商业银行应采取适当的系统开发方法，控制信息系统的生命周期。典型的系统生命周期包括系统分析、设计、开发或外购、测试、试运行、部署、维护和退出。所采用的系统开发方法应符合信息科技项目的规模、性质和复杂度。</w:t>
      </w:r>
    </w:p>
    <w:p w14:paraId="1D6ED7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商业银行应制定相关控制信息系统变更的制度和流程，确保系统的可靠性、完整性和可维护性，其中应包括以下要求：</w:t>
      </w:r>
    </w:p>
    <w:p w14:paraId="405CEC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（一）生产系统与开发系统、测试系统有效隔离。</w:t>
      </w:r>
    </w:p>
    <w:p w14:paraId="47D82D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（二）生产系统与开发系统、测试系统的管理职能相分离。</w:t>
      </w:r>
    </w:p>
    <w:p w14:paraId="4B65AA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（三）除得到管理层批准执行紧急修复任务外，禁止应用程序开发和维护人员进入生产系统，且所有的紧急修复活动都应立即进行记录和审核。</w:t>
      </w:r>
    </w:p>
    <w:p w14:paraId="164996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（四）将完成开发和测试环境的程序或系统配置变更应用到生产系统时，应得到信息科技部门和业务部门的联合批准，并对变更进行及时记录和定期复查。</w:t>
      </w:r>
    </w:p>
    <w:p w14:paraId="201551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商业银行应制定并落实相关制度、标准和流程，确保信息系统开发、测试、维护过程中数据的完整性、保密性和可用性。</w:t>
      </w:r>
    </w:p>
    <w:p w14:paraId="6CD3C7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商业银行应建立并完善有效的问题管理流程，以确保全面地追踪、分析和解决信息系统问题，并对问题进行记录、分类和索引；如需供应商提供支持服务或技术援助，应向相关人员提供所需的合同和相关信息，并将过程记</w:t>
      </w:r>
      <w:r>
        <w:rPr>
          <w:rFonts w:ascii="宋体" w:eastAsia="宋体" w:hAnsi="宋体" w:cs="宋体" w:hint="eastAsia"/>
          <w:sz w:val="24"/>
        </w:rPr>
        <w:lastRenderedPageBreak/>
        <w:t>录在案；对完成紧急恢复起至关重要作用的任务和指令集，应有清晰的描述和说明，并通知相关人员。</w:t>
      </w:r>
    </w:p>
    <w:p w14:paraId="13A3E5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商业银行应制定相关制度和流程，控制系统升级过程。当设备达到预期使用寿命或性能不能满足业务需求，基础软件（操作系统、数据库管理系统、中间件）或应用软件必须升级时，应及时进行系统升级，并将该类升级活动纳入信息科技项目，接受相关的管理和控制，包括用户验收测试。</w:t>
      </w:r>
    </w:p>
    <w:p w14:paraId="11A923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信息科技运行</w:t>
      </w:r>
    </w:p>
    <w:p w14:paraId="20C07C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商业银行在选择数据中心的地理位置时，应充分考虑环境威胁（如是否接近自然灾害多发区、危险或有害设施、繁忙或主要公路），采取物理控制措施，监控对信息处理设备运行构成威胁的环境状况，并防止因意外断电或供电干扰影响数据中心的正常运行。</w:t>
      </w:r>
    </w:p>
    <w:p w14:paraId="136BFF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商业银行应严格控制第三方人员（如服务供应商）进入安全区域，如确需进入应得到适当的批准，其活动也应受到监控；针对长期或临时聘用的技术人员和承包商，尤其是从事敏感性技术相关工作的人员，应制定严格的审查程序，包括身份验证和背景调查。</w:t>
      </w:r>
    </w:p>
    <w:p w14:paraId="313A0B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商业银行应将信息科技运行与系统开发和维护分离，确保信息科技部门内部的岗位制约；对数据中心的岗位和职责做出明确规定。</w:t>
      </w:r>
    </w:p>
    <w:p w14:paraId="1AE14C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商业银行应按照有关法律法规要求保存交易记录，采取必要的程序和技术，确保存档数据的完整性，满足安全保存和</w:t>
      </w:r>
      <w:proofErr w:type="gramStart"/>
      <w:r>
        <w:rPr>
          <w:rFonts w:ascii="宋体" w:eastAsia="宋体" w:hAnsi="宋体" w:cs="宋体" w:hint="eastAsia"/>
          <w:sz w:val="24"/>
        </w:rPr>
        <w:t>可</w:t>
      </w:r>
      <w:proofErr w:type="gramEnd"/>
      <w:r>
        <w:rPr>
          <w:rFonts w:ascii="宋体" w:eastAsia="宋体" w:hAnsi="宋体" w:cs="宋体" w:hint="eastAsia"/>
          <w:sz w:val="24"/>
        </w:rPr>
        <w:t>恢复要求。</w:t>
      </w:r>
    </w:p>
    <w:p w14:paraId="503F66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商业银行应制定详尽的信息科技运行操作说明。如在信息科技运行手册中说明计算机操作人员的任务、工作日程、执行步骤，以及生产与开发环境中数据、软件的现场及非现场备份流程和要求（即备份的频率、范围和保留周期）。</w:t>
      </w:r>
    </w:p>
    <w:p w14:paraId="2B4334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商业银行应建立事故管理及处置机制，及时响应信息系统运行事故，逐级向相关的信息科技管理人员报告事故的发生，并进行记录、分析和跟踪，直到完成彻底的处置和根本原因分析。商业银行应建立服务台，为用户提供相关技术问题的在线支持，并将问题提交给相关信息科技部门进行调查和解决。</w:t>
      </w:r>
    </w:p>
    <w:p w14:paraId="4C38EE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第四十五条 商业银行应建立服务水平管理相关的制度和流程，对信息科技运行服务水平进行考核。</w:t>
      </w:r>
    </w:p>
    <w:p w14:paraId="3F1B7C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商业银行应建立连续监控信息系统性能的相关程序，及时、完整地报告例外情况；该程序应提供预警功能，在例外情况对系统性能造成影响前对其进行识别和修正。</w:t>
      </w:r>
    </w:p>
    <w:p w14:paraId="1C8639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商业银行应制定容量规划，以适应由于外部环境变化产生的业务发展和交易量增长。容量规划应涵盖生产系统、备份系统及相关设备。</w:t>
      </w:r>
    </w:p>
    <w:p w14:paraId="64528B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商业银行应及时进行维护和适当的系统升级，以确保与技术相关服务的连续可用性，并完整保存记录（包括疑似和实际的故障、预防性和补救性维护记录），以确保有效维护设备和设施。</w:t>
      </w:r>
    </w:p>
    <w:p w14:paraId="4DC675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第四十九条 商业银行应制定有效的变更管理流程，以确保生产环境的完整性和可靠性。包括紧急变更在内的所有变更都应记入日志，由信息科技部门和业务部门共同审核签字，并事先进行备份，以便必要时可以恢复原来的系统版本和数据文件。紧急变更成功后，应通过正常的验收测试和变更管理流程，采用恰当的修正以取代紧急变更。</w:t>
      </w:r>
    </w:p>
    <w:p w14:paraId="518616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业务连续性管理</w:t>
      </w:r>
    </w:p>
    <w:p w14:paraId="202C03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第五十条 商业银行应根据自身业务的性质、规模和复杂程度制定适当的业务连续性规划，以确保在出现无法预见的中断时，系统仍能持续运行并提供服务；定期对规划进行更新和演练，以保证其有效性。</w:t>
      </w:r>
    </w:p>
    <w:p w14:paraId="53899D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第五十一条 商业银行应</w:t>
      </w:r>
      <w:proofErr w:type="gramStart"/>
      <w:r>
        <w:rPr>
          <w:rFonts w:ascii="宋体" w:eastAsia="宋体" w:hAnsi="宋体" w:cs="宋体" w:hint="eastAsia"/>
          <w:sz w:val="24"/>
        </w:rPr>
        <w:t>评估因</w:t>
      </w:r>
      <w:proofErr w:type="gramEnd"/>
      <w:r>
        <w:rPr>
          <w:rFonts w:ascii="宋体" w:eastAsia="宋体" w:hAnsi="宋体" w:cs="宋体" w:hint="eastAsia"/>
          <w:sz w:val="24"/>
        </w:rPr>
        <w:t>意外事件导致其业务运行中断的可能性及其影响，包括评估可能由下述原因导致的破坏：</w:t>
      </w:r>
    </w:p>
    <w:p w14:paraId="615A60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（一）内外部资源的故障或缺失（如人员、系统或其他资产）。</w:t>
      </w:r>
    </w:p>
    <w:p w14:paraId="6332F1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（二）信息丢失或受损。</w:t>
      </w:r>
    </w:p>
    <w:p w14:paraId="345907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（三）外部事件（如战争、地震或台风等）。</w:t>
      </w:r>
    </w:p>
    <w:p w14:paraId="568E3A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第五十二条 商业银行应采取系统恢复和双</w:t>
      </w:r>
      <w:proofErr w:type="gramStart"/>
      <w:r>
        <w:rPr>
          <w:rFonts w:ascii="宋体" w:eastAsia="宋体" w:hAnsi="宋体" w:cs="宋体" w:hint="eastAsia"/>
          <w:sz w:val="24"/>
        </w:rPr>
        <w:t>机热备处理</w:t>
      </w:r>
      <w:proofErr w:type="gramEnd"/>
      <w:r>
        <w:rPr>
          <w:rFonts w:ascii="宋体" w:eastAsia="宋体" w:hAnsi="宋体" w:cs="宋体" w:hint="eastAsia"/>
          <w:sz w:val="24"/>
        </w:rPr>
        <w:t>等措施降低业务中断的可能性，并通过应急安排和保险等方式降低影响。</w:t>
      </w:r>
    </w:p>
    <w:p w14:paraId="2966AB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第五十三条 商业银行应建立维持其运营连续性策略的文档，并制定对策略的充分性和有效性进行检查和沟通的计划。其中包括：</w:t>
      </w:r>
    </w:p>
    <w:p w14:paraId="62CEEC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（一）规范的业务连续性计划，明确降低短期、中期和长期中断所造成影响的措施，包括但不限于：</w:t>
      </w:r>
    </w:p>
    <w:p w14:paraId="3755B1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1．资源需求（如人员、系统和其他资产）以及获取资源的方式。</w:t>
      </w:r>
    </w:p>
    <w:p w14:paraId="6D965B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2．运行恢复的优先顺序。</w:t>
      </w:r>
    </w:p>
    <w:p w14:paraId="3C3D8D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3．与内部各部门及外部相关各方（尤其是监管机构、客户和媒体等）的沟通安排。</w:t>
      </w:r>
    </w:p>
    <w:p w14:paraId="207CB0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（二）更新实施业务连续性计划的流程及相关联系信息。</w:t>
      </w:r>
    </w:p>
    <w:p w14:paraId="6A9C26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w:t>
      </w:r>
      <w:proofErr w:type="gramStart"/>
      <w:r>
        <w:rPr>
          <w:rFonts w:ascii="宋体" w:eastAsia="宋体" w:hAnsi="宋体" w:cs="宋体" w:hint="eastAsia"/>
          <w:sz w:val="24"/>
        </w:rPr>
        <w:t>验证受</w:t>
      </w:r>
      <w:proofErr w:type="gramEnd"/>
      <w:r>
        <w:rPr>
          <w:rFonts w:ascii="宋体" w:eastAsia="宋体" w:hAnsi="宋体" w:cs="宋体" w:hint="eastAsia"/>
          <w:sz w:val="24"/>
        </w:rPr>
        <w:t>中断影响的信息完整性的步骤。</w:t>
      </w:r>
    </w:p>
    <w:p w14:paraId="037626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（四）当商业银行的业务或风险状况发生变化时，对本条（一）到（三）进行审核并升级。</w:t>
      </w:r>
    </w:p>
    <w:p w14:paraId="66A71E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第五十四条 商业银行的业务连续性计划和年度应急演练结果应由信息科技风险管理部门或信息科技管理委员会确认。</w:t>
      </w:r>
    </w:p>
    <w:p w14:paraId="343C86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第八章 外包</w:t>
      </w:r>
    </w:p>
    <w:p w14:paraId="10EE75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第五十五条 商业银行不得将其信息科技管理责任外包，应合理谨慎监督外包职能的履行。</w:t>
      </w:r>
    </w:p>
    <w:p w14:paraId="271C1A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第五十六条 商业银行实施重要外包（如数据中心和信息科技基础设施等）应格外谨慎，在准备实施重要外包时应以书面材料正式报告银监会或其派出机构。</w:t>
      </w:r>
    </w:p>
    <w:p w14:paraId="7C3892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第五十七条 商业银行在签署外包协议或对外包协议进行重大变更前，应做好相关准备，其中包括：</w:t>
      </w:r>
    </w:p>
    <w:p w14:paraId="216B4D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（一）分析外包是否适合商业银行的组织结构和报告路线、业务战略、总体风险控制，是否满足商业银行履行对外包服务商的监督义务。</w:t>
      </w:r>
    </w:p>
    <w:p w14:paraId="2C936D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（二）考虑外包协议是否允许商业银行监测和控制与外包相关的操作风险。</w:t>
      </w:r>
    </w:p>
    <w:p w14:paraId="2ED83B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（三）充分审查、评估外包服务商的财务稳定性和专业经验，对外包服务商进行风险评估，考查其设施和能力是否足以承担相应的责任。</w:t>
      </w:r>
    </w:p>
    <w:p w14:paraId="38658F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（四）考虑外包协议变更前后实施的平稳过渡（包括终止合同可能发生的情况）。</w:t>
      </w:r>
    </w:p>
    <w:p w14:paraId="2B4EEE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（五）关注可能存在的集中风险，如多家商业银行共用同一外包服务商带来的潜在业务连续性风险。</w:t>
      </w:r>
    </w:p>
    <w:p w14:paraId="0E1CE2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第五十八条 商业银行在与外包服务商合同谈判过程中，应考虑的因素包括但不限于：</w:t>
      </w:r>
    </w:p>
    <w:p w14:paraId="053A5B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（一）对外包服务商的报告要求和谈判必要条件。</w:t>
      </w:r>
    </w:p>
    <w:p w14:paraId="2AC555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（二）银行业监管机构和内部审计、外部审计能执行足够的监督。</w:t>
      </w:r>
    </w:p>
    <w:p w14:paraId="6F73A8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（三）通过界定信息所有权、签署保密协议和采取技术防护措施保护客户信息和其他信息。</w:t>
      </w:r>
    </w:p>
    <w:p w14:paraId="431075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（四）担保和损失赔偿是否充足。</w:t>
      </w:r>
    </w:p>
    <w:p w14:paraId="696DE4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（五）外包服务商遵守商业银行有关信息科技风险制度和流程的意愿及相关措施。</w:t>
      </w:r>
    </w:p>
    <w:p w14:paraId="37E97F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（六）外包服务商提供的业务连续性保障水平，以及提供相关专</w:t>
      </w:r>
      <w:proofErr w:type="gramStart"/>
      <w:r>
        <w:rPr>
          <w:rFonts w:ascii="宋体" w:eastAsia="宋体" w:hAnsi="宋体" w:cs="宋体" w:hint="eastAsia"/>
          <w:sz w:val="24"/>
        </w:rPr>
        <w:t>属资源</w:t>
      </w:r>
      <w:proofErr w:type="gramEnd"/>
      <w:r>
        <w:rPr>
          <w:rFonts w:ascii="宋体" w:eastAsia="宋体" w:hAnsi="宋体" w:cs="宋体" w:hint="eastAsia"/>
          <w:sz w:val="24"/>
        </w:rPr>
        <w:t>的承诺。</w:t>
      </w:r>
    </w:p>
    <w:p w14:paraId="13BD2D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（七）第三</w:t>
      </w:r>
      <w:proofErr w:type="gramStart"/>
      <w:r>
        <w:rPr>
          <w:rFonts w:ascii="宋体" w:eastAsia="宋体" w:hAnsi="宋体" w:cs="宋体" w:hint="eastAsia"/>
          <w:sz w:val="24"/>
        </w:rPr>
        <w:t>方供应商出现</w:t>
      </w:r>
      <w:proofErr w:type="gramEnd"/>
      <w:r>
        <w:rPr>
          <w:rFonts w:ascii="宋体" w:eastAsia="宋体" w:hAnsi="宋体" w:cs="宋体" w:hint="eastAsia"/>
          <w:sz w:val="24"/>
        </w:rPr>
        <w:t>问题时，保证软件持续可用的相关措施。</w:t>
      </w:r>
    </w:p>
    <w:p w14:paraId="5B7854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（八）变更外包协议的流程，以及商业银行或外包服务商选择变更或终止外包协议的条件，例如：</w:t>
      </w:r>
    </w:p>
    <w:p w14:paraId="325DF1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1．商业银行或外包服务商的所有权或控制权发生变化。</w:t>
      </w:r>
    </w:p>
    <w:p w14:paraId="590924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2．商业银行或外包服务商的业务经营发生重大变化。</w:t>
      </w:r>
    </w:p>
    <w:p w14:paraId="4ED331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3．外包服务商提供的服务不充分，造成商业银行不能履行监督义务。</w:t>
      </w:r>
    </w:p>
    <w:p w14:paraId="170E1A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第五十九条 商业银行在实施双方关系管理，以及起草服务水平协议时，应</w:t>
      </w:r>
      <w:r>
        <w:rPr>
          <w:rFonts w:ascii="宋体" w:eastAsia="宋体" w:hAnsi="宋体" w:cs="宋体" w:hint="eastAsia"/>
          <w:sz w:val="24"/>
        </w:rPr>
        <w:lastRenderedPageBreak/>
        <w:t>考虑的因素包括但不限于：</w:t>
      </w:r>
    </w:p>
    <w:p w14:paraId="13277B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（一）提出定性和定量的绩效指标，评估外包服务商为商业银行及其相关客户提供服务的充分性。</w:t>
      </w:r>
    </w:p>
    <w:p w14:paraId="6CC8F4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（二）通过服务水平报告、定期自我评估、内部或外部独立审计进行绩效考核。</w:t>
      </w:r>
    </w:p>
    <w:p w14:paraId="745229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（三）针对绩效不达标的情况调整流程，采取整改措施。</w:t>
      </w:r>
    </w:p>
    <w:p w14:paraId="0F02D4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第六十条 商业银行应加强信息科技相关外包管理工作，确保商业银行的客户资料等敏感信息的安全，包括但不限于采取以下措施：</w:t>
      </w:r>
    </w:p>
    <w:p w14:paraId="7AAC94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（一）实现本银行客户资料与外包服务</w:t>
      </w:r>
      <w:proofErr w:type="gramStart"/>
      <w:r>
        <w:rPr>
          <w:rFonts w:ascii="宋体" w:eastAsia="宋体" w:hAnsi="宋体" w:cs="宋体" w:hint="eastAsia"/>
          <w:sz w:val="24"/>
        </w:rPr>
        <w:t>商其他</w:t>
      </w:r>
      <w:proofErr w:type="gramEnd"/>
      <w:r>
        <w:rPr>
          <w:rFonts w:ascii="宋体" w:eastAsia="宋体" w:hAnsi="宋体" w:cs="宋体" w:hint="eastAsia"/>
          <w:sz w:val="24"/>
        </w:rPr>
        <w:t>客户资料的有效隔离。</w:t>
      </w:r>
    </w:p>
    <w:p w14:paraId="49D81B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（二）按照“必需知道”和“最小授权”原则对外包服务</w:t>
      </w:r>
      <w:proofErr w:type="gramStart"/>
      <w:r>
        <w:rPr>
          <w:rFonts w:ascii="宋体" w:eastAsia="宋体" w:hAnsi="宋体" w:cs="宋体" w:hint="eastAsia"/>
          <w:sz w:val="24"/>
        </w:rPr>
        <w:t>商相关</w:t>
      </w:r>
      <w:proofErr w:type="gramEnd"/>
      <w:r>
        <w:rPr>
          <w:rFonts w:ascii="宋体" w:eastAsia="宋体" w:hAnsi="宋体" w:cs="宋体" w:hint="eastAsia"/>
          <w:sz w:val="24"/>
        </w:rPr>
        <w:t>人员授权。</w:t>
      </w:r>
    </w:p>
    <w:p w14:paraId="02A424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（三）要求外包服务商保证其相关人员遵守保密规定。</w:t>
      </w:r>
    </w:p>
    <w:p w14:paraId="6E1F70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（四）应将涉及本银行客户资料的外包作为重要外包，并告知相关客户。</w:t>
      </w:r>
    </w:p>
    <w:p w14:paraId="4737BA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（五）严格控制外包服务</w:t>
      </w:r>
      <w:proofErr w:type="gramStart"/>
      <w:r>
        <w:rPr>
          <w:rFonts w:ascii="宋体" w:eastAsia="宋体" w:hAnsi="宋体" w:cs="宋体" w:hint="eastAsia"/>
          <w:sz w:val="24"/>
        </w:rPr>
        <w:t>商再次</w:t>
      </w:r>
      <w:proofErr w:type="gramEnd"/>
      <w:r>
        <w:rPr>
          <w:rFonts w:ascii="宋体" w:eastAsia="宋体" w:hAnsi="宋体" w:cs="宋体" w:hint="eastAsia"/>
          <w:sz w:val="24"/>
        </w:rPr>
        <w:t>对外转包，采取足够措施确保商业银行相关信息的安全。</w:t>
      </w:r>
    </w:p>
    <w:p w14:paraId="3FF4D0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（六）确保在中止外包协议时收回或销毁外包服务商保存的所有客户资料。</w:t>
      </w:r>
    </w:p>
    <w:p w14:paraId="2DF1CA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第六十一条 商业银行应建立恰当的应急措施，应对外包服务商在服务中可能出现的重大缺失。尤其需要考虑外包服务商的重大资源损失，重大财务损失和重要人员的变动，以及外包协议的意外终止。</w:t>
      </w:r>
    </w:p>
    <w:p w14:paraId="2FFEE8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第六十二条 商业银行所有信息科技外包合同应由信息科技风险管理部门、法律部门和信息科技管理委员会审核通过。商业银行应设立流程定期审阅和修订服务水平协议。</w:t>
      </w:r>
    </w:p>
    <w:p w14:paraId="61278D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第九章 内部审计</w:t>
      </w:r>
    </w:p>
    <w:p w14:paraId="45680F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第六十三条 商业银行内部审计部门应根据业务的性质、规模和复杂程度，对相关系统及其控制的适当性和有效性进行监测。内部审计部门应配备足够的资源和具有专业能力的信息科技审计人员，独立于本银行的日常活动，具有适当的</w:t>
      </w:r>
      <w:r>
        <w:rPr>
          <w:rFonts w:ascii="宋体" w:eastAsia="宋体" w:hAnsi="宋体" w:cs="宋体" w:hint="eastAsia"/>
          <w:sz w:val="24"/>
        </w:rPr>
        <w:lastRenderedPageBreak/>
        <w:t>授权访问本银行的记录。</w:t>
      </w:r>
    </w:p>
    <w:p w14:paraId="442635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第六十四条 商业银行内部信息科技审计的责任包括：</w:t>
      </w:r>
    </w:p>
    <w:p w14:paraId="08E9DC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（一）制定、实施和调整审计计划，检查和评估商业银行信息科技系统和内控机制的充分性和有效性。</w:t>
      </w:r>
    </w:p>
    <w:p w14:paraId="0EB160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（二）按照第（一）款规定完成审计工作，在此基础上提出整改意见。</w:t>
      </w:r>
    </w:p>
    <w:p w14:paraId="45C65B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（三）检查整改意见是否得到落实。</w:t>
      </w:r>
    </w:p>
    <w:p w14:paraId="65A89F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（四）执行信息科技专项审计。信息科技专项审计，是指对信息科技安全事故进行的调查、分析和评估，或审计部门根据风险评估结果对认为必要的特殊事项进行的审计。</w:t>
      </w:r>
    </w:p>
    <w:p w14:paraId="10F974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第六十五条 商业银行应根据业务性质、规模和复杂程度，信息科技应用情况，以及信息科技风险评估结果，决定信息科技内部审计范围和频率。但至少应每三年进行一次全面审计。</w:t>
      </w:r>
    </w:p>
    <w:p w14:paraId="4CE664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第六十六条 商业银行在进行大规模系统开发时，应要求信息科技风险管理部门和内部审计部门参与，保证系统开发符合本银行信息科技风险管理标准。</w:t>
      </w:r>
    </w:p>
    <w:p w14:paraId="3DAF2D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第十章 外部审计</w:t>
      </w:r>
    </w:p>
    <w:p w14:paraId="047776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第六十七条 商业银行可以在符合法律、法规和监管要求的情况下，委托具备相应资质的外部审计机构进行信息科技外部审计。</w:t>
      </w:r>
    </w:p>
    <w:p w14:paraId="760CB8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第六十八条 在委托审计过程中，商业银行应确保外部审计机构能够对本银行的硬件、软件、文档和数据进行检查，以发现信息科技存在的风险，国家法律、法规及监管部门规章、规范性文件规定的重要商业、技术保密信息除外。</w:t>
      </w:r>
    </w:p>
    <w:p w14:paraId="610ECA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第六十九条 商业银行在实施外部审计前应与外部审计机构进行充分沟通，详细确定审计范围，不应故意隐瞒事实或阻挠审计检查。</w:t>
      </w:r>
    </w:p>
    <w:p w14:paraId="0F8840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第七十条 银监会及其派出机构必要时可指定具备相应资质的外部审计机构对商业银行执行信息科技审计或相关检查。外部审计机构根据银监会或其派出机构的委托或授权对商业银行进行审计时，应出示委托授权书，并依照委托授权书</w:t>
      </w:r>
      <w:r>
        <w:rPr>
          <w:rFonts w:ascii="宋体" w:eastAsia="宋体" w:hAnsi="宋体" w:cs="宋体" w:hint="eastAsia"/>
          <w:sz w:val="24"/>
        </w:rPr>
        <w:lastRenderedPageBreak/>
        <w:t>上规定的范围进行审计。</w:t>
      </w:r>
    </w:p>
    <w:p w14:paraId="791B35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第七十一条 外部审计机构根据授权出具的审计报告，</w:t>
      </w:r>
      <w:proofErr w:type="gramStart"/>
      <w:r>
        <w:rPr>
          <w:rFonts w:ascii="宋体" w:eastAsia="宋体" w:hAnsi="宋体" w:cs="宋体" w:hint="eastAsia"/>
          <w:sz w:val="24"/>
        </w:rPr>
        <w:t>经银监</w:t>
      </w:r>
      <w:proofErr w:type="gramEnd"/>
      <w:r>
        <w:rPr>
          <w:rFonts w:ascii="宋体" w:eastAsia="宋体" w:hAnsi="宋体" w:cs="宋体" w:hint="eastAsia"/>
          <w:sz w:val="24"/>
        </w:rPr>
        <w:t>会及其派出机构审阅批准后具有与银监会及其派出机构出具的检查报告同等的效力，被审计的商业银行应根据该审计报告提出整改计划，并在规定的时间内实施整改。</w:t>
      </w:r>
    </w:p>
    <w:p w14:paraId="23E2AB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第七十二条 商业银行在委托外部审计机构进行外部审计时，应与其签订保密协议，并督促其严格遵守法律法规，保守本银行的商业秘密和信息科技风险信息，防止其擅自对本银行提供的任何文件进行修改、复制或带离现场。</w:t>
      </w:r>
    </w:p>
    <w:p w14:paraId="49CB03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第十一章 附则</w:t>
      </w:r>
    </w:p>
    <w:p w14:paraId="0C6167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第七十三条 未设董事会的商业银行，应当由其经营决策机构履行本指引中董事会的有关信息科技风险管理职责。</w:t>
      </w:r>
    </w:p>
    <w:p w14:paraId="0FC39E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第七十四条 银监会依法对商业银行的信息科技风险管理实施监督检查。</w:t>
      </w:r>
    </w:p>
    <w:p w14:paraId="5E9CE0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第七十五条 本指引由银监会负责解释、修订。</w:t>
      </w:r>
    </w:p>
    <w:p w14:paraId="43697A88"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第七十六条 本指引自颁布之日起施行，《银行业金融机构信息系统风险管理指引》（银监发[2006]63号）同时废止。</w:t>
      </w:r>
    </w:p>
    <w:p w14:paraId="408E8D9F"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53.《中国银行业监督管理委员会办公厅关于加强商业银行债券投资风险管理的通知》</w:t>
      </w:r>
    </w:p>
    <w:p w14:paraId="37DBDA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086A07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文号：银监办发[2009]129号</w:t>
      </w:r>
      <w:r>
        <w:rPr>
          <w:rFonts w:ascii="宋体" w:eastAsia="宋体" w:hAnsi="宋体" w:cs="宋体" w:hint="eastAsia"/>
          <w:sz w:val="24"/>
        </w:rPr>
        <w:tab/>
      </w:r>
    </w:p>
    <w:p w14:paraId="66B9C6D8"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局，各政策性银行、国有商业银行、股份制商业银行、金融资产管理公司，邮政储蓄银行，银监会直接监管的信托公司、财务公司、金融租赁公司：</w:t>
      </w:r>
    </w:p>
    <w:p w14:paraId="000E2C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为进一步加强商业银行债券投资管理，防范经济金融形势变化和市场波动带来的潜在风险，现将有关事项通知如下：</w:t>
      </w:r>
    </w:p>
    <w:p w14:paraId="3AE04A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一、科学制定投资指引，明确相关职责权限</w:t>
      </w:r>
    </w:p>
    <w:p w14:paraId="49A4C4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在整体风险管理政策和程序框架内，按照自身业务特点、规模、复杂程度和风险水平，结合总体业务发展战略、管理能力、资本实力和能够承担的风险水平，合理制定债券投资指引，明确可以开展的业务、可以交易或投资的债券类型、可以采取的投资、保值及风险缓释策略和方法等，同时明确债券投资管理的组织结构、权限结构和问责机制，并根据市场变动情况适时对相关指引进行修订。</w:t>
      </w:r>
    </w:p>
    <w:p w14:paraId="5106A2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二、各职能部门要协调配合，防范风险管理疏漏</w:t>
      </w:r>
    </w:p>
    <w:p w14:paraId="06A166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商业银行应明确风险管理部门、投资经营部门及其他相关部门在债券投资风险管理中的作用，并形成书面规定，同时在各职能部门间建立有效的协调和信息共享机制，以防止风险管理上的疏漏、缺失或重复。</w:t>
      </w:r>
    </w:p>
    <w:p w14:paraId="78E5FA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三、实行风险分类管理，重点关注高风险投资</w:t>
      </w:r>
    </w:p>
    <w:p w14:paraId="29D7C8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按照风险程度对债券投资组合进行分类管理，重点关注高风险债券。高风险债券包括但不限于：信用评级在投资级别以下；债券结构复杂或杠杆率较高；发行人经营杠杆率过高；有关发行人的经营状况和财务状况等信息披露不够充分、完整、及时。</w:t>
      </w:r>
    </w:p>
    <w:p w14:paraId="5637EE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四、加强信用风险管理，将债券资产纳入统一风险管理体系</w:t>
      </w:r>
    </w:p>
    <w:p w14:paraId="3AB9F9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（一）商业银行应加强债券投资业务的信用风险管理，充分评估债券发行人、交易对手的资信状况，将债券资产纳入全行统一的信用风险管理体系，包括实行统一的授信管理。</w:t>
      </w:r>
    </w:p>
    <w:p w14:paraId="0B95A3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商业银行不应完全依赖于外部机构评级报告，应将债券投资信用评级纳入信用风险内部评级管理体系或者建立独立的债券投资评级管理体系，建立健全信用评级管理制度，配合合格的债券投资评级工作人员，并确保评级职能的独立性。</w:t>
      </w:r>
    </w:p>
    <w:p w14:paraId="06B4DF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风险管理部门、投资经营部门及其他相关部门应根据各自的职责权限，参照贷款贷后管理模式，定期对债券发行人资金运用、信用状况、经营状况及外部经济环境等进行跟踪评估。根据评估结果及时调整发行人信用级别及投资额度，并采取适当的风险管控措施。</w:t>
      </w:r>
    </w:p>
    <w:p w14:paraId="63FA2E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五、加强市场风险管理，确保估值及时合理</w:t>
      </w:r>
    </w:p>
    <w:p w14:paraId="0FCBA1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加强债券投资业务的市场风险管理，对交易账户债券头寸进行每日估值；对银行账户债券头寸应在每年至少进行一次估值的基础上，根据券种风险程度和市场波动情况适当提高估值频率，并采取必要的手段保证估值结果的公允合理。</w:t>
      </w:r>
    </w:p>
    <w:p w14:paraId="1206AF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六、加强流动性风险管理，关注投资变现能力</w:t>
      </w:r>
    </w:p>
    <w:p w14:paraId="25798F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商业银行应重视债券投资业务对流动性风险管理的影响，在债券投资发行人、币种、期限、利率类型等方面进行合理配置，尤其要充分重视债券投资在极端情形下可能无法变现的风险。</w:t>
      </w:r>
    </w:p>
    <w:p w14:paraId="4375C9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七、完善压力测试程序，提高预警及应急能力</w:t>
      </w:r>
    </w:p>
    <w:p w14:paraId="18B750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建立全面、严密的信用风险、市场风险和流动性风险压力测试程序，定期对突发事件可能造成的潜在损失进行模拟和估算，以评估本行在极端不利情况下的亏损承受能力，根据压力测试结果对债券投资管理策略、政策和限额进行调整，并制定应急处理预案。董事会和高级管理层应当定期对压力测试的设计和结果进行审查，不断完善压力测试程序。</w:t>
      </w:r>
    </w:p>
    <w:p w14:paraId="4BA3C8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八、严格落实相关会计处理规定及资本要求</w:t>
      </w:r>
    </w:p>
    <w:p w14:paraId="6550A6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（一）商业银行债券投资应按照《企业会计准则》等有关规定进行会计处理，对债券投资按照金融资产分类要求进行准确分类和计量；对按照摊</w:t>
      </w:r>
      <w:proofErr w:type="gramStart"/>
      <w:r>
        <w:rPr>
          <w:rFonts w:ascii="宋体" w:eastAsia="宋体" w:hAnsi="宋体" w:cs="宋体" w:hint="eastAsia"/>
          <w:sz w:val="24"/>
        </w:rPr>
        <w:t>余成本</w:t>
      </w:r>
      <w:proofErr w:type="gramEnd"/>
      <w:r>
        <w:rPr>
          <w:rFonts w:ascii="宋体" w:eastAsia="宋体" w:hAnsi="宋体" w:cs="宋体" w:hint="eastAsia"/>
          <w:sz w:val="24"/>
        </w:rPr>
        <w:t>计量的债券投资计提充足的减值准备。</w:t>
      </w:r>
    </w:p>
    <w:p w14:paraId="621B01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（二）交易账户头寸高于表内外资产总额的10%或者超过85亿元人民币的商业银行必须计提市场风险资本。此外，商业银行须按照审慎原则计算债券投资业务风险权重，保证资本充足率适当有效。</w:t>
      </w:r>
    </w:p>
    <w:p w14:paraId="4125AE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其他银行业金融机构债券投资风险管理亦参照本通知要求执行。</w:t>
      </w:r>
    </w:p>
    <w:p w14:paraId="5DA71032"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请各银监</w:t>
      </w:r>
      <w:proofErr w:type="gramEnd"/>
      <w:r>
        <w:rPr>
          <w:rFonts w:ascii="宋体" w:eastAsia="宋体" w:hAnsi="宋体" w:cs="宋体" w:hint="eastAsia"/>
          <w:sz w:val="24"/>
        </w:rPr>
        <w:t>局将本通知转发至辖内各法人银行业金融机构和外国银行分行，并提出相应监管要求。</w:t>
      </w:r>
    </w:p>
    <w:p w14:paraId="6D2543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中国银行业监督管理委员会办公厅</w:t>
      </w:r>
    </w:p>
    <w:p w14:paraId="4995B0D5"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二</w:t>
      </w:r>
      <w:proofErr w:type="gramStart"/>
      <w:r>
        <w:rPr>
          <w:rFonts w:ascii="宋体" w:eastAsia="宋体" w:hAnsi="宋体" w:cs="宋体" w:hint="eastAsia"/>
          <w:sz w:val="24"/>
        </w:rPr>
        <w:t>00</w:t>
      </w:r>
      <w:proofErr w:type="gramEnd"/>
      <w:r>
        <w:rPr>
          <w:rFonts w:ascii="宋体" w:eastAsia="宋体" w:hAnsi="宋体" w:cs="宋体" w:hint="eastAsia"/>
          <w:sz w:val="24"/>
        </w:rPr>
        <w:t>九年三月二十六日</w:t>
      </w:r>
    </w:p>
    <w:p w14:paraId="0EADACD4"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54.《企业内部控制应用指引》</w:t>
      </w:r>
    </w:p>
    <w:p w14:paraId="37CC05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w:t>
      </w:r>
      <w:r>
        <w:rPr>
          <w:rFonts w:ascii="宋体" w:eastAsia="宋体" w:hAnsi="宋体" w:cs="宋体" w:hint="eastAsia"/>
          <w:sz w:val="24"/>
        </w:rPr>
        <w:tab/>
      </w:r>
    </w:p>
    <w:p w14:paraId="28FBDA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r>
        <w:rPr>
          <w:rFonts w:ascii="宋体" w:eastAsia="宋体" w:hAnsi="宋体" w:cs="宋体" w:hint="eastAsia"/>
          <w:sz w:val="24"/>
        </w:rPr>
        <w:tab/>
      </w:r>
    </w:p>
    <w:p w14:paraId="60EA6E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1 号——组织架构</w:t>
      </w:r>
    </w:p>
    <w:p w14:paraId="1CB090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2 号——发展战略</w:t>
      </w:r>
    </w:p>
    <w:p w14:paraId="3C9494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3 号——人力资源</w:t>
      </w:r>
    </w:p>
    <w:p w14:paraId="2B0B29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企业内部控制应用指引第 4 号——社会责任             </w:t>
      </w:r>
    </w:p>
    <w:p w14:paraId="6640AB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5 号——企业文化</w:t>
      </w:r>
    </w:p>
    <w:p w14:paraId="5A0473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6 号——资金活动</w:t>
      </w:r>
    </w:p>
    <w:p w14:paraId="77C79B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7 号——采购业务</w:t>
      </w:r>
    </w:p>
    <w:p w14:paraId="3FAFD6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8 号——资产管理</w:t>
      </w:r>
    </w:p>
    <w:p w14:paraId="57B618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9 号——销售业务</w:t>
      </w:r>
    </w:p>
    <w:p w14:paraId="7FE95E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10 号——研究与开发</w:t>
      </w:r>
    </w:p>
    <w:p w14:paraId="36D958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11 号——工程项目</w:t>
      </w:r>
    </w:p>
    <w:p w14:paraId="4B37BB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12 号——担保业务</w:t>
      </w:r>
    </w:p>
    <w:p w14:paraId="341F06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13 号——业务外包</w:t>
      </w:r>
    </w:p>
    <w:p w14:paraId="255A0F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14 号——财务报告</w:t>
      </w:r>
    </w:p>
    <w:p w14:paraId="0B00A5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15 号——全面预算</w:t>
      </w:r>
    </w:p>
    <w:p w14:paraId="32DB78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16 号——合同管理</w:t>
      </w:r>
    </w:p>
    <w:p w14:paraId="28BCBA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17 号——内部信息传递</w:t>
      </w:r>
    </w:p>
    <w:p w14:paraId="6B3D5D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企业内部控制应用指引第 18 号——信息系统</w:t>
      </w:r>
    </w:p>
    <w:p w14:paraId="2C342077"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66CE40FB"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55.《企业内部控制应用指引第10号--研究与开发》</w:t>
      </w:r>
      <w:r>
        <w:rPr>
          <w:rFonts w:ascii="宋体" w:eastAsia="宋体" w:hAnsi="宋体" w:cs="宋体" w:hint="eastAsia"/>
          <w:b/>
          <w:bCs/>
          <w:sz w:val="24"/>
        </w:rPr>
        <w:tab/>
      </w:r>
    </w:p>
    <w:p w14:paraId="119FCF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r>
        <w:rPr>
          <w:rFonts w:ascii="宋体" w:eastAsia="宋体" w:hAnsi="宋体" w:cs="宋体" w:hint="eastAsia"/>
          <w:sz w:val="24"/>
        </w:rPr>
        <w:tab/>
      </w:r>
    </w:p>
    <w:p w14:paraId="3AE928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r>
        <w:rPr>
          <w:rFonts w:ascii="宋体" w:eastAsia="宋体" w:hAnsi="宋体" w:cs="宋体" w:hint="eastAsia"/>
          <w:sz w:val="24"/>
        </w:rPr>
        <w:tab/>
      </w:r>
    </w:p>
    <w:p w14:paraId="1DC5F0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4DB4F1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为了促进企业自主创新，增强核心竞争力，有效控制研发风险，实现发展战略，根据有关法律法规和《企业内部控制基本规范》，制定本指引。</w:t>
      </w:r>
    </w:p>
    <w:p w14:paraId="318F3E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本指引所称研究与开发，是指企业为获取新产品、新技术、新工艺等所开展的各种研发活动。</w:t>
      </w:r>
    </w:p>
    <w:p w14:paraId="5F5443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企业开展研发活动至少应当关注下列风险：</w:t>
      </w:r>
    </w:p>
    <w:p w14:paraId="3EC03A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研究项目未经科学论证或论证不充分，可能导致创新不足或资源浪费。</w:t>
      </w:r>
    </w:p>
    <w:p w14:paraId="6F8AEC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研发人员配备不合理或研发过程管理不善，可能导致研发成本过高、舞弊或研发失败。</w:t>
      </w:r>
    </w:p>
    <w:p w14:paraId="3FA977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研究成果转化应用不足、保护措施不力，可能导致企业利益受损。</w:t>
      </w:r>
    </w:p>
    <w:p w14:paraId="634A72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企业应当重视研发工作，根据发展战略，结合市场开拓和技术进步要求，科学制定研发计划，强化</w:t>
      </w:r>
      <w:proofErr w:type="gramStart"/>
      <w:r>
        <w:rPr>
          <w:rFonts w:ascii="宋体" w:eastAsia="宋体" w:hAnsi="宋体" w:cs="宋体" w:hint="eastAsia"/>
          <w:sz w:val="24"/>
        </w:rPr>
        <w:t>研发全</w:t>
      </w:r>
      <w:proofErr w:type="gramEnd"/>
      <w:r>
        <w:rPr>
          <w:rFonts w:ascii="宋体" w:eastAsia="宋体" w:hAnsi="宋体" w:cs="宋体" w:hint="eastAsia"/>
          <w:sz w:val="24"/>
        </w:rPr>
        <w:t>过程管理，规范研发行为，促进研发成果的转化和有效利用，不断提升企业自主创新能力。</w:t>
      </w:r>
    </w:p>
    <w:p w14:paraId="3A0C7F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立项与研究</w:t>
      </w:r>
    </w:p>
    <w:p w14:paraId="0C72CB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企业应当根据实际需要，结合研发计划，提出研究项目立项申请，开展可行性研究，编制可行性研究报告。</w:t>
      </w:r>
    </w:p>
    <w:p w14:paraId="2AFF36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企业可以组织独立于申请及立项审批之外的专业机构和人员进行评估论证，出具评估意见。</w:t>
      </w:r>
    </w:p>
    <w:p w14:paraId="1BE63D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研究项目应当按照规定的权限和程序进行审批，重大研究项目应当报经董事会或类似权力机构集体审议决策。审批过程中，应当重点关注研究项目</w:t>
      </w:r>
      <w:r>
        <w:rPr>
          <w:rFonts w:ascii="宋体" w:eastAsia="宋体" w:hAnsi="宋体" w:cs="宋体" w:hint="eastAsia"/>
          <w:sz w:val="24"/>
        </w:rPr>
        <w:lastRenderedPageBreak/>
        <w:t>促进企业发展的必要性、技术的先进性以及成果转化的可行性。</w:t>
      </w:r>
    </w:p>
    <w:p w14:paraId="6AC6A8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企业应当加强对研究过程的管理，合理配备专业人员，严格落实岗位责任制，确保研究过程高效、可控。</w:t>
      </w:r>
    </w:p>
    <w:p w14:paraId="623AB0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企业应当跟踪检查研究项目进展情况，评估各阶段研究成果，提供足够的经费支持，确保项目按期、保质完成，有效规避研究失败风险。</w:t>
      </w:r>
    </w:p>
    <w:p w14:paraId="00A090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企业研究项目委托外单位承担的，应当采用招标、协议等适当方式确定受托单位，签订外包合同，约定研究成果的产权归属、研究进度和质量标准等相关内容。</w:t>
      </w:r>
    </w:p>
    <w:p w14:paraId="2AC583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企业与其他单位合作进行研究的，应当对合作单位进行尽职调查，签订书面合作研究合同，明确双方投资、分工、权利义务、研究成果产权归属等。</w:t>
      </w:r>
    </w:p>
    <w:p w14:paraId="764CCC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企业应当建立和完善研究成果验收制度，组织专业人员对研究成果进行独立评审和验收。</w:t>
      </w:r>
    </w:p>
    <w:p w14:paraId="7B5C36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企业对于通过验收的研究成果，可以委托相关机构进行审查，确认是否申请专利或作为非专利技术、商业秘密等进行管理。企业对于需要申请专利的研究成果，应当及时办理有关专利申请手续。</w:t>
      </w:r>
    </w:p>
    <w:p w14:paraId="1B9D16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企业应当建立严格的核心研究人员管理制度，明确界定核心研究人员范围和名册清单，签署符合国家有关法律法规要求的保密协议。</w:t>
      </w:r>
    </w:p>
    <w:p w14:paraId="746D3D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企业与核心研究人员签订劳动合同时，应当特别约定研究成果归属、离职条件、离职移交程序、离职后保密义务、</w:t>
      </w:r>
      <w:proofErr w:type="gramStart"/>
      <w:r>
        <w:rPr>
          <w:rFonts w:ascii="宋体" w:eastAsia="宋体" w:hAnsi="宋体" w:cs="宋体" w:hint="eastAsia"/>
          <w:sz w:val="24"/>
        </w:rPr>
        <w:t>离职后竞业</w:t>
      </w:r>
      <w:proofErr w:type="gramEnd"/>
      <w:r>
        <w:rPr>
          <w:rFonts w:ascii="宋体" w:eastAsia="宋体" w:hAnsi="宋体" w:cs="宋体" w:hint="eastAsia"/>
          <w:sz w:val="24"/>
        </w:rPr>
        <w:t>限制年限及违约责任等内容。</w:t>
      </w:r>
    </w:p>
    <w:p w14:paraId="1DCDB9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开发与保护</w:t>
      </w:r>
    </w:p>
    <w:p w14:paraId="78563A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企业应当加强研究成果的开发，形成科研、生产、市场一体化的自主创新机制，促进研究成果转化。</w:t>
      </w:r>
    </w:p>
    <w:p w14:paraId="1F1921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研究成果的开发应当分步推进，通过试生产充分验证产品性能，在获得市场认可后方可进行批量生产。</w:t>
      </w:r>
    </w:p>
    <w:p w14:paraId="221F9E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企业应当建立研究成果保护制度，加强对专利权、非专利技术、</w:t>
      </w:r>
      <w:r>
        <w:rPr>
          <w:rFonts w:ascii="宋体" w:eastAsia="宋体" w:hAnsi="宋体" w:cs="宋体" w:hint="eastAsia"/>
          <w:sz w:val="24"/>
        </w:rPr>
        <w:lastRenderedPageBreak/>
        <w:t>商业秘密及研发过程中形成的各类涉密图纸、程序、资料的管理，严格按照制度规定借阅和使用。禁止无关人员接触研究成果。</w:t>
      </w:r>
    </w:p>
    <w:p w14:paraId="321DF227"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第十三条 企业应当建立研发活动评估制度，加强对立项与研究、开发与保护等过程的全面评估，认真总结研发管理经验，分析存在的薄弱环节，完善相关制度和办法，不断改进和提升研发活动的管理水平。</w:t>
      </w:r>
      <w:r>
        <w:rPr>
          <w:rFonts w:ascii="宋体" w:eastAsia="宋体" w:hAnsi="宋体" w:cs="宋体" w:hint="eastAsia"/>
          <w:sz w:val="24"/>
        </w:rPr>
        <w:tab/>
      </w:r>
      <w:r>
        <w:rPr>
          <w:rFonts w:ascii="宋体" w:eastAsia="宋体" w:hAnsi="宋体" w:cs="宋体" w:hint="eastAsia"/>
          <w:sz w:val="24"/>
        </w:rPr>
        <w:tab/>
      </w:r>
    </w:p>
    <w:p w14:paraId="41DF9DA8"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56.《企业内部控制应用指引第11号--工程项目》</w:t>
      </w:r>
      <w:r>
        <w:rPr>
          <w:rFonts w:ascii="宋体" w:eastAsia="宋体" w:hAnsi="宋体" w:cs="宋体" w:hint="eastAsia"/>
          <w:b/>
          <w:bCs/>
          <w:sz w:val="24"/>
        </w:rPr>
        <w:tab/>
      </w:r>
    </w:p>
    <w:p w14:paraId="3AB007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r>
        <w:rPr>
          <w:rFonts w:ascii="宋体" w:eastAsia="宋体" w:hAnsi="宋体" w:cs="宋体" w:hint="eastAsia"/>
          <w:sz w:val="24"/>
        </w:rPr>
        <w:tab/>
      </w:r>
    </w:p>
    <w:p w14:paraId="0E1E9E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r>
        <w:rPr>
          <w:rFonts w:ascii="宋体" w:eastAsia="宋体" w:hAnsi="宋体" w:cs="宋体" w:hint="eastAsia"/>
          <w:sz w:val="24"/>
        </w:rPr>
        <w:tab/>
      </w:r>
    </w:p>
    <w:p w14:paraId="47A1BC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22B9FC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为了加强工程项目管理，提高工程质量，保证工程进度，控制工程成本，防范商业贿赂等舞弊行为，根据有关法律法规和《企业内部控制基本规范》，制定本指引。</w:t>
      </w:r>
    </w:p>
    <w:p w14:paraId="54169A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本指引所称工程项目，是指企业自行或者委托其他单位所进行的建造、安装工程。</w:t>
      </w:r>
    </w:p>
    <w:p w14:paraId="023D67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企业工程项目至少应当关注下列风险：</w:t>
      </w:r>
    </w:p>
    <w:p w14:paraId="08C573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立项缺乏可行性研究或者可行性研究流于形式，决策不当，盲目上马，可能导致难以实现预期效益或项目失败。</w:t>
      </w:r>
    </w:p>
    <w:p w14:paraId="19FB51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项目招标暗箱操作，存在商业贿赂，可能导致中标人实质上难以承担工程项目、中标价格失实及相关人员涉案。</w:t>
      </w:r>
    </w:p>
    <w:p w14:paraId="59685B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工程造价信息不对称，技术方案不落实，概预算脱离实际，可能导致项目投资失控。</w:t>
      </w:r>
    </w:p>
    <w:p w14:paraId="137BF0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工程物资质次价高，工程监理不到位，项目资金不落实，可能导致工程质量低劣，进度延迟或中断。</w:t>
      </w:r>
    </w:p>
    <w:p w14:paraId="14B76D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竣工验收不规范，最终把关不严，可能导致工程交付使用后存在重大隐患。</w:t>
      </w:r>
    </w:p>
    <w:p w14:paraId="5BFD9A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建立和完善工程项目各项管理制度，全面梳理各个环节可能存在的风险点，规范工程立项、招标、造价、建设、验收等环节的工作流程，明确相关部门和岗位的职责权限，做到可行性研究与决策、概预算编制与审核、项目实施与价款支付、竣工决算与审计等不相容职务相互分离，强化工程建设全</w:t>
      </w:r>
      <w:r>
        <w:rPr>
          <w:rFonts w:ascii="宋体" w:eastAsia="宋体" w:hAnsi="宋体" w:cs="宋体" w:hint="eastAsia"/>
          <w:sz w:val="24"/>
        </w:rPr>
        <w:lastRenderedPageBreak/>
        <w:t>过程的监控，确保工程项目的质量、进度和资金安全。</w:t>
      </w:r>
    </w:p>
    <w:p w14:paraId="2B26F3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工程立项</w:t>
      </w:r>
    </w:p>
    <w:p w14:paraId="105916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企业应当指定专门机构归口管理工程项目，根据发展战略和年度投资计划，提出项目建议书，开展可行性研究，编制可行性研究报告。</w:t>
      </w:r>
    </w:p>
    <w:p w14:paraId="44C0F6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项目建议书的主要内容包括：项目的必要性和依据、产品方案、拟建规模、建设地点、投资估算、资金筹措、项目进度安排、经济效果和社会效益的估计、环境影响的初步评价等。</w:t>
      </w:r>
    </w:p>
    <w:p w14:paraId="39BE84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可行性研究报告的内容主要包括：项目概况，项目建设的必要性，市场预测，项目建设选址及建设条件论证，建设规模和建设内容，项目外部配套建设，环境保护，劳动保护与卫生防疫，消防、节能、节水，总投资及资金来源，经济、社会效益，项目建设周期及进度安排，招投标法规定的相关内容等。</w:t>
      </w:r>
    </w:p>
    <w:p w14:paraId="5CF07B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企业可以委托具有相应资质的专业机构开展可行性研究，并按照有关要求形成可行性研究报告。</w:t>
      </w:r>
    </w:p>
    <w:p w14:paraId="10B538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企业应当组织规划、工程、技术、财会、法律等部门的专家对项目建议书和可行性研究报告进行充分论证和评审，出具评审意见，作为项目决策的重要依据。</w:t>
      </w:r>
    </w:p>
    <w:p w14:paraId="1345F9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项目评审过程中，应当重点关注项目投资方案、投资规模、资金筹措、生产规模、投资效益、布局选址、技术、安全、设备、环境保护等方面，核实相关资料的来源和取得途径是否真实、可靠和完整。企业可以委托具有相应资质的专业机构对可行性研究报告进行评审，出具评审意见。从事项目可行性研究的专业机构不得再从事可行性研究报告的评审。</w:t>
      </w:r>
    </w:p>
    <w:p w14:paraId="7E8F92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企业应当按照规定的权限和程序对工程项目进行决策，决策过程应有完整的书面记录。重大工程项目的立项，应当报经董事会或类似权力机构集体审议批准。总会计师或分管会计工作的负责人应当参与项目决策。</w:t>
      </w:r>
    </w:p>
    <w:p w14:paraId="64EBF6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任何个人不得单独决策或者擅自改变集体决策意见。工程项目决策失误应当实行责任追究制度。</w:t>
      </w:r>
    </w:p>
    <w:p w14:paraId="4B4F04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第八条 企业应当在工程项目立项后、正式施工前，依法取得建设用地、城市规划、环境保护、安全、施工等方面的许可。</w:t>
      </w:r>
    </w:p>
    <w:p w14:paraId="317C81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工程招标</w:t>
      </w:r>
    </w:p>
    <w:p w14:paraId="108260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企业的工程项目一般应当采用公开招标的方式，择优选择具有相应资质的承包单位和监理单位。</w:t>
      </w:r>
    </w:p>
    <w:p w14:paraId="74C1BD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选择承包单位时，企业可以将工程的勘察、设计、施工、设备采购一并发包给一个项目总承包单位，也可以将其中的一项或者多项发包给一个工程总承包单位，但不得违背工程施工组织设计和招标设计计划，将应由一个承包单位完成的工程肢解为若干部分发包给几个承包单位。</w:t>
      </w:r>
    </w:p>
    <w:p w14:paraId="4794AB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企业应当依照国家招投标法的规定，遵循公开、公正、平等竞争的原则，发布招标公告，提供载有招标工程的主要技术要求、主要合同条款、评标的标准和方法，以及开标、评标、定标的程序等内容的招标文件。</w:t>
      </w:r>
    </w:p>
    <w:p w14:paraId="2D8C90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企业可以根据项目特点决定是否编制标底。需要编制标底的，标底编制过程和标底应当严格保密。</w:t>
      </w:r>
    </w:p>
    <w:p w14:paraId="049B01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在确定中标人前，企业不得与投标人就投标价格、投标方案等实质性内容进行谈判。</w:t>
      </w:r>
    </w:p>
    <w:p w14:paraId="49938C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企业应当依法组织工程招标的开标、评标和定标，并接受有关部门的监督。</w:t>
      </w:r>
    </w:p>
    <w:p w14:paraId="3C8EFB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企业应当依法组建评标委员会。评标委员会由企业的代表和有关技术、经济方面的专家组成。评标委员会应当客观、公正地履行职务、遵守职业道德，对所提出的评审意见承担责任。</w:t>
      </w:r>
    </w:p>
    <w:p w14:paraId="545EF6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企业应当采取必要的措施，保证评标在严格保密的情况下进行。</w:t>
      </w:r>
    </w:p>
    <w:p w14:paraId="5A298F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评标委员会应当按照招标文件确定的标准和方法，对投标文件进行评审和比较，择优选择中标候选人。</w:t>
      </w:r>
    </w:p>
    <w:p w14:paraId="0778E6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评标委员会成员和参与评标的有关工作人员不得透露对投标文件的评审和比较、中标候选人的推荐情况以及与评标有关的其他情况，不得私下接</w:t>
      </w:r>
      <w:r>
        <w:rPr>
          <w:rFonts w:ascii="宋体" w:eastAsia="宋体" w:hAnsi="宋体" w:cs="宋体" w:hint="eastAsia"/>
          <w:sz w:val="24"/>
        </w:rPr>
        <w:lastRenderedPageBreak/>
        <w:t>触投标人，不得收受投标人的财物或者其他好处。</w:t>
      </w:r>
    </w:p>
    <w:p w14:paraId="443C92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企业应当按照规定的权限和程序从中标候选人中确定中标人，及时向中标人发出中标通知书，在规定的期限内与中标人订立书面合同，明确双方的权利、义务和违约责任。</w:t>
      </w:r>
    </w:p>
    <w:p w14:paraId="62CE4F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企业和中标人不得再行订立背离合同实质性内容的其他协议。</w:t>
      </w:r>
    </w:p>
    <w:p w14:paraId="1FD5C1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工程造价</w:t>
      </w:r>
    </w:p>
    <w:p w14:paraId="666B57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企业应当加强工程造价管理，明确初步设计概算和施工图预算的编制方法，按照规定的权限和程序进行审核批准，确保概预算科学合理。</w:t>
      </w:r>
    </w:p>
    <w:p w14:paraId="3EF6AA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企业可以委托具备相应资质的中介机构开展工程造价咨询工作。</w:t>
      </w:r>
    </w:p>
    <w:p w14:paraId="17ECF7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企业应当向招标确定的设计单位提供详细的设计要求和基础资料，进行有效的技术、经济交流。</w:t>
      </w:r>
    </w:p>
    <w:p w14:paraId="78EAEB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初步设计应当在技术、经济交流的基础上，采用先进的设计管理实务技术，进行多方案比选。</w:t>
      </w:r>
    </w:p>
    <w:p w14:paraId="674F11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施工图设计深度及图纸交付进度应当符合项目要求，防止因设计深度不足、设计缺陷，造成施工组织、工期、工程质量、投资失控以及生产运行成本过高等问题。</w:t>
      </w:r>
    </w:p>
    <w:p w14:paraId="5F4CDD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企业应当建立设计变更管理制度。设计单位应当提供全面、及时的现场服务。因过失造成设计变更的，应当实行责任追究制度。</w:t>
      </w:r>
    </w:p>
    <w:p w14:paraId="22E904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企业应当组织工程、技术、财会等部门的相关专业人员或委托具有相应资质的中介机构对编制的概预算进行审核，重点审查编制依据、项目内容、工程量的计算、定额套用等是否真实、完整和准确。</w:t>
      </w:r>
    </w:p>
    <w:p w14:paraId="6062C8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工程项目概预算按照规定的权限和程序审核批准后执行。</w:t>
      </w:r>
    </w:p>
    <w:p w14:paraId="48C17B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工程建设</w:t>
      </w:r>
    </w:p>
    <w:p w14:paraId="41B4E2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企业应当加强对工程建设过程的监控，实行严格的概预算管理，切实做到及时备料，科学施工，保障资金，落实责任，确保工程项目达到设计要</w:t>
      </w:r>
      <w:r>
        <w:rPr>
          <w:rFonts w:ascii="宋体" w:eastAsia="宋体" w:hAnsi="宋体" w:cs="宋体" w:hint="eastAsia"/>
          <w:sz w:val="24"/>
        </w:rPr>
        <w:lastRenderedPageBreak/>
        <w:t>求。</w:t>
      </w:r>
    </w:p>
    <w:p w14:paraId="535843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按照合同约定，企业自行采购工程物资的，应当按照《企业内部控制应用指引第7号 — 采购业务》等相关指引的规定，组织工程物资采购、验收和付款；由承包单位采购工程物资的，企业应当加强监督，确保工程物资采购符合设计标准和合同要求。严禁不合格工程物资投入工程项目建设。</w:t>
      </w:r>
    </w:p>
    <w:p w14:paraId="7C239E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重大设备和大宗材料的采购应当根据有关招标采购的规定执行。</w:t>
      </w:r>
    </w:p>
    <w:p w14:paraId="7D85B7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企业应当实行严格的工程监理制度，委托经过招标确定的监理单位进行监理。工程监理单位应当依照国家法律法规及相关技术标准、设计文件和工程承包合同，对承包单位在施工质量、工期、进度、安全和资金使用等方面实施监督。</w:t>
      </w:r>
    </w:p>
    <w:p w14:paraId="0DD7B9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工程监理人员应当具备良好的职业操守，客观公正地执行监理任务，发现工程施工不符合设计要求、施工技术标准和合同约定的，应当要求承包单位改正；发现工程设计不符合建筑工程质量标准或者合同约定的质量要求的，应当报告企业要求设计单位改正。</w:t>
      </w:r>
    </w:p>
    <w:p w14:paraId="27F66F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未经工程监理人员签字，工程物资不得在工程上使用或者安装，不得进行下一道工序施工，不得拨付工程价款，不得进行竣工验收。</w:t>
      </w:r>
    </w:p>
    <w:p w14:paraId="342FB9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企业财会部门应当加强与承包单位的沟通，准确掌握工程进度，根据合同约定，按照规定的审批权限和程序办理工程价款结算，不得无故拖欠。</w:t>
      </w:r>
    </w:p>
    <w:p w14:paraId="25E484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企业应当严格控制工程变更，确需变更的，应当按照规定的权限和程序进行审批。</w:t>
      </w:r>
    </w:p>
    <w:p w14:paraId="4AB398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重大的项目变更应当按照项目决策和概预算控制的有关程序和要求重新履行审批手续。</w:t>
      </w:r>
    </w:p>
    <w:p w14:paraId="66F4C2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因工程变更等原因造成价款支付方式及金额发生变动的，应当提供完整的书面文件和其他相关资料，并对工程变更价款的支付进行严格审核。</w:t>
      </w:r>
    </w:p>
    <w:p w14:paraId="56C8E0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工程验收</w:t>
      </w:r>
    </w:p>
    <w:p w14:paraId="734A3D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企业收到承包单位的工程竣工报告后，应当及时编制竣工决算，</w:t>
      </w:r>
      <w:r>
        <w:rPr>
          <w:rFonts w:ascii="宋体" w:eastAsia="宋体" w:hAnsi="宋体" w:cs="宋体" w:hint="eastAsia"/>
          <w:sz w:val="24"/>
        </w:rPr>
        <w:lastRenderedPageBreak/>
        <w:t>开展竣工决算审计，组织设计、施工、监理等有关单位进行竣工验收。</w:t>
      </w:r>
    </w:p>
    <w:p w14:paraId="022291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企业应当组织审核竣工决算，重点审查决算依据是否完备，相关文件资料是否齐全，竣工清理是否完成，决算编制是否正确。</w:t>
      </w:r>
    </w:p>
    <w:p w14:paraId="03294A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企业应当加强竣工决算审计，未实施竣工决算审计的工程项目，不得办理竣工验收手续。</w:t>
      </w:r>
    </w:p>
    <w:p w14:paraId="6211D1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企业应当及时组织工程项目竣工验收。交付竣工验收的工程项目，应当符合规定的质量标准，有完整的工程技术经济资料，并具备国家规定的其他竣工条件。</w:t>
      </w:r>
    </w:p>
    <w:p w14:paraId="60A081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验收合格的工程项目，应当编制交付使用财产清单，及时办理交付使用手续。</w:t>
      </w:r>
    </w:p>
    <w:p w14:paraId="0899E2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企业应当按照国家有关档案管理的规定，及时收集、整理工程建设各环节的文件资料，建立完整的工程项目档案。</w:t>
      </w:r>
    </w:p>
    <w:p w14:paraId="128A304F"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第二十七条 企业应当建立完工项目后评估制度，重点评价工程项目预期目标的实现情况和项目投资效益等，并以此作为绩效考核和责任追究的依据。</w:t>
      </w:r>
    </w:p>
    <w:p w14:paraId="5A6C05DD"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57.《企业内部控制应用指引第12号--担保业务》</w:t>
      </w:r>
    </w:p>
    <w:p w14:paraId="7D29CD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r>
        <w:rPr>
          <w:rFonts w:ascii="宋体" w:eastAsia="宋体" w:hAnsi="宋体" w:cs="宋体" w:hint="eastAsia"/>
          <w:sz w:val="24"/>
        </w:rPr>
        <w:tab/>
      </w:r>
    </w:p>
    <w:p w14:paraId="47CABA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r>
        <w:rPr>
          <w:rFonts w:ascii="宋体" w:eastAsia="宋体" w:hAnsi="宋体" w:cs="宋体" w:hint="eastAsia"/>
          <w:sz w:val="24"/>
        </w:rPr>
        <w:tab/>
      </w:r>
    </w:p>
    <w:p w14:paraId="475426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0249C5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为了加强企业担保业务管理，防范担保业务风险，根据《中华人民共和国担保法》等有关法律法规和《企业内部控制基本规范》，制定本指引。</w:t>
      </w:r>
    </w:p>
    <w:p w14:paraId="6338CB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本指引所称担保，是指企业作为担保人按照公平、自愿、互利的原则与债权人约定，当债务人不履行债务时，依照法律规定和合同协议承担相应法律责任的行为。</w:t>
      </w:r>
    </w:p>
    <w:p w14:paraId="14F56E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企业办理担保业务至少应当关注下列风险：</w:t>
      </w:r>
    </w:p>
    <w:p w14:paraId="26ADE4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对担保申请人的资信状况调查不深，审批不严或越权审批，可能导致企业担保决策失误或遭受欺诈。</w:t>
      </w:r>
    </w:p>
    <w:p w14:paraId="7822D6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对被担保人出现财务困难或经营陷入困境等状况监控不力，应对措施不当，可能导致企业承担法律责任。</w:t>
      </w:r>
    </w:p>
    <w:p w14:paraId="6B878B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担保过程中存在舞弊行为，可能导致经办审批等相关人员涉案或企业利益受损。</w:t>
      </w:r>
    </w:p>
    <w:p w14:paraId="49FBB6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依法制定和完善担保业务政策及相关管理制度，明确担保的对象、范围、方式、条件、程序、担保限额和禁止担保等事项，规范调查评估、审核批准、担保执行等环节的工作流程，按照政策、制度、流程办理担保业务，定期检查担保政策的执行情况及效果，切实防范担保业务风险。</w:t>
      </w:r>
    </w:p>
    <w:p w14:paraId="5897FC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调查评估与审批</w:t>
      </w:r>
    </w:p>
    <w:p w14:paraId="59B4C4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企业应当指定相关部门负责办理担保业务，对担保申请人进行资信调查和风险评估，评估结果应出具书面报告。企业也可委托中介机构对担保业务进行资信调查和风险评估工作。</w:t>
      </w:r>
    </w:p>
    <w:p w14:paraId="06DE2E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企业在对担保申请人进行资信调查和风险评估时，应当重点关注以下事项：</w:t>
      </w:r>
    </w:p>
    <w:p w14:paraId="14BB1F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担保业务是否符合国家法律法规和本企业担保政策等相关要求。</w:t>
      </w:r>
    </w:p>
    <w:p w14:paraId="69BBFB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担保申请人的资信状况，一般包括：基本情况、资产质量、经营情况、偿债能力、盈利水平、信用程度、行业前景等。</w:t>
      </w:r>
    </w:p>
    <w:p w14:paraId="6BAE55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担保申请人用于担保和第三方担保的资产状况及其权利归属。</w:t>
      </w:r>
    </w:p>
    <w:p w14:paraId="1A054F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企业要求担保申请人提供反担保的，还应当对与反担保有关的资产状况进行评估。</w:t>
      </w:r>
    </w:p>
    <w:p w14:paraId="58B93A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企业对担保申请人出现以下情形之一的，不得提供担保：</w:t>
      </w:r>
    </w:p>
    <w:p w14:paraId="550B92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担保项目不符合国家法律法规和本企业担保政策的。</w:t>
      </w:r>
    </w:p>
    <w:p w14:paraId="37FB3C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已进入重组、托管、兼并或破产清算程序的。</w:t>
      </w:r>
    </w:p>
    <w:p w14:paraId="3C593D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财务状况恶化、资不抵债、管理混乱、经营风险较大的。</w:t>
      </w:r>
    </w:p>
    <w:p w14:paraId="468E93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与其他企业存在较大经济纠纷，面临法律诉讼且可能承担较大赔偿责任的。</w:t>
      </w:r>
    </w:p>
    <w:p w14:paraId="66D03A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与本企业已经发生过担保纠纷且仍未妥善解决的，或不能及时足额交纳担保费用的。</w:t>
      </w:r>
    </w:p>
    <w:p w14:paraId="5D5D9E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企业应当建立担保授权和审批制度，规定担保业务的授权批准方式、权限、程序、责任和相关控制措施，在授权范围内进行审批，不得超越权限审批。重大担保业务，应当报经董事会或类似权力机构批准。</w:t>
      </w:r>
    </w:p>
    <w:p w14:paraId="6B9250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经办人员应当在职责范围内，按照审批人员的批准意见办理担保业务。对于审批人超越权限审批的担保业务，经办人员应当拒绝办理。</w:t>
      </w:r>
    </w:p>
    <w:p w14:paraId="67318B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企业应当采取合法有效的措施加强对子公司担保业务的统一监控。企业内设机构未经授权不得办理担保业务。</w:t>
      </w:r>
    </w:p>
    <w:p w14:paraId="72CA49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企业为关联方提供担保的，与关联</w:t>
      </w:r>
      <w:proofErr w:type="gramStart"/>
      <w:r>
        <w:rPr>
          <w:rFonts w:ascii="宋体" w:eastAsia="宋体" w:hAnsi="宋体" w:cs="宋体" w:hint="eastAsia"/>
          <w:sz w:val="24"/>
        </w:rPr>
        <w:t>方存在</w:t>
      </w:r>
      <w:proofErr w:type="gramEnd"/>
      <w:r>
        <w:rPr>
          <w:rFonts w:ascii="宋体" w:eastAsia="宋体" w:hAnsi="宋体" w:cs="宋体" w:hint="eastAsia"/>
          <w:sz w:val="24"/>
        </w:rPr>
        <w:t>经济利益或近亲属关系的有关人员在评估与审批环节应当回避。</w:t>
      </w:r>
    </w:p>
    <w:p w14:paraId="557808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对境外企业进行担保的，应当遵守外汇管理规定，并关注被担保人所在国家的政治、经济、法律等因素。</w:t>
      </w:r>
    </w:p>
    <w:p w14:paraId="78DA7F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被担保人要求变更担保事项的，企业应当重新履行调查评估与审批程序。</w:t>
      </w:r>
    </w:p>
    <w:p w14:paraId="714D6C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执行与监控</w:t>
      </w:r>
    </w:p>
    <w:p w14:paraId="42401A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企业应当根据审核批准的担保业务订立担保合同。担保合同应明确被担保人的权利、义务、违约责任等相关内容，并要求被担保人定期提供财务报告与有关资料，及时通报担保事项的实施情况。</w:t>
      </w:r>
    </w:p>
    <w:p w14:paraId="304326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担保申请人同时向多方申请担保的，企业应当在担保合同中明确约定本企业的担保份额和相应的责任。</w:t>
      </w:r>
    </w:p>
    <w:p w14:paraId="1B2931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担保经办部门应当加强担保合同的日常管理，定期监测被担保人的经营情况和财务状况，对被担保人进行跟踪和监督，了解担保项目的执行、资金的使用、贷款的归还、财务运行及风险等情况，确保担保合同有效履行。</w:t>
      </w:r>
    </w:p>
    <w:p w14:paraId="16639B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担保合同履行过程中，如果被担保人出现异常情况，应当及时报告，妥善处理。</w:t>
      </w:r>
    </w:p>
    <w:p w14:paraId="06564A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对于被担保人未按有法律效力的合同条款偿付债务或履行相关合同项下的义务的，企业应当按照担保合同履行义务，同时主张对被担保人的追索权。</w:t>
      </w:r>
    </w:p>
    <w:p w14:paraId="37844A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企业应当加强对担保业务的会计系统控制，及时足额收取担保费用，建立担保</w:t>
      </w:r>
      <w:proofErr w:type="gramStart"/>
      <w:r>
        <w:rPr>
          <w:rFonts w:ascii="宋体" w:eastAsia="宋体" w:hAnsi="宋体" w:cs="宋体" w:hint="eastAsia"/>
          <w:sz w:val="24"/>
        </w:rPr>
        <w:t>事项台</w:t>
      </w:r>
      <w:proofErr w:type="gramEnd"/>
      <w:r>
        <w:rPr>
          <w:rFonts w:ascii="宋体" w:eastAsia="宋体" w:hAnsi="宋体" w:cs="宋体" w:hint="eastAsia"/>
          <w:sz w:val="24"/>
        </w:rPr>
        <w:t>账，详细记录担保对象、金额、期限、用于抵押和质押的物品或权利以及其他有关事项。</w:t>
      </w:r>
    </w:p>
    <w:p w14:paraId="6929D3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企业财会部门应当及时收集、分析被担保人担保期内经审计的财务报告等相关资料，持续关注被担保人的财务状况、经营成果、现金流量以及担保合同的履行情况，积极配合担保经办部门防范担保业务风险。</w:t>
      </w:r>
    </w:p>
    <w:p w14:paraId="04A4DE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对于被担保人出现财务状况恶化、资不抵债、破产清算等情形的，企业应当根据国家统一的会计准则制度规定，合理确认预计负债和损失。</w:t>
      </w:r>
    </w:p>
    <w:p w14:paraId="43F8A3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企业应当加强对反担保财产的管理，妥善保管被担保人用于反担</w:t>
      </w:r>
      <w:r>
        <w:rPr>
          <w:rFonts w:ascii="宋体" w:eastAsia="宋体" w:hAnsi="宋体" w:cs="宋体" w:hint="eastAsia"/>
          <w:sz w:val="24"/>
        </w:rPr>
        <w:lastRenderedPageBreak/>
        <w:t>保的权利凭证，定期核实财产的存续状况和价值，发现问题及时处理，确保反担保财产安全完整。</w:t>
      </w:r>
    </w:p>
    <w:p w14:paraId="349304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企业应当建立担保业务责任追究制度，对在担保中出现重大决策失误、未履行集体审批程序或不按规定管理担保业务的部门及人员，应当严格追究相应的责任。</w:t>
      </w:r>
    </w:p>
    <w:p w14:paraId="072C34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企业应当在担保合同到期时，全面清查用于担保的财产、权利凭证，按照合同约定及时终止担保关系。</w:t>
      </w:r>
    </w:p>
    <w:p w14:paraId="45EE4CAE"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企业应当妥善保管担保合同、与担保合同相关的主合同、</w:t>
      </w:r>
      <w:proofErr w:type="gramStart"/>
      <w:r>
        <w:rPr>
          <w:rFonts w:ascii="宋体" w:eastAsia="宋体" w:hAnsi="宋体" w:cs="宋体" w:hint="eastAsia"/>
          <w:sz w:val="24"/>
        </w:rPr>
        <w:t>反担保函</w:t>
      </w:r>
      <w:proofErr w:type="gramEnd"/>
      <w:r>
        <w:rPr>
          <w:rFonts w:ascii="宋体" w:eastAsia="宋体" w:hAnsi="宋体" w:cs="宋体" w:hint="eastAsia"/>
          <w:sz w:val="24"/>
        </w:rPr>
        <w:t>或反担保合同，以及抵押、质押的权利凭证和有关原始资料，切实做到担保业务档案完整无缺。</w:t>
      </w:r>
    </w:p>
    <w:p w14:paraId="62009C01"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58.《企业内部控制应用指引第13号--业务外包》</w:t>
      </w:r>
    </w:p>
    <w:p w14:paraId="4C6DC8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p>
    <w:p w14:paraId="2AB867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r>
        <w:rPr>
          <w:rFonts w:ascii="宋体" w:eastAsia="宋体" w:hAnsi="宋体" w:cs="宋体" w:hint="eastAsia"/>
          <w:sz w:val="24"/>
        </w:rPr>
        <w:tab/>
      </w:r>
    </w:p>
    <w:p w14:paraId="7F6454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46FD45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为了加强业务外包管理，规范业务外包行为，防范业务外包风险，根据有关法律法规和《企业内部控制基本规范》，制定本指引。</w:t>
      </w:r>
    </w:p>
    <w:p w14:paraId="7D6681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本指引所称业务外包，是指企业利用专业化分工优势，将日常经营中的部分业务委托给本企业以外的专业服务机构或其他经济组织（以下简称承包方）完成的经营行为。</w:t>
      </w:r>
    </w:p>
    <w:p w14:paraId="607DE1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本指引不涉及工程项目外包。</w:t>
      </w:r>
    </w:p>
    <w:p w14:paraId="584454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企业应当对外包业务实施分类管理，通常划分为重大外包业务和一般外包业务。重大外包业务是指对企业生产经营有重大影响的外包业务。</w:t>
      </w:r>
    </w:p>
    <w:p w14:paraId="505DC8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外包业务通常包括：研发、资信调查、可行性研究、委托加工、物业管理、客户服务、IT服务等。</w:t>
      </w:r>
    </w:p>
    <w:p w14:paraId="38D5E0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企业的业务外包至少应当关注下列风险：</w:t>
      </w:r>
    </w:p>
    <w:p w14:paraId="00026F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外包范围和价格确定不合理，承包方选择不当，可能导致企业遭受损失。</w:t>
      </w:r>
    </w:p>
    <w:p w14:paraId="786E15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业务外包监控不严、服务质量低劣，可能导致企业难以发挥业务外包的优势。</w:t>
      </w:r>
    </w:p>
    <w:p w14:paraId="32318D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业务外包存在商业贿赂等舞弊行为，可能导致企业相关人员涉案。</w:t>
      </w:r>
    </w:p>
    <w:p w14:paraId="320461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企业应当建立和完善业务外包管理制度，规定业务外包的范围、方式、条件、程序和实施等相关内容，明确相关部门和岗位的职责权限，强化业务外包全过程的监控，防范外包风险，充分发挥业务外包的优势。</w:t>
      </w:r>
    </w:p>
    <w:p w14:paraId="6D1403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企业应当权衡利弊，避免核心业务外包。</w:t>
      </w:r>
    </w:p>
    <w:p w14:paraId="33E006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第二章 承包方选择</w:t>
      </w:r>
    </w:p>
    <w:p w14:paraId="345B01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企业应当根据年度生产经营计划和业务外包管理制度，结合确定的业务外包范围，拟定实施方案，按照规定的权限和程序审核批准。</w:t>
      </w:r>
    </w:p>
    <w:p w14:paraId="224391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总会计师或分管会计工作的负责人应当参与重大业务外包的决策。</w:t>
      </w:r>
    </w:p>
    <w:p w14:paraId="1538B1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重大业务外包方案应当提交董事会或类似权力机构审批。</w:t>
      </w:r>
    </w:p>
    <w:p w14:paraId="3AF00E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企业应当按照批准的业务外包实施方案选择承包方。承包方至少应当具备下列条件：</w:t>
      </w:r>
    </w:p>
    <w:p w14:paraId="266B80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承包方是依法成立和合法经营的专业服务机构或其他经济组织，具有相应的经营范围和固定的办公场所。</w:t>
      </w:r>
    </w:p>
    <w:p w14:paraId="0529E4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承包方应当具备相应的专业资质，其从业人员符合岗位要求和任职条件，并具有相应的专业技术资格。</w:t>
      </w:r>
    </w:p>
    <w:p w14:paraId="33286B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承包方的技术及经验水平符合本企业业务外包的要求。</w:t>
      </w:r>
    </w:p>
    <w:p w14:paraId="30C29E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企业应当综合考虑内外部因素，合理确定外包价格，严格控制业务外包成本，切实做到符合成本效益原则。</w:t>
      </w:r>
    </w:p>
    <w:p w14:paraId="353CD3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企业应当引入竞争机制，遵循公开、公平、公正的原则，采用适当方式，择优选择外包业务的承包方。采用招标方式选择承包方的，应当符合招投标法的相关规定。</w:t>
      </w:r>
    </w:p>
    <w:p w14:paraId="797ADF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企业及相关人员在选择承包方的过程中，不得收受贿赂、回扣或者索取其他好处。承包方及其工作人员不得利用向企业及其工作人员行贿、提供回扣或者给予其他好处等不正当手段承揽业务。</w:t>
      </w:r>
    </w:p>
    <w:p w14:paraId="79E818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应当按照规定的权限和程序从候选承包方中确定最终承包方，并签订业务外包合同。业务外包合同内容主要包括：外包业务的内容和范围，双方权利和义务，服务和质量标准，保密事项，费用结算标准和违约责任等事项。</w:t>
      </w:r>
    </w:p>
    <w:p w14:paraId="57FA47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企业外包业务需要保密的，应当在业务外包合同或者另行签订的保密协议中明确规定承包方的保密义务和责任，要求承包方向其从业人员提示保</w:t>
      </w:r>
      <w:r>
        <w:rPr>
          <w:rFonts w:ascii="宋体" w:eastAsia="宋体" w:hAnsi="宋体" w:cs="宋体" w:hint="eastAsia"/>
          <w:sz w:val="24"/>
        </w:rPr>
        <w:lastRenderedPageBreak/>
        <w:t>密要求和应承担的责任。</w:t>
      </w:r>
    </w:p>
    <w:p w14:paraId="3796C7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业务外包实施</w:t>
      </w:r>
    </w:p>
    <w:p w14:paraId="2E5D5D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企业应当加强业务外包实施的管理，严格按照业务外包制度、工作流程和相关要求，组织开展业务外包，并采取有效的控制措施，确保承包方严格履行业务外包合同。</w:t>
      </w:r>
    </w:p>
    <w:p w14:paraId="4EE0DB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企业应当做好与承包方的对接工作，加强与承包方的沟通与协调，及时搜集相关信息，发现和解决外包业务日常管理中存在的问题。</w:t>
      </w:r>
    </w:p>
    <w:p w14:paraId="235627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对于重大业务外包，企业应当密切关注承包方的履约能力，建立相应的应急机制，避免业务外包失败造成本企业生产经营活动中断。</w:t>
      </w:r>
    </w:p>
    <w:p w14:paraId="3B3DB5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企业应当根据国家统一的会计准则制度，加强对外包业务的核算与监督，做好业务外包费用结算工作。</w:t>
      </w:r>
    </w:p>
    <w:p w14:paraId="49706C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企业应当对承包方的履约能力进行持续评估，有确凿证据表明承包方存在重大违约行为，导致业务外包合同无法履行的，应当及时终止合同。</w:t>
      </w:r>
    </w:p>
    <w:p w14:paraId="78F752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承包方违约并造成企业损失的，企业应当按照合同对承包方进行索赔，并追究责任人责任。</w:t>
      </w:r>
    </w:p>
    <w:p w14:paraId="431306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业务外包合同执行完成后需要验收的，企业应当组织相关部门或人员对完成的业务外包合同进行验收，出具验收证明。</w:t>
      </w:r>
    </w:p>
    <w:p w14:paraId="4BEC3CAD"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验收过程中发现异常情况，应当立即报告，查明原因，及时处理。</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40E0A831"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59.《企业内部控制应用指引第14号--财务报告》</w:t>
      </w:r>
    </w:p>
    <w:p w14:paraId="05A136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p>
    <w:p w14:paraId="14B45F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p>
    <w:p w14:paraId="66C783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0F0253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为了规范企业报告，保证报告的真实、完整，根据《中华人民共和国会计法》等有关法律法规和《企业内部控制基本规范》，制定本指引。</w:t>
      </w:r>
    </w:p>
    <w:p w14:paraId="674204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本指引所称报告，是指反映企业某一特定日期状况和某一会计期间经营成果、现金流量的文件。</w:t>
      </w:r>
    </w:p>
    <w:p w14:paraId="6AA3C7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企业编制、对外提供和分析利用报告，至少应当关注下列风险：</w:t>
      </w:r>
    </w:p>
    <w:p w14:paraId="283362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编制报告违反会计法律法规和国家统一的会计准则制度，可能导致企业承担法律责任和声誉受损。</w:t>
      </w:r>
    </w:p>
    <w:p w14:paraId="566125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提供虚假报告，误导报告使用者，造成决策失误，干扰市场秩序。</w:t>
      </w:r>
    </w:p>
    <w:p w14:paraId="67D8B1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不能有效利用报告，难以及时发现企业经营管理中存在的问题，可能导致企业和经营风险失控。</w:t>
      </w:r>
    </w:p>
    <w:p w14:paraId="7F0D4D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企业应当严格执行会计法律法规和国家统一的会计准则制度，加强对报告编制、对外提供和分析利用全过程的管理，明确相关工作流程和要求，落实责任制，确保报告合法合</w:t>
      </w:r>
      <w:proofErr w:type="gramStart"/>
      <w:r>
        <w:rPr>
          <w:rFonts w:ascii="宋体" w:eastAsia="宋体" w:hAnsi="宋体" w:cs="宋体" w:hint="eastAsia"/>
          <w:sz w:val="24"/>
        </w:rPr>
        <w:t>规</w:t>
      </w:r>
      <w:proofErr w:type="gramEnd"/>
      <w:r>
        <w:rPr>
          <w:rFonts w:ascii="宋体" w:eastAsia="宋体" w:hAnsi="宋体" w:cs="宋体" w:hint="eastAsia"/>
          <w:sz w:val="24"/>
        </w:rPr>
        <w:t>、真实完整和有效利用。总会计师或分管会计工作的负责人负责组织领导报告的编制、对外提供和分析利用等相关工作。企业负责人对报告的真实性、完整性负责。</w:t>
      </w:r>
    </w:p>
    <w:p w14:paraId="3C6E00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报告的编制</w:t>
      </w:r>
    </w:p>
    <w:p w14:paraId="63233C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企业编制报告，应当重点关注会计政策和会计估计，对报告产生重大影响的交易和事项的处理应当按照规定的权限和程序进行审批。企业在编制年度报告前，应当进行必要的资产清查、减值测试和债权债务核实。</w:t>
      </w:r>
    </w:p>
    <w:p w14:paraId="59E078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企业应当按照国家统一的会计准则制度规定，根据登记完整、核对</w:t>
      </w:r>
      <w:r>
        <w:rPr>
          <w:rFonts w:ascii="宋体" w:eastAsia="宋体" w:hAnsi="宋体" w:cs="宋体" w:hint="eastAsia"/>
          <w:sz w:val="24"/>
        </w:rPr>
        <w:lastRenderedPageBreak/>
        <w:t>无误的会计账簿记录和其他有关资料编制报告，做到内容完整、数字真实、计算准确，不得漏报或者随意进行取舍。</w:t>
      </w:r>
    </w:p>
    <w:p w14:paraId="137FE7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报告列示的资产、负债、所有者权益金额应当真实可靠。各项资产计价方法不得随意变更，如有减值，应当合理计提减值准备，严禁虚增或虚减资产。各项负债应当反映企业的现时义务，不得提前、推迟或不确认负债，严禁虚增或虚减负债。所有者权益应当反映企业资产扣除负债后由所有者享有的剩余权益，由实收资本、资本公积、留存收益等构成。企业应当做好所有者权益保值增值工作，严禁虚假出资、抽逃出资、资本不实。</w:t>
      </w:r>
    </w:p>
    <w:p w14:paraId="2CDAD9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企业报告应当如</w:t>
      </w:r>
      <w:proofErr w:type="gramStart"/>
      <w:r>
        <w:rPr>
          <w:rFonts w:ascii="宋体" w:eastAsia="宋体" w:hAnsi="宋体" w:cs="宋体" w:hint="eastAsia"/>
          <w:sz w:val="24"/>
        </w:rPr>
        <w:t>实列</w:t>
      </w:r>
      <w:proofErr w:type="gramEnd"/>
      <w:r>
        <w:rPr>
          <w:rFonts w:ascii="宋体" w:eastAsia="宋体" w:hAnsi="宋体" w:cs="宋体" w:hint="eastAsia"/>
          <w:sz w:val="24"/>
        </w:rPr>
        <w:t>示当期收入、费用和利润。各项收入的确认应当遵循规定的标准，不得虚列或者隐瞒收入，推迟或提前确认收入。各项费用、成本的确认应当符合规定，不得随意改变费用、成本的确认标准或计量方法，虚列、多列、不列或者少列费用、成本。利润由收入减去费用后的净额、直接计入当期利润的利得和损失等构成。不得随意调整利润的计算、分配方法，编造虚假利润。</w:t>
      </w:r>
    </w:p>
    <w:p w14:paraId="62CF8A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企业报告列示的各种现金流量由经营活动、投资活动和筹资活动的现金流量构成，应当按照规定划清各类交易和事项的现金流量的界限。</w:t>
      </w:r>
    </w:p>
    <w:p w14:paraId="4EFAC8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附注是报告的重要组成部分，对反映企业状况、经营成果、现金流量的报表中需要说明的事项，</w:t>
      </w:r>
      <w:proofErr w:type="gramStart"/>
      <w:r>
        <w:rPr>
          <w:rFonts w:ascii="宋体" w:eastAsia="宋体" w:hAnsi="宋体" w:cs="宋体" w:hint="eastAsia"/>
          <w:sz w:val="24"/>
        </w:rPr>
        <w:t>作出</w:t>
      </w:r>
      <w:proofErr w:type="gramEnd"/>
      <w:r>
        <w:rPr>
          <w:rFonts w:ascii="宋体" w:eastAsia="宋体" w:hAnsi="宋体" w:cs="宋体" w:hint="eastAsia"/>
          <w:sz w:val="24"/>
        </w:rPr>
        <w:t>真实、完整、清晰的说明。企业应当按照国家统一的会计准则制度编制附注。</w:t>
      </w:r>
    </w:p>
    <w:p w14:paraId="05EBC1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企业集团应当编制合并报表，明确合并报表的合并范围和合并方法，如实反映企业集团的状况、经营成果和现金流量。</w:t>
      </w:r>
    </w:p>
    <w:p w14:paraId="4060B4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企业编制报告，应当充分利用信息技术，提高工作效率和工作质量，减少或避免编制差错和人为调整因素。</w:t>
      </w:r>
    </w:p>
    <w:p w14:paraId="58F0B1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报告的对外提供</w:t>
      </w:r>
    </w:p>
    <w:p w14:paraId="24E8A7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企业应当依照法律法规和国家统一的会计准则制度的规定，及时对外提供报告。</w:t>
      </w:r>
    </w:p>
    <w:p w14:paraId="0C793C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第十四条 企业报告编制完成后，应当装订成册，加盖公章，由企业负责人、总会计师或分管会计工作的负责人、财会部门负责人签名并盖章。</w:t>
      </w:r>
    </w:p>
    <w:p w14:paraId="2216F2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报告须经注册会计师审计的，注册会计师及其所在的事务所出具的审计报告，应当随同报告一并提供。企业对外提供的报告应当及时整理归档，并按有关规定妥善保存。</w:t>
      </w:r>
    </w:p>
    <w:p w14:paraId="656DA3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报告的分析利用</w:t>
      </w:r>
    </w:p>
    <w:p w14:paraId="3A1D97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企业应当重视报告分析工作，定期召开分析会议，充分利用报告反映的综合信息，全面分析企业的经营管理状况和存在的问题，不断提高经营管理水平。企业分析会议应吸收有关部门负责人参加。总会计师或分管会计工作的负责人应当在分析和利用工作中发挥主导作用。</w:t>
      </w:r>
    </w:p>
    <w:p w14:paraId="1C494E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企业应当分析企业的资产分布、负债水平和所有者权益结构，通过资产负债率、流动比率、资产周转率等指标分析企业的偿债能力和营运能力；分析企业净资产的增减变化，了解和掌握企业规模和净资产的不断变化过程。</w:t>
      </w:r>
    </w:p>
    <w:p w14:paraId="436212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企业应当分析各项收入、费用的构成及其增减变动情况，通过净资产收益率、每股收益等指标，分析企业的盈利能力和发展能力，了解和掌握当期利润增减变化的原因和未来发展趋势。</w:t>
      </w:r>
    </w:p>
    <w:p w14:paraId="247073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企业应当分析经营活动、投资活动、筹资活动现金流量的运转情况，重点关注现金流量能否保证生产经营过程的正常运行，防止现金短缺或闲置。</w:t>
      </w:r>
    </w:p>
    <w:p w14:paraId="091AB26C"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第二十条 企业定期的分析应当形成分析报告，构成内部报告的组成部分。分析报告结果应当及时传递给企业内部有关管理层级，充分发挥报告在企业生产经营管理中的重要作用。</w:t>
      </w:r>
    </w:p>
    <w:p w14:paraId="603B7C60"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60.《企业内部控制应用指引第15号--全面预算》</w:t>
      </w:r>
    </w:p>
    <w:p w14:paraId="651F4F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p>
    <w:p w14:paraId="7D4C39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p>
    <w:p w14:paraId="704ADE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035802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为了促进企业实现发展战略，发挥全面预算管理作用，根据有关法律法规和《企业内部控制基本规范》，制定本指引。</w:t>
      </w:r>
    </w:p>
    <w:p w14:paraId="6277A7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本指引所称全面预算，是指企业对一定期间经营活动、投资活动、财务活动等</w:t>
      </w:r>
      <w:proofErr w:type="gramStart"/>
      <w:r>
        <w:rPr>
          <w:rFonts w:ascii="宋体" w:eastAsia="宋体" w:hAnsi="宋体" w:cs="宋体" w:hint="eastAsia"/>
          <w:sz w:val="24"/>
        </w:rPr>
        <w:t>作出</w:t>
      </w:r>
      <w:proofErr w:type="gramEnd"/>
      <w:r>
        <w:rPr>
          <w:rFonts w:ascii="宋体" w:eastAsia="宋体" w:hAnsi="宋体" w:cs="宋体" w:hint="eastAsia"/>
          <w:sz w:val="24"/>
        </w:rPr>
        <w:t>的预算安排。</w:t>
      </w:r>
    </w:p>
    <w:p w14:paraId="2369B8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企业实行全面预算管理，至少应当关注下列风险：</w:t>
      </w:r>
    </w:p>
    <w:p w14:paraId="29C4AB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不编制预算或预算不健全，可能导致企业经营缺乏约束或盲目经营。</w:t>
      </w:r>
    </w:p>
    <w:p w14:paraId="78F021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预算目标不合理、编制不科学，可能导致企业资源浪费或发展战略难以实现。</w:t>
      </w:r>
    </w:p>
    <w:p w14:paraId="2F5157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预算缺乏刚性、执行不力、考核不严，可能导致预算管理流于形式。</w:t>
      </w:r>
    </w:p>
    <w:p w14:paraId="5E86BB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企业应当加强全面预算工作的组织领导，明确预算管理体制以及各预算执行单位的职责权限、授权批准程序和工作协调机制。</w:t>
      </w:r>
    </w:p>
    <w:p w14:paraId="71D186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企业应当设立预算管理委员会履行全面预算管理职责，其成员由企业负责人及内部相关部门负责人组成。</w:t>
      </w:r>
    </w:p>
    <w:p w14:paraId="0E1C6C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预算管理委员会主要负责拟定预算目标和预算政策，制定预算管理的具体措施和办法，组织编制、平衡预算草案，下达经批准的预算，协调解决预算编制和执行中的问题，考核预算执行情况，督促完成预算目标。预算管理委员会下设预算管理工作机构，由其履行日常管理职责。预算管理工作机构一般设在财会部门。</w:t>
      </w:r>
    </w:p>
    <w:p w14:paraId="738DD9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总会计师或分管会计工作的负责人应当协助企业负责人负责企业全面预算管理工作的组织领导。</w:t>
      </w:r>
    </w:p>
    <w:p w14:paraId="23D3BC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预算编制</w:t>
      </w:r>
    </w:p>
    <w:p w14:paraId="0D027E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第五条 企业应当建立和完善预算编制工作制度，明确编制依据、编制程序、编制方法等内容，确保预算编制依据合理、程序适当、方法科学，避免预算指标过高或过低。</w:t>
      </w:r>
    </w:p>
    <w:p w14:paraId="33C832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企业应当在预算年度开始前完成全面预算草案的编制工作。</w:t>
      </w:r>
    </w:p>
    <w:p w14:paraId="2237EE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企业应当根据发展战略和年度生产经营计划，综合考虑预算期内经济政策、市场环境等因素，按照上下结合、分级编制、逐级汇总的程序，编制年度全面预算。</w:t>
      </w:r>
    </w:p>
    <w:p w14:paraId="56D063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企业可以选择或综合运用固定预算、弹性预算、滚动预算等方法编制预算。</w:t>
      </w:r>
    </w:p>
    <w:p w14:paraId="139332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企业预算管理委员会应当对预算管理工作机构在综合平衡基础上提交的预算方案进行研究论证，从企业发展全局角度提出建议，形成全面预算草案，并提交董事会。</w:t>
      </w:r>
    </w:p>
    <w:p w14:paraId="110935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企业董事会审核全面预算草案，应当重点关注预算科学性和可行性，确保全面预算与企业发展战略、年度生产经营计划相协调。</w:t>
      </w:r>
    </w:p>
    <w:p w14:paraId="295D38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企业全面预算应当按照相关法律法规及企业章程的规定报经审议批准。批准后，应当以文件形式下达执行。</w:t>
      </w:r>
    </w:p>
    <w:p w14:paraId="783DA9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预算执行</w:t>
      </w:r>
    </w:p>
    <w:p w14:paraId="708BBB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企业应当加强对预算执行的管理，明确预算指标分解方式、预算执行审批权限和要求、预算执行情况报告等，落实预算执行责任制，确保预算刚性，严格预算执行。</w:t>
      </w:r>
    </w:p>
    <w:p w14:paraId="3BA245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企业全面预算一经批准下达，各预算执行单位应当认真组织实施，将预算指标层层分解，从横向和纵向落实到内部各部门、各环节和各岗位，形成全方位的预算执行责任体系。</w:t>
      </w:r>
    </w:p>
    <w:p w14:paraId="5B41BD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企业应当以年度预算作为组织、协调各项生产经营活动的基本依据，将年度预算细分为季度、月度预算，通过实施分期预算控制，实现年度预算目标。</w:t>
      </w:r>
    </w:p>
    <w:p w14:paraId="041772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企业应当根据全面预算管理要求，组织各项生产经营活动和投融资活动，严格预算执行和控制。</w:t>
      </w:r>
    </w:p>
    <w:p w14:paraId="128766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企业应当加强资金收</w:t>
      </w:r>
      <w:proofErr w:type="gramStart"/>
      <w:r>
        <w:rPr>
          <w:rFonts w:ascii="宋体" w:eastAsia="宋体" w:hAnsi="宋体" w:cs="宋体" w:hint="eastAsia"/>
          <w:sz w:val="24"/>
        </w:rPr>
        <w:t>付业务</w:t>
      </w:r>
      <w:proofErr w:type="gramEnd"/>
      <w:r>
        <w:rPr>
          <w:rFonts w:ascii="宋体" w:eastAsia="宋体" w:hAnsi="宋体" w:cs="宋体" w:hint="eastAsia"/>
          <w:sz w:val="24"/>
        </w:rPr>
        <w:t>的预算控制，及时组织资金收入，严格控制资金支付，调节资金收付平衡，防范支付风险。对于超预算或预算外的资金支付，应当实行严格的审批制度。</w:t>
      </w:r>
    </w:p>
    <w:p w14:paraId="6F6CA2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办理采购与付款、销售与收款、成本费用、工程项目、对外投融资、研究与开发、信息系统、人力资源、安全环保、资产购置与维护等业务和事项，均应符合预算要求。涉及生产过程和成本费用的，还应执行相关计划、定额、定率标准。</w:t>
      </w:r>
    </w:p>
    <w:p w14:paraId="35AC15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对于工程项目、对外投融资等重大预算项目，企业应当密切跟踪其实施进度和完成情况，实行严格监控。</w:t>
      </w:r>
    </w:p>
    <w:p w14:paraId="25CC93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企业预算管理工作机构应当加强与各预算执行单位的沟通，运用财务信息和其他相关资料监控预算执行情况，采用恰当方式及时向决策机构和各预算执行单位报告、反馈预算执行进度、执行差异及其对预算目标的影响，促进企业全面预算目标的实现。</w:t>
      </w:r>
    </w:p>
    <w:p w14:paraId="345168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企业预算管理工作机构和各预算执行单位应当建立预算执行情况分析制度，定期召开预算执行分析会议，通报预算执行情况，研究、解决预算执行中存在的问题，提出改进措施。</w:t>
      </w:r>
    </w:p>
    <w:p w14:paraId="3233AF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分析预算执行情况，应当充分收集有关财务、业务、市场、技术、政策、法律等方面的信息资料，根据不同情况分别采用比率分析、比较分析、因素分析等方法，从定量与定性两个层面充分反映预算执行单位的现状、发展趋势及其存在的潜力。</w:t>
      </w:r>
    </w:p>
    <w:p w14:paraId="03DB0C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企业批准下达的预算应当保持稳定，不得随意调整。由于市场环境、国家政策或不可抗力等客观因素，导致预算执行发生重大差异确需调整预算的，应当履行严格的审批程序。</w:t>
      </w:r>
    </w:p>
    <w:p w14:paraId="058221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预算考核</w:t>
      </w:r>
    </w:p>
    <w:p w14:paraId="6C570D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企业应当建立严格的预算执行考核制度，对各预算执行单位和个人进行考核，切实做到有奖有惩、奖惩分明。</w:t>
      </w:r>
    </w:p>
    <w:p w14:paraId="62A0C2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第十六条 企业预算管理委员会应当定期组织预算执行情况考核，将各预算执行单位负责人签字上报的预算执行报告和已掌握的动态监控信息进行核对，确认各执行单位预算完成情况。必要时，实行预算执行情况内部审计制度。</w:t>
      </w:r>
    </w:p>
    <w:p w14:paraId="4C4DA6AE"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第十七条 企业预算执行情况考核工作，应当坚持公开、公平、公正的原则，考核过程及结果应有完整的记录。</w:t>
      </w:r>
    </w:p>
    <w:p w14:paraId="5A0037D4"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61.《企业内部控制应用指引第16号--合同管理》</w:t>
      </w:r>
    </w:p>
    <w:p w14:paraId="556A98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p>
    <w:p w14:paraId="757AB9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p>
    <w:p w14:paraId="003612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356292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为了促进企业加强合同管理，维护企业合法权益，根据《中华人民共和国合同法》等有关法律法规和《企业内部控制基本规范》，制定本指引。</w:t>
      </w:r>
    </w:p>
    <w:p w14:paraId="219BCE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本指引所称合同，是指企业与自然人、法人及其他组织等平等主体之间设立、变更、终止民事权利义务关系的协议。</w:t>
      </w:r>
    </w:p>
    <w:p w14:paraId="715E8E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企业与职工签订的劳动合同，不适用本指引。</w:t>
      </w:r>
    </w:p>
    <w:p w14:paraId="538034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企业合同管理至少应当关注下列风险：</w:t>
      </w:r>
    </w:p>
    <w:p w14:paraId="785D88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未订立合同、未经授权对外订立合同、合同对方主体资格未达要求、合同内容存在重大疏漏和欺诈，可能导致企业合法权益受到侵害。</w:t>
      </w:r>
    </w:p>
    <w:p w14:paraId="3756B3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合同未全面履行或监控不当，可能导致企业诉讼失败、经济利益受损。</w:t>
      </w:r>
    </w:p>
    <w:p w14:paraId="142401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合同纠纷处理不当，可能损害企业利益、信誉和形象。</w:t>
      </w:r>
    </w:p>
    <w:p w14:paraId="446755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企业应当加强合同管理，确定合同归口管理部门，明确合同拟定、审批、执行等环节的程序和要求，定期检查和评价合同管理中的薄弱环节，采取相应控制措施，促进合同有效履行，切实维护企业的合法权益。</w:t>
      </w:r>
    </w:p>
    <w:p w14:paraId="4B4F57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合同的订立</w:t>
      </w:r>
    </w:p>
    <w:p w14:paraId="3DCFED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企业对外发生经济行为，除即时结清方式外，应当订立书面合同。合同订立前，应当充分了解合同对方的主体资格、信用状况等有关内容，确保对方当事人具备履约能力。</w:t>
      </w:r>
    </w:p>
    <w:p w14:paraId="6CDFE1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对于影响重大、涉及较高专业技术或法律关系复杂的合同，应当组织法律、技术、财会等专业人员参与谈判，必要时可聘请外部专家参与相关工作。</w:t>
      </w:r>
    </w:p>
    <w:p w14:paraId="63EDBC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谈判过程中的重要事项和参与谈判人员的主要意见，应当予以记录并妥善保存。</w:t>
      </w:r>
    </w:p>
    <w:p w14:paraId="32754F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企业应当根据协商、谈判等的结果，拟订合同文本，按照自愿、公平原则，明确双方的权利义务和违约责任，做到条款内容完整，表述严谨准确，相关手续齐备，避免出现重大疏漏。</w:t>
      </w:r>
    </w:p>
    <w:p w14:paraId="598049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同文本一般由业务承办部门起草、法律部门审核。重大合同或法律关系复杂的特殊合同应当由法律部门参与起草。国家或行业有合同示范文本的，可以优先选用，但对涉及权利义务关系的条款应当进行认真审查，并根据实际情况进行适当修改。</w:t>
      </w:r>
    </w:p>
    <w:p w14:paraId="299325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合同文本须报经国家有关主管部门审查或备案的，应当履行相应程序。</w:t>
      </w:r>
    </w:p>
    <w:p w14:paraId="0D23D9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企业应当对合同文本进行严格审核，重点关注合同的主体、内容和形式是否合法，合同内容是否符合企业的经济利益，对方当事人是否具有履约能力，合同权利和义务、违约责任和争议解决条款是否明确等。</w:t>
      </w:r>
    </w:p>
    <w:p w14:paraId="334EB3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企业对影响重大或法律关系复杂的合同文本，应当组织内部相关部门进行审核。相关部门提出不同意见的，应当认真分析研究，慎重对待，并准确无误地加以记录；必要时应对合同条款</w:t>
      </w:r>
      <w:proofErr w:type="gramStart"/>
      <w:r>
        <w:rPr>
          <w:rFonts w:ascii="宋体" w:eastAsia="宋体" w:hAnsi="宋体" w:cs="宋体" w:hint="eastAsia"/>
          <w:sz w:val="24"/>
        </w:rPr>
        <w:t>作出</w:t>
      </w:r>
      <w:proofErr w:type="gramEnd"/>
      <w:r>
        <w:rPr>
          <w:rFonts w:ascii="宋体" w:eastAsia="宋体" w:hAnsi="宋体" w:cs="宋体" w:hint="eastAsia"/>
          <w:sz w:val="24"/>
        </w:rPr>
        <w:t>修改。内部相关部门应当认真履行职责。</w:t>
      </w:r>
    </w:p>
    <w:p w14:paraId="6D43DC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企业应当按照规定的权限和程序与对方当事人签署合同。正式对外订立的合同，应当由企业法定代表人或由其授权的代理人签名或加盖有关印章。授权签署合同的，应当签署授权委托书。</w:t>
      </w:r>
    </w:p>
    <w:p w14:paraId="5F7BE6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属于上级管理权限的合同，下级单位不得签署。下级单位认为确有需要签署涉及上级管理权限的合同，应当提出申请，并经上级合同管理机构批准后办理。上级单位应当加强对下级单位合同订立、履行情况的监督检查。</w:t>
      </w:r>
    </w:p>
    <w:p w14:paraId="2F4EE6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企业应当建立合同专用章保管制度。合同经编号、审批及企业法定代表人或由其授权的代理人签署后，方可加盖合同专用章。</w:t>
      </w:r>
    </w:p>
    <w:p w14:paraId="00F73F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企业应当加强合同信息安全保密工作，未经批准，不得以任何形式泄露合同订立与履行过程中涉及的商业秘密或国家机密。</w:t>
      </w:r>
    </w:p>
    <w:p w14:paraId="28518C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第三章 合同的履行</w:t>
      </w:r>
    </w:p>
    <w:p w14:paraId="5B8283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企业应当遵循诚实信用原则严格履行合同，对合同履行实施有效监控，强化对合同履行情况及效果的检查、分析和验收，确保合同全面有效履行。</w:t>
      </w:r>
    </w:p>
    <w:p w14:paraId="38EBA3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合同生效后，企业就质量、价款、履行地点等内容与合同对方没有约定或者约定不明确的，可以协议补充；不能达成补充协议的，按照国家相关法律法规、合同有关条款或者交易习惯确定。</w:t>
      </w:r>
    </w:p>
    <w:p w14:paraId="42FC44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在合同履行过程中发现有显失公平、条款有误或对方有欺诈行为等情形，或因政策调整、市场变化等客观因素，已经或可能导致企业利益受损，应当按规定程序及时报告，并经双方协商一致，按照规定权限和程序办理合同变更或解除事宜。</w:t>
      </w:r>
    </w:p>
    <w:p w14:paraId="62CCF8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企业应当加强合同纠纷管理，在履行合同过程中发生纠纷的，应当依据国家相关法律法规，在规定时效内与对方当事人协商并按规定权限和程序及时报告。</w:t>
      </w:r>
    </w:p>
    <w:p w14:paraId="6C625D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合同纠纷经协商一致的，双方应当签订书面协议。合同纠纷经协商无法解决的，应当根据合同约定选择仲裁或诉讼方式解决。</w:t>
      </w:r>
    </w:p>
    <w:p w14:paraId="14A199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企业内部授权处理合同纠纷的，应当签署授权委托书。纠纷处理过程中，未经授权批准，相关经办人员不得向对方当事人</w:t>
      </w:r>
      <w:proofErr w:type="gramStart"/>
      <w:r>
        <w:rPr>
          <w:rFonts w:ascii="宋体" w:eastAsia="宋体" w:hAnsi="宋体" w:cs="宋体" w:hint="eastAsia"/>
          <w:sz w:val="24"/>
        </w:rPr>
        <w:t>作出</w:t>
      </w:r>
      <w:proofErr w:type="gramEnd"/>
      <w:r>
        <w:rPr>
          <w:rFonts w:ascii="宋体" w:eastAsia="宋体" w:hAnsi="宋体" w:cs="宋体" w:hint="eastAsia"/>
          <w:sz w:val="24"/>
        </w:rPr>
        <w:t>实质性答复或承诺。</w:t>
      </w:r>
    </w:p>
    <w:p w14:paraId="168AB7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企业财会部门应当根据合同条款审核后办理结算业务。未按合同条款履约的，或应签订书面合同而未签订的，财会部门有权拒绝付款，并及时向企业有关负责人报告。</w:t>
      </w:r>
    </w:p>
    <w:p w14:paraId="62B0F7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合同管理部门应当加强合同登记管理，充分利用信息化手段，定期对合同进行统计、分类和归档，详细登记合同的订立、履行和变更等情况，实行合同的全过程封闭管理。</w:t>
      </w:r>
    </w:p>
    <w:p w14:paraId="3A0116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企业应当建立合同履行情况评估制度，至少于每年年末对合同履行的总体情况和重大合同履行的具体情况进行分析评估，对分析评估中发现合同履行中存在的不足，应当及时加以改进。</w:t>
      </w:r>
    </w:p>
    <w:p w14:paraId="56D8ED44"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lastRenderedPageBreak/>
        <w:t>企业应当健全合同管理考核与责任追究制度。对合同订立、履行过程中出现的违法违规行为，应当追究有关机构或人员的责任。</w:t>
      </w:r>
    </w:p>
    <w:p w14:paraId="5B1336DF"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62.《企业内部控制应用指引第17号--内部信息传递》</w:t>
      </w:r>
    </w:p>
    <w:p w14:paraId="0B2CFB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p>
    <w:p w14:paraId="57C4CB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p>
    <w:p w14:paraId="33CB59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1B3A4D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为了促进企业生产经营管理信息在内部各管理层级之间的有效沟通和充分利用，根据《企业内部控制基本规范》，制定本指引。</w:t>
      </w:r>
    </w:p>
    <w:p w14:paraId="26B75E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本指引所称内部信息传递，是指企业内部各管理层级之间通过内部报告形式传递生产经营管理信息的过程。</w:t>
      </w:r>
    </w:p>
    <w:p w14:paraId="63B318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企业内部信息传递至少应当关注下列风险：</w:t>
      </w:r>
    </w:p>
    <w:p w14:paraId="68C642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内部报告系统缺失、功能不健全、内容不完整，可能影响生产经营有序运行。</w:t>
      </w:r>
    </w:p>
    <w:p w14:paraId="1903FE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内部信息传递不通畅、不及时，可能导致决策失误、相关政策措施难以落实。</w:t>
      </w:r>
    </w:p>
    <w:p w14:paraId="494E4A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内部信息传递中泄露商业秘密，可能削弱企业核心竞争力。</w:t>
      </w:r>
    </w:p>
    <w:p w14:paraId="5B8183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加强内部报告管理，全面梳理内部信息传递过程中的薄弱环节，建立科学的内部信息传递机制，明确内部信息传递的内容、保密要求及密级分类、传递方式、传递范围以及各管理层级的职责权限等，促进内部报告的有效利用，充分发挥内部报告的作用。</w:t>
      </w:r>
    </w:p>
    <w:p w14:paraId="129C0B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内部报告的形成</w:t>
      </w:r>
    </w:p>
    <w:p w14:paraId="076A31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企业应当根据发展战略、风险控制和业绩考核要求，科学规范不同级次内部报告的指标体系，采用经营快报等多种形式，全面反映与企业生产经营管理相关的各种内外部信息。</w:t>
      </w:r>
    </w:p>
    <w:p w14:paraId="0FFA2C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内部报告指标体系的设计应当与全面预算管理相结合，并随着环境和业务的变化不断进行修订和完善。设计内部报告指标体系时，应当关注企业成本费用预</w:t>
      </w:r>
      <w:r>
        <w:rPr>
          <w:rFonts w:ascii="宋体" w:eastAsia="宋体" w:hAnsi="宋体" w:cs="宋体" w:hint="eastAsia"/>
          <w:sz w:val="24"/>
        </w:rPr>
        <w:lastRenderedPageBreak/>
        <w:t>算的执行情况。</w:t>
      </w:r>
    </w:p>
    <w:p w14:paraId="0B8386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内部报告应当简洁明了、通俗易懂、传递及时，便于企业各管理层级和全体员工掌握相关信息，正确履行职责。</w:t>
      </w:r>
    </w:p>
    <w:p w14:paraId="4FBD84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企业应当制定严密的内部报告流程，充分利用信息技术，强化内部报告信息集成和共享，将内部报告纳入企业统一信息平台，构建科学的内部报告网络体系。</w:t>
      </w:r>
    </w:p>
    <w:p w14:paraId="348719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企业内部各管理</w:t>
      </w:r>
      <w:proofErr w:type="gramStart"/>
      <w:r>
        <w:rPr>
          <w:rFonts w:ascii="宋体" w:eastAsia="宋体" w:hAnsi="宋体" w:cs="宋体" w:hint="eastAsia"/>
          <w:sz w:val="24"/>
        </w:rPr>
        <w:t>层级均</w:t>
      </w:r>
      <w:proofErr w:type="gramEnd"/>
      <w:r>
        <w:rPr>
          <w:rFonts w:ascii="宋体" w:eastAsia="宋体" w:hAnsi="宋体" w:cs="宋体" w:hint="eastAsia"/>
          <w:sz w:val="24"/>
        </w:rPr>
        <w:t>应当指定专人负责内部报告工作，重要信息应及时上报，并可以直接报告高级管理人员。</w:t>
      </w:r>
    </w:p>
    <w:p w14:paraId="3DF237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企业应当建立内部报告审核制度，确保内部报告信息质量。</w:t>
      </w:r>
    </w:p>
    <w:p w14:paraId="1039C8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企业应当关注市场环境、政策变化等外部信息对企业生产经营管理的影响，广泛收集、分析、整理外部信息，并通过内部报告传递到企业内部相关管理层级，以便采取应对策略。</w:t>
      </w:r>
    </w:p>
    <w:p w14:paraId="13DE01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企业应当拓宽内部报告渠道，通过落实奖励措施等多种有效方式，广泛收集合理化建议。</w:t>
      </w:r>
    </w:p>
    <w:p w14:paraId="46DBC2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企业应当重视和加强反舞弊机制建设，通过设立员工信箱、投诉热线等方式，鼓励员工及企业利益相关方举报和投诉企业内部的违法违规、舞弊和其他有损企业形象的行为。</w:t>
      </w:r>
    </w:p>
    <w:p w14:paraId="77B883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内部报告的使用</w:t>
      </w:r>
    </w:p>
    <w:p w14:paraId="7C967C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企业各级管理人员应当充分利用内部报告管理和指导企业的生产经营活动，及时反映全面预算执行情况，协调企业内部相关部门和各单位的运营进度，严格绩效考核和责任追究，确保企业实现发展目标。</w:t>
      </w:r>
    </w:p>
    <w:p w14:paraId="342408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企业应当有效利用内部报告进行风险评估，准确识别和系统分析企业生产经营活动中的内外部风险，确定风险应对策略，实现对风险的有效控制。</w:t>
      </w:r>
    </w:p>
    <w:p w14:paraId="656F97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企业对于内部报告反映出的问题应当及时解决；涉及突出问题和重大风险的，应当启动应急预案。</w:t>
      </w:r>
    </w:p>
    <w:p w14:paraId="05091C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第十一条 企业应当制定严格的内部报告保密制度，明确保密内容、保密措施、密级程度和传递范围，防止泄露商业秘密。</w:t>
      </w:r>
    </w:p>
    <w:p w14:paraId="49938C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企业应当建立内部报告的评估制度，定期对内部报告的形成和使用进行全面评估，重点关注内部报告的及时性、安全性和有效性。</w:t>
      </w:r>
    </w:p>
    <w:p w14:paraId="3C75CF13"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0E95EA3E"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63.《企业内部控制应用指引第18号--信息系统》</w:t>
      </w:r>
    </w:p>
    <w:p w14:paraId="2847F3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p>
    <w:p w14:paraId="6B6606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p>
    <w:p w14:paraId="4413F4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4C96CA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为了促进企业有效实施内部控制，提高企业现代化管理水平，减少人为因素，根据有关法律法规和《企业内部控制基本规范》，制定本指引。</w:t>
      </w:r>
    </w:p>
    <w:p w14:paraId="4FF4DC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本指引所称信息系统，是指企业利用计算机和通信技术，对内部控制进行集成、转化和提升所形成的信息化管理平台。</w:t>
      </w:r>
    </w:p>
    <w:p w14:paraId="7FB3E1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企业利用信息系统实施内部控制至少应当关注下列风险：</w:t>
      </w:r>
    </w:p>
    <w:p w14:paraId="32CE2F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信息系统缺乏或规划不合理，可能造成信息孤岛或重复建设，导致企业经营管理效率低下。</w:t>
      </w:r>
    </w:p>
    <w:p w14:paraId="2AFC6C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系统开发不符合内部控制要求，授权管理不当，可能导致无法利用信息技术实施有效控制。</w:t>
      </w:r>
    </w:p>
    <w:p w14:paraId="30E63E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系统运行维护和安全措施不到位，可能导致信息泄漏或损，系统无法正常运行。</w:t>
      </w:r>
    </w:p>
    <w:p w14:paraId="0C0ABC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重视信息系统在内部控制中的作用，根据内部控制要求，结合组织架构、业务范围、地域分布、技术能力等因素，制定信息系统建设整体规划，加大投入力度，有序组织信息系统开发、运行与维护，优化管理流程，防范经营风险，全面提升企业现代化管理水平。</w:t>
      </w:r>
    </w:p>
    <w:p w14:paraId="12E050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企业应当指定专门机构对信息系统建设实施归口管理，明确</w:t>
      </w:r>
      <w:proofErr w:type="gramStart"/>
      <w:r>
        <w:rPr>
          <w:rFonts w:ascii="宋体" w:eastAsia="宋体" w:hAnsi="宋体" w:cs="宋体" w:hint="eastAsia"/>
          <w:sz w:val="24"/>
        </w:rPr>
        <w:t>相关位</w:t>
      </w:r>
      <w:proofErr w:type="gramEnd"/>
      <w:r>
        <w:rPr>
          <w:rFonts w:ascii="宋体" w:eastAsia="宋体" w:hAnsi="宋体" w:cs="宋体" w:hint="eastAsia"/>
          <w:sz w:val="24"/>
        </w:rPr>
        <w:t>的职责权限，建立有效工作机制。企业可委托专业机构从事信息系统的开发、运行和维护工作。</w:t>
      </w:r>
    </w:p>
    <w:p w14:paraId="428A6F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企业负责人对信息系统建设工作负责。</w:t>
      </w:r>
    </w:p>
    <w:p w14:paraId="53DB8D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信息系统的开发</w:t>
      </w:r>
    </w:p>
    <w:p w14:paraId="28C1BD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第五条 企业应当根据信息系统建设整体规划提出项目建设方案，明确建设目标、人员配备、职责分工、经费保障和进度安排等相关内容，按照规定的权限和程序审批后实施。</w:t>
      </w:r>
    </w:p>
    <w:p w14:paraId="2B7E46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信息系统归口管理部门应当组织内部各单位提出开发需求和关键控制点，规范开发流程，明确系统设计、编程、安装调试、验收、上线等全过程的管理要求，严格按照建设方案、开发流程和相关要求组织开发工作。</w:t>
      </w:r>
    </w:p>
    <w:p w14:paraId="266698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企业开发信息系统，可以采取自行开发、外购调试、业务外包等方式。选定外购调试或业务外包方式的，应当采用公开招标等形式择优确定供应商或开发单位。</w:t>
      </w:r>
    </w:p>
    <w:p w14:paraId="48E4D1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企业开发信息系统，应当将生产经营管理业务流程、关键控制点和处理规则嵌入系统程序，实现手工环境下难以实现的控制功能。</w:t>
      </w:r>
    </w:p>
    <w:p w14:paraId="0D4598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企业在系统开发过程中，应当按照不同业务的控制要求，通过信息系统中的权限管理功能控制用户的操作权限，避免将不相容职责的处理权限授予同一用户。</w:t>
      </w:r>
    </w:p>
    <w:p w14:paraId="41EFBC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企业应当针对不同数据的输入方式，考虑对进入系统数据的检查和校验功能。对于必需的后台操作，应当加强管理，建立规范的流程制度，对操作情况进行监控或者审计。</w:t>
      </w:r>
    </w:p>
    <w:p w14:paraId="252EAC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企业应当在信息系统中设置操作日志功能，确保操作的可审计性。对异常的或者违背内部控制要求的交易和数据，应当设计由系统自动报告并设置跟踪处理机制。</w:t>
      </w:r>
    </w:p>
    <w:p w14:paraId="0AAEE2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信息系统归口管理部门应当加强信息系统开发全过程的跟踪管理，组织开发单位与内部各单位的日常沟通和协调，督促开发单位按照建设方案、计划进度和质量要求完成编程工作，对配备的硬件设备和系统软件进行检查验收，组织系统上线运行等。</w:t>
      </w:r>
    </w:p>
    <w:p w14:paraId="7232BB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企业应当组织独立于开发单位的专业机构对开发完成的信息系统进行验收测试，确保在功能、性能、控制要求和安全性等方面符合开发需求。</w:t>
      </w:r>
    </w:p>
    <w:p w14:paraId="1F4D60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企业应当切实做好信息系统上线的各项准备工作，培训业务操作和</w:t>
      </w:r>
      <w:r>
        <w:rPr>
          <w:rFonts w:ascii="宋体" w:eastAsia="宋体" w:hAnsi="宋体" w:cs="宋体" w:hint="eastAsia"/>
          <w:sz w:val="24"/>
        </w:rPr>
        <w:lastRenderedPageBreak/>
        <w:t>系统管理人员，制定科学的上线计划和新旧系统转换方案，考虑应急预案，确保新旧系统顺利切换和平稳衔接。系统上线涉及数据迁移的，还应制定详细的数据迁移计划。</w:t>
      </w:r>
    </w:p>
    <w:p w14:paraId="76856D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信息系统的运行与维护</w:t>
      </w:r>
    </w:p>
    <w:p w14:paraId="77D634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应当加强信息系统运行与维护的管理，制定信息系统工作程序、信息管理制度以及各模块子系统的具体操作规范，及时跟踪、发现和解决系统运行中存在的问题，确保信息系统按照规定的程序、制度和操作规范持续稳定运行。</w:t>
      </w:r>
    </w:p>
    <w:p w14:paraId="6F9797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企业应当建立信息系统变更管理流程，信息系统变更应当严格</w:t>
      </w:r>
      <w:proofErr w:type="gramStart"/>
      <w:r>
        <w:rPr>
          <w:rFonts w:ascii="宋体" w:eastAsia="宋体" w:hAnsi="宋体" w:cs="宋体" w:hint="eastAsia"/>
          <w:sz w:val="24"/>
        </w:rPr>
        <w:t>遵照管理</w:t>
      </w:r>
      <w:proofErr w:type="gramEnd"/>
      <w:r>
        <w:rPr>
          <w:rFonts w:ascii="宋体" w:eastAsia="宋体" w:hAnsi="宋体" w:cs="宋体" w:hint="eastAsia"/>
          <w:sz w:val="24"/>
        </w:rPr>
        <w:t>流程进行操作。信息系统操作人员不得擅自进行系统软件的删除、修改等操作；不得擅自升级、改变系统软件版本；不得擅自改变软件系统环境配置。</w:t>
      </w:r>
    </w:p>
    <w:p w14:paraId="259781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企业应当根据业务性质、重要性程度、涉密情况等确定信息系统的安全等级，建立不同等级信息的授权使用制度，采用相应技术手段保证信息系统运行安全有序。</w:t>
      </w:r>
    </w:p>
    <w:p w14:paraId="405062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企业应当建立信息系统安全保密和泄密责任追究制度。委托专业机构进行系统运行与维护管理的，应当审查该机构的资质，并与其签订服务合同和保密协议。</w:t>
      </w:r>
    </w:p>
    <w:p w14:paraId="66E434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企业应当采取安装安全软件等措施防范信息系统受到病毒等恶意软件的感染和破坏。</w:t>
      </w:r>
    </w:p>
    <w:p w14:paraId="5BAD72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企业应当建立用户管理制度，加强对重要业务系统的访问权限管理，定期审阅系统账号，避免授权不当或存在非授权账号，禁止不相容职务用户账号的交叉操作。</w:t>
      </w:r>
    </w:p>
    <w:p w14:paraId="280981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企业应当综合利用防火墙、路由器等网络设备，漏洞扫描、入侵检测等软件技术以及远程访问安全策略等手段，加强网络安全，防范来自网络的攻击和非法侵入。</w:t>
      </w:r>
    </w:p>
    <w:p w14:paraId="0FB32C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企业对于通过网络传输的涉密或关键数据，应当采取加密措施，确保信息传递的保密性、准确性和完整性。</w:t>
      </w:r>
    </w:p>
    <w:p w14:paraId="67C626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企业应当建立系统数据定期备份制度，明确备份范围、频度、方</w:t>
      </w:r>
      <w:r>
        <w:rPr>
          <w:rFonts w:ascii="宋体" w:eastAsia="宋体" w:hAnsi="宋体" w:cs="宋体" w:hint="eastAsia"/>
          <w:sz w:val="24"/>
        </w:rPr>
        <w:lastRenderedPageBreak/>
        <w:t>法、责任人、存放地点、有效性检查等内容。</w:t>
      </w:r>
    </w:p>
    <w:p w14:paraId="37B11F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企业应当加强服务器等关键信息设备的管理，建立良好的物理环境，指定专人负责检查，及时处理异常情况。未经授权，任何人不得接触关键信息设备。</w:t>
      </w:r>
    </w:p>
    <w:p w14:paraId="21253DF9"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2CC7461C"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64.《企业内部控制应用指引第1号 — 组织架构》</w:t>
      </w:r>
    </w:p>
    <w:p w14:paraId="73D973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p>
    <w:p w14:paraId="781F42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p>
    <w:p w14:paraId="625218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0281B2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为了促进企业实现发展战略，优化治理结构、管理体制和运行机制，建立现代企业制度，根据《中华人民共和国公司法》等有关法律法规和《企业内部控制基本规范》，制定本指引。</w:t>
      </w:r>
    </w:p>
    <w:p w14:paraId="44B32C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组织架构，是指企业按照国家有关法律法规、股东（大）会决议和企业章程，结合本企业实际，明确股东（大）会、董事会、监事会、经理层和企业内部各层级机构设置、职责权限、人员编制、工作程序和相关要求的制度安排。</w:t>
      </w:r>
    </w:p>
    <w:p w14:paraId="28C289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企业至少应当关注组织架构设计与运行中的下列风险：</w:t>
      </w:r>
    </w:p>
    <w:p w14:paraId="4A24D2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治理结构形同虚设，缺乏科学决策、良性运行机制和执行力，可能导致企业经营失败，难以实现发展战略。</w:t>
      </w:r>
    </w:p>
    <w:p w14:paraId="01B5DD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内部机构设计不科学，权责分配不合理，可能导致机构重叠、职能交叉或缺失、推诿扯皮，运行效率低下。</w:t>
      </w:r>
    </w:p>
    <w:p w14:paraId="38FA8C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组织架构的设计</w:t>
      </w:r>
    </w:p>
    <w:p w14:paraId="7EF103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企业应当根据国家有关法律法规的规定，明确董事会、监事会和经理层的职责权限、任职条件、议事规则和工作程序，确保决策、执行和监督相互分离，形成制衡。</w:t>
      </w:r>
    </w:p>
    <w:p w14:paraId="7F16C9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董事会对股东（大）会负责，依法行使企业的经营决策权。可按照股东（大）会的有关决议，设立战略、审计、提名、薪酬与考核等专门委员会，明确各专门委员会的职责权限、任职资格、议事规则和工作程序，为董事会科学决策提供支持。</w:t>
      </w:r>
    </w:p>
    <w:p w14:paraId="283D1B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监事会对股东（大）会负责，监督企业董事、经理和其他高级管理人员依法履行职责。</w:t>
      </w:r>
    </w:p>
    <w:p w14:paraId="4B467C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经理层对董事会负责，主持企业的生产经营管理工作。经理和其他高级管理人员的职责分工应当明确。</w:t>
      </w:r>
    </w:p>
    <w:p w14:paraId="6A253C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董事会、监事会和经理层的产生程序应当合法合</w:t>
      </w:r>
      <w:proofErr w:type="gramStart"/>
      <w:r>
        <w:rPr>
          <w:rFonts w:ascii="宋体" w:eastAsia="宋体" w:hAnsi="宋体" w:cs="宋体" w:hint="eastAsia"/>
          <w:sz w:val="24"/>
        </w:rPr>
        <w:t>规</w:t>
      </w:r>
      <w:proofErr w:type="gramEnd"/>
      <w:r>
        <w:rPr>
          <w:rFonts w:ascii="宋体" w:eastAsia="宋体" w:hAnsi="宋体" w:cs="宋体" w:hint="eastAsia"/>
          <w:sz w:val="24"/>
        </w:rPr>
        <w:t>，其人员构成、知识结构、能力素质应当满足履行职责的要求。</w:t>
      </w:r>
    </w:p>
    <w:p w14:paraId="319F85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企业的重大决策、重大事项、重要人事任免及大额资金支付业务等，应当按照规定的权限和程序实行集体决策审批或者联签制度。任何个人不得单独进行决策或者擅自改变集体决策意见。</w:t>
      </w:r>
    </w:p>
    <w:p w14:paraId="4FD14F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重大决策、重大事项、重要人事任免及大额资金支付业务的具体标准由企业自行确定。</w:t>
      </w:r>
    </w:p>
    <w:p w14:paraId="2BF020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应当按照科学、精简、高效、透明、制衡的原则，综合考虑企业性质、发展战略、文化理念和管理要求等因素，合理设置内部职能机构，明确各机构的职责权限，避免职能交叉、缺失或权责过于集中，形成各司其职、各负其责、相互制约、相互协调的工作机制。</w:t>
      </w:r>
    </w:p>
    <w:p w14:paraId="362365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企业应当对各机构的职能进行科学合理的分解，确定具体岗位的名称、职责和工作要求等，明确各个岗位的权限和相互关系。</w:t>
      </w:r>
    </w:p>
    <w:p w14:paraId="06E928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企业在确定职权和岗位分工过程中，应当体现不相容职务相互分离的要求。不相容职务通常包括：可行性研究与决策审批；决策审批与执行；执行与监督检查等。</w:t>
      </w:r>
    </w:p>
    <w:p w14:paraId="39C567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企业应当制定组织结构图、业务流程图、岗（职）位说明书和权限指引等内部管理制度或相关文件，使员工了解和掌握组织架构设计及权责分配情况，正确履行职责。</w:t>
      </w:r>
    </w:p>
    <w:p w14:paraId="652E5D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组织架构的运行</w:t>
      </w:r>
    </w:p>
    <w:p w14:paraId="3EC31E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企业应当根据组织架构的设计规范，对现有治理结构和内部机构设置进行全面梳理，确保本企业治理结构、内部机构设置和运行机制等符合现代企</w:t>
      </w:r>
      <w:r>
        <w:rPr>
          <w:rFonts w:ascii="宋体" w:eastAsia="宋体" w:hAnsi="宋体" w:cs="宋体" w:hint="eastAsia"/>
          <w:sz w:val="24"/>
        </w:rPr>
        <w:lastRenderedPageBreak/>
        <w:t>业制度要求。</w:t>
      </w:r>
    </w:p>
    <w:p w14:paraId="5E6791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企业梳理治理结构，应当重点关注董事、监事、经理及其他高级管理人员的任职资格和履职情况，以及董事会、监事会和经理层的运行效果。治理结构存在问题的，应当采取有效措施加以改进。</w:t>
      </w:r>
    </w:p>
    <w:p w14:paraId="463E5B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企业梳理内部机构设置，应当重点关注内部机构设置的合理性和运行的高效性等。内部机构设置和运行中存在职能交叉、缺失或运行效率低下的，应当及时解决。</w:t>
      </w:r>
    </w:p>
    <w:p w14:paraId="61552B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拥有子公司的，应当建立科学的投资管控制度，通过合法有效的形式履行出资人职责、维护出资人权益，重点关注子公司特别是异地、境外子公司的发展战略、年度财务预决算、重大投融资、重大担保、大额资金使用、主要资产处置、重要人事任免、内部控制体系建设等重要事项。</w:t>
      </w:r>
    </w:p>
    <w:p w14:paraId="1B7D5C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企业应当定期对组织架构设计与运行的效率和效果进行全面评估，发现组织架构设计与运行中存在缺陷的，应当进行优化调整。</w:t>
      </w:r>
    </w:p>
    <w:p w14:paraId="335BAAA2"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企业组织架构调整应当充分听取董事、监事、高级管理人员和其他员工的意见，按照规定的权限和程序进行决策审批。</w:t>
      </w:r>
      <w:r>
        <w:rPr>
          <w:rFonts w:ascii="宋体" w:eastAsia="宋体" w:hAnsi="宋体" w:cs="宋体" w:hint="eastAsia"/>
          <w:sz w:val="24"/>
        </w:rPr>
        <w:tab/>
      </w:r>
      <w:r>
        <w:rPr>
          <w:rFonts w:ascii="宋体" w:eastAsia="宋体" w:hAnsi="宋体" w:cs="宋体" w:hint="eastAsia"/>
          <w:sz w:val="24"/>
        </w:rPr>
        <w:tab/>
      </w:r>
    </w:p>
    <w:p w14:paraId="5EADD8E0"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65.《企业内部控制应用指引第2号--发展战略》</w:t>
      </w:r>
    </w:p>
    <w:p w14:paraId="4E65E2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p>
    <w:p w14:paraId="35BF07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p>
    <w:p w14:paraId="7C82E6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44D162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为了促进企业增强核心竞争力和可持续发展能力，根据有关法律法规和《企业内部控制基本规范》，制定本指引。</w:t>
      </w:r>
    </w:p>
    <w:p w14:paraId="2FCA92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本指引所称发展战略，是指企业在对现实状况和未来趋势进行综合分析和科学预测的基础上，制定并实施的长远发展目标与战略规划。</w:t>
      </w:r>
    </w:p>
    <w:p w14:paraId="0954A7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企业制定与实施发展战略至少应当关注下列风险：</w:t>
      </w:r>
    </w:p>
    <w:p w14:paraId="0FA2E8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缺乏明确的发展战略或发展战略实施不到位，可能导致企业盲目发展，难以形成竞争优势，丧失发展机遇和动力。</w:t>
      </w:r>
    </w:p>
    <w:p w14:paraId="77AB16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发展战略过于激进，脱离企业实际能力或偏离主业，可能导致企业过度扩张，甚至经营失败。</w:t>
      </w:r>
    </w:p>
    <w:p w14:paraId="79807A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发展战略因主观原因频繁变动，可能导致资源浪费，甚至危及企业的生存和持续发展。</w:t>
      </w:r>
    </w:p>
    <w:p w14:paraId="50F4BC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发展战略的制定</w:t>
      </w:r>
    </w:p>
    <w:p w14:paraId="57F82D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在充分调查研究、科学分析预测和广泛征求意见的基础上制定发展目标。企业在制定发展目标过程中，应当综合考虑宏观经济政策、国内外市场需求变化、技术发展趋势、行业及竞争对手状况、可利用资源水平和自身优势与劣势等影响因素。</w:t>
      </w:r>
    </w:p>
    <w:p w14:paraId="66EF53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企业应当根据发展目标制定战略规划。战略规划应当明确发展的阶段性和发展程度，确定每个发展阶段的具体目标、工作任务和实施路径。</w:t>
      </w:r>
    </w:p>
    <w:p w14:paraId="066E64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企业应当在董事会下设立战略委员会，或指定相关机构负责发展战略管理工作，履行相应职责。企业应当明确战略委员会的职责和议事规则，对战</w:t>
      </w:r>
      <w:r>
        <w:rPr>
          <w:rFonts w:ascii="宋体" w:eastAsia="宋体" w:hAnsi="宋体" w:cs="宋体" w:hint="eastAsia"/>
          <w:sz w:val="24"/>
        </w:rPr>
        <w:lastRenderedPageBreak/>
        <w:t>略委员会会议的召开程序、表决方式、提案审议、保密要求和会议记录等</w:t>
      </w:r>
      <w:proofErr w:type="gramStart"/>
      <w:r>
        <w:rPr>
          <w:rFonts w:ascii="宋体" w:eastAsia="宋体" w:hAnsi="宋体" w:cs="宋体" w:hint="eastAsia"/>
          <w:sz w:val="24"/>
        </w:rPr>
        <w:t>作出</w:t>
      </w:r>
      <w:proofErr w:type="gramEnd"/>
      <w:r>
        <w:rPr>
          <w:rFonts w:ascii="宋体" w:eastAsia="宋体" w:hAnsi="宋体" w:cs="宋体" w:hint="eastAsia"/>
          <w:sz w:val="24"/>
        </w:rPr>
        <w:t>规定，确保议事过程规范透明、决策程序科学民主。战略委员会应当组织有关部门对发展目标和战略规划进行可行性研究和科学论证，形成发展战略建议方案；必要时，可借助中介机构和外部专家的力量为其履行职责提供专业咨询意见。战略委员会成员应当具有较强的综合素质和实践经验，其任职资格和选任程序应当符合有关法律法规和企业章程的规定。</w:t>
      </w:r>
    </w:p>
    <w:p w14:paraId="5417D5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董事会应当严格审议战略委员会提交的发展战略方案，重点关注其全局性、长期性和可行性。董事会在审议方案中如果发现重大问题，应当责成战略委员会对方案</w:t>
      </w:r>
      <w:proofErr w:type="gramStart"/>
      <w:r>
        <w:rPr>
          <w:rFonts w:ascii="宋体" w:eastAsia="宋体" w:hAnsi="宋体" w:cs="宋体" w:hint="eastAsia"/>
          <w:sz w:val="24"/>
        </w:rPr>
        <w:t>作出</w:t>
      </w:r>
      <w:proofErr w:type="gramEnd"/>
      <w:r>
        <w:rPr>
          <w:rFonts w:ascii="宋体" w:eastAsia="宋体" w:hAnsi="宋体" w:cs="宋体" w:hint="eastAsia"/>
          <w:sz w:val="24"/>
        </w:rPr>
        <w:t>调整。企业的发展战略方案经董事会审议通过后，报经股东（大）会批准实施。</w:t>
      </w:r>
    </w:p>
    <w:p w14:paraId="3174B4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发展战略的实施</w:t>
      </w:r>
    </w:p>
    <w:p w14:paraId="653355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企业应当根据发展战略，制定年度工作计划，编制全面预算，将年度目标分解、落实；同时完善发展战略管理制度，确保发展战略有效实施。</w:t>
      </w:r>
    </w:p>
    <w:p w14:paraId="7D5222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企业应当重视发展战略的宣传工作，通过内部各层级会议和教育培训等有效方式，将发展战略及其分解落实情况传递到内部各管理层级和全体员工。</w:t>
      </w:r>
    </w:p>
    <w:p w14:paraId="52F0EF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战略委员会应当加强对发展战略实施情况的监控，定期收集和分析相关信息，对于明显偏离发展战略的情况，应当及时报告。</w:t>
      </w:r>
    </w:p>
    <w:p w14:paraId="002BF287"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第十一条 由于经济形势、产业政策、技术进步、行业状况以及不可抗力等因素发生重大变化，确需对发展战略</w:t>
      </w:r>
      <w:proofErr w:type="gramStart"/>
      <w:r>
        <w:rPr>
          <w:rFonts w:ascii="宋体" w:eastAsia="宋体" w:hAnsi="宋体" w:cs="宋体" w:hint="eastAsia"/>
          <w:sz w:val="24"/>
        </w:rPr>
        <w:t>作出</w:t>
      </w:r>
      <w:proofErr w:type="gramEnd"/>
      <w:r>
        <w:rPr>
          <w:rFonts w:ascii="宋体" w:eastAsia="宋体" w:hAnsi="宋体" w:cs="宋体" w:hint="eastAsia"/>
          <w:sz w:val="24"/>
        </w:rPr>
        <w:t>调整的，应当按照规定权限和程序调整发展战略。</w:t>
      </w:r>
    </w:p>
    <w:p w14:paraId="3103C5DD"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66.《企业内部控制应用指引第3号--人力资源》</w:t>
      </w:r>
    </w:p>
    <w:p w14:paraId="78CA78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p>
    <w:p w14:paraId="0A71CD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p>
    <w:p w14:paraId="4AF542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3E1386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为了促进企业加强人力资源建设，充分发挥人力资源对实现企业发展战略的重要作用，根据有关法律法规和《企业内部控制基本规范》，制定本指引。</w:t>
      </w:r>
    </w:p>
    <w:p w14:paraId="0E1827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本指引所称人力资源，是指企业组织生产经营活动而录（任）用的各种人员，包括董事、监事、高级管理人员和全体员工。</w:t>
      </w:r>
    </w:p>
    <w:p w14:paraId="4FAADD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企业人力资源管理至少应当关注下列风险：</w:t>
      </w:r>
    </w:p>
    <w:p w14:paraId="6904F7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人力资源缺乏或过剩、结构不合理、开发机制不健全，可能导致企业发展战略难以实现。</w:t>
      </w:r>
    </w:p>
    <w:p w14:paraId="7E97C2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人力资源激励约束制度不合理、关键岗位人员管理不完善，可能导致人才流失、经营效率低下或关键技术、商业秘密和国家机密泄露。</w:t>
      </w:r>
    </w:p>
    <w:p w14:paraId="1EFCD4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人力资源退出机制不当，可能导致法律诉讼或企业声誉受损。</w:t>
      </w:r>
    </w:p>
    <w:p w14:paraId="64701F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重视人力资源建设，根据发展战略，结合人力资源现状和未来需求预测，建立人力资源发展目标，制定人力资源总体规划和能力框架体系，优化人力资源整体布局，明确人力资源的引进、开发、使用、培养、考核、激励、退出等管理要求，实现人力资源的合理配置，全面提升企业核心竞争力。</w:t>
      </w:r>
    </w:p>
    <w:p w14:paraId="3C6690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人力资源的引进与开发</w:t>
      </w:r>
    </w:p>
    <w:p w14:paraId="45CAE6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企业应当根据人力资源总体规划，结合生产经营实际需要，制定年度人力资源需求计划，完善人力资源引进制度，规范工作流程，按照计划、制度和程序组织人力资源引进工作。</w:t>
      </w:r>
    </w:p>
    <w:p w14:paraId="13F38F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企业应当根据人力资源能力框架要求，明确各岗位的职责权限、任</w:t>
      </w:r>
      <w:r>
        <w:rPr>
          <w:rFonts w:ascii="宋体" w:eastAsia="宋体" w:hAnsi="宋体" w:cs="宋体" w:hint="eastAsia"/>
          <w:sz w:val="24"/>
        </w:rPr>
        <w:lastRenderedPageBreak/>
        <w:t>职条件和工作要求，遵循德才兼备、以德为先和公开、公平、公正的原则，通过公开招聘、竞争上岗等多种方式选聘优秀人才，重点关注选聘对象的价值取向和责任意识。</w:t>
      </w:r>
    </w:p>
    <w:p w14:paraId="01CEE0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企业选拔高级管理人员和聘用中层及以下员工，应当切实做到因事设岗、以岗选人，避免因人设事或设岗，确保选聘人员能够胜任岗位职责要求。</w:t>
      </w:r>
    </w:p>
    <w:p w14:paraId="7886D3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企业选聘人员应当实行岗位回避制度。</w:t>
      </w:r>
    </w:p>
    <w:p w14:paraId="677683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企业确定选聘人员后，应当依法签订劳动合同，建立劳动用工关系。</w:t>
      </w:r>
    </w:p>
    <w:p w14:paraId="48A88E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企业对于在产品技术、市场、管理等方面掌握或涉及关键技术、知识产权、商业秘密或国家机密的工作岗位，应当与</w:t>
      </w:r>
      <w:proofErr w:type="gramStart"/>
      <w:r>
        <w:rPr>
          <w:rFonts w:ascii="宋体" w:eastAsia="宋体" w:hAnsi="宋体" w:cs="宋体" w:hint="eastAsia"/>
          <w:sz w:val="24"/>
        </w:rPr>
        <w:t>该岗位</w:t>
      </w:r>
      <w:proofErr w:type="gramEnd"/>
      <w:r>
        <w:rPr>
          <w:rFonts w:ascii="宋体" w:eastAsia="宋体" w:hAnsi="宋体" w:cs="宋体" w:hint="eastAsia"/>
          <w:sz w:val="24"/>
        </w:rPr>
        <w:t>员工签订有关岗位保密协议，明确保密义务。</w:t>
      </w:r>
    </w:p>
    <w:p w14:paraId="055C73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应当建立选聘人员试用期和岗前培训制度，对试用人员进行严格考察，促进选聘员工全面了解岗位职责，掌握岗位基本技能，适应工作要求。试用期满考核合格后，方可正式上岗；试用期满考核不合格者，应当及时解除劳动关系。</w:t>
      </w:r>
    </w:p>
    <w:p w14:paraId="46C836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企业应当重视人力资源开发工作，建立员工培训长效机制，营造尊重知识、尊重人才和关心员工职业发展的文化氛围，加强后备人才队伍建设，促进全体员工的知识、技能持续更新，不断提升员工的服务效能。</w:t>
      </w:r>
    </w:p>
    <w:p w14:paraId="09DD5C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人力资源的使用与退出</w:t>
      </w:r>
    </w:p>
    <w:p w14:paraId="0C2BBC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应当建立和完善人力资源的激励约束机制，设置科学的业绩考核指标体系，对各级管理人员和全体员工进行严格考核与评价，以此作为确定员工薪酬、职级调整和解除劳动合同等的重要依据，确保员工队伍处于持续优化状态。</w:t>
      </w:r>
    </w:p>
    <w:p w14:paraId="04F457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企业应当制定与业绩考核挂钩的薪酬制度，切实做到薪酬安排与员工贡献相协调，体现效率优先，兼顾公平。</w:t>
      </w:r>
    </w:p>
    <w:p w14:paraId="2CC631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企业应当制定各级管理人员和关键岗位员工定期轮岗制度，明确轮岗范围、轮岗周期、轮岗方式等，形成相关岗位员工的有序持续流动，全面提</w:t>
      </w:r>
      <w:r>
        <w:rPr>
          <w:rFonts w:ascii="宋体" w:eastAsia="宋体" w:hAnsi="宋体" w:cs="宋体" w:hint="eastAsia"/>
          <w:sz w:val="24"/>
        </w:rPr>
        <w:lastRenderedPageBreak/>
        <w:t>升员工素质。</w:t>
      </w:r>
    </w:p>
    <w:p w14:paraId="4A646B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企业应当按照有关法律法规规定，结合企业实际，建立健全员工退出（辞职、解除劳动合同、退休等）机制，明确退出的条件和程序，确保员工退出机制得到有效实施。</w:t>
      </w:r>
    </w:p>
    <w:p w14:paraId="0988CC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企业对考核不能胜任岗位要求的员工，应当及时暂停其工作，安排再培训，或调整工作岗位，安排转岗培训；仍不能满足岗位职责要求的，应当按照规定的权限和程序解除劳动合同。</w:t>
      </w:r>
    </w:p>
    <w:p w14:paraId="60117E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企业应当与退出员工依法约定保守关键技术、商业秘密、国家机密和</w:t>
      </w:r>
      <w:proofErr w:type="gramStart"/>
      <w:r>
        <w:rPr>
          <w:rFonts w:ascii="宋体" w:eastAsia="宋体" w:hAnsi="宋体" w:cs="宋体" w:hint="eastAsia"/>
          <w:sz w:val="24"/>
        </w:rPr>
        <w:t>竞业</w:t>
      </w:r>
      <w:proofErr w:type="gramEnd"/>
      <w:r>
        <w:rPr>
          <w:rFonts w:ascii="宋体" w:eastAsia="宋体" w:hAnsi="宋体" w:cs="宋体" w:hint="eastAsia"/>
          <w:sz w:val="24"/>
        </w:rPr>
        <w:t>限制的期限，确保知识产权、商业秘密和国家机密的安全。</w:t>
      </w:r>
    </w:p>
    <w:p w14:paraId="1A37BB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企业关键岗位人员离职前，应当根据有关法律法规的规定进行工作交接或离任审计。</w:t>
      </w:r>
    </w:p>
    <w:p w14:paraId="673248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企业应当定期对年度人力资源计划执行情况进行评估，总结人力资源管理经验，分析存在的主要缺陷和不足，完善人力资源政策，促进企业整体团队充满生机和活力。</w:t>
      </w:r>
    </w:p>
    <w:p w14:paraId="0F0D52F9"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0D34E47D"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67.《企业内部控制应用指引第4号--社会责任》</w:t>
      </w:r>
    </w:p>
    <w:p w14:paraId="412E54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p>
    <w:p w14:paraId="296F31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29CF46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0FC8D1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为了促进企业履行社会责任，实现企业与社会的协调发展，根据国家有关法律法规和《企业内部控制基本规范》，制定本指引。</w:t>
      </w:r>
    </w:p>
    <w:p w14:paraId="2628CA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本指引所称社会责任，是指企业在经营发展过程中应当履行的社会职责和义务，主要包括安全生产、产品质量（含服务，下同）、环境保护、资源节约、促进就业、员工权益保护等。</w:t>
      </w:r>
    </w:p>
    <w:p w14:paraId="05DE43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企业至少应当关注在履行社会责任方面的下列风险：</w:t>
      </w:r>
    </w:p>
    <w:p w14:paraId="3AC024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安全生产措施不到位，责任不落实，可能导致企业发生安全事故。</w:t>
      </w:r>
    </w:p>
    <w:p w14:paraId="785320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产品质量低劣，侵害消费者利益，可能导致企业巨额赔偿、形象受损，甚至破产。</w:t>
      </w:r>
    </w:p>
    <w:p w14:paraId="282135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环境保护投入不足，资源耗费大，造成环境污染或资源枯竭，可能导致企业巨额赔偿、缺乏发展后劲，甚至停业。</w:t>
      </w:r>
    </w:p>
    <w:p w14:paraId="1D0D45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促进就业和员工权益保护不够，可能导致员工积极性受挫，影响企业发展和社会稳定。</w:t>
      </w:r>
    </w:p>
    <w:p w14:paraId="213B20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企业应当重视履行社会责任，切实做到经济效益与社会效益、短期利益与长远利益、自身发展与社会发展相互协调，实现企业与员工、企业与社会、企业与环境的健康和谐发展。</w:t>
      </w:r>
    </w:p>
    <w:p w14:paraId="745187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安全生产</w:t>
      </w:r>
    </w:p>
    <w:p w14:paraId="76D863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企业应当根据国家有关安全生产的规定，结合本企业实际情况，建立严格的安全生产管理体系、操作规范和应急预案，强化安全生产责任追究制度，</w:t>
      </w:r>
      <w:r>
        <w:rPr>
          <w:rFonts w:ascii="宋体" w:eastAsia="宋体" w:hAnsi="宋体" w:cs="宋体" w:hint="eastAsia"/>
          <w:sz w:val="24"/>
        </w:rPr>
        <w:lastRenderedPageBreak/>
        <w:t>切实做到安全生产。</w:t>
      </w:r>
    </w:p>
    <w:p w14:paraId="667DF9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企业应当设立安全管理部门和安全监督机构，负责企业安全生产的日常监督管理工作。</w:t>
      </w:r>
    </w:p>
    <w:p w14:paraId="09DA6A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企业应当重视安全生产投入，在人力、物力、资金、技术等方面提供必要的保障，健全检查监督机制，确保各项安全措施落实到位，不得随意降低保障标准和要求。</w:t>
      </w:r>
    </w:p>
    <w:p w14:paraId="1B3CAA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企业应当贯彻预防为主的原则，采用多种形式增强员工安全意识，重视岗位培训，对于特殊岗位实行资格认证制度。</w:t>
      </w:r>
    </w:p>
    <w:p w14:paraId="016896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企业应当加强生产设备的经常性维护管理，及时排除安全隐患。</w:t>
      </w:r>
    </w:p>
    <w:p w14:paraId="246E28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企业如果发生生产安全事故，应当按照安全生产管理制度妥善处理，排除故障，减轻损失，追究责任。</w:t>
      </w:r>
    </w:p>
    <w:p w14:paraId="311AD4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重大生产安全事故应当启动应急预案，同时按照国家有关规定及时报告，严禁迟报、谎报和瞒报。</w:t>
      </w:r>
    </w:p>
    <w:p w14:paraId="6D5EE5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产品质量</w:t>
      </w:r>
    </w:p>
    <w:p w14:paraId="6C9D1B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应当根据国家和行业相关产品质量的要求，从事生产经营活动，切实提高产品质量和服务水平，努力为社会提供优质安全健康的产品和服务，最大限度地满足消费者的需求，对社会和公众负责，接受社会监督，承担社会责任。</w:t>
      </w:r>
    </w:p>
    <w:p w14:paraId="6229B9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企业应当规范生产流程，建立严格的产品质量控制和检验制度，严把质量关，禁止缺乏质量保障、危害人民生命健康的产品流向社会。</w:t>
      </w:r>
    </w:p>
    <w:p w14:paraId="75B526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企业应当加强产品的售后服务。售后发现存在严重质量缺陷、隐患的产品，应当及时召回或采取其他有效措施，最大限度地降低或消除缺陷、隐患产品的社会危害。</w:t>
      </w:r>
    </w:p>
    <w:p w14:paraId="419934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企业应当妥善处理消费者提出的投诉和建议，切实保护消费者权益。</w:t>
      </w:r>
    </w:p>
    <w:p w14:paraId="2D70BC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环境保护与资源节约</w:t>
      </w:r>
    </w:p>
    <w:p w14:paraId="58FACD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企业应当按照国家有关环境保护与资源节约的规定，结合本企业</w:t>
      </w:r>
      <w:r>
        <w:rPr>
          <w:rFonts w:ascii="宋体" w:eastAsia="宋体" w:hAnsi="宋体" w:cs="宋体" w:hint="eastAsia"/>
          <w:sz w:val="24"/>
        </w:rPr>
        <w:lastRenderedPageBreak/>
        <w:t>实际情况，建立环境保护与资源节约制度，认真落实节能减排责任，积极开发和使用节能产品，发展循环经济，降低污染物排放，提高资源综合利用效率。</w:t>
      </w:r>
    </w:p>
    <w:p w14:paraId="28B3A1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企业应当通过宣传教育等有效形式，不断提高员工的环境保护和资源节约意识。</w:t>
      </w:r>
    </w:p>
    <w:p w14:paraId="0E45B8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企业应当重视生态保护，加大对环保工作的人力、物力、财力的投入和技术支持，不断改进工艺流程，降低能耗和污染物排放水平，实现清洁生产。</w:t>
      </w:r>
    </w:p>
    <w:p w14:paraId="23B6A8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企业应当加强对废气、废水、废渣的综合治理，建立废料回收和循环利用制度。</w:t>
      </w:r>
    </w:p>
    <w:p w14:paraId="31628C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企业应当重视资源节约和资源保护，着力开发利用可再生资源，防止对不可再生资源进行掠夺性或毁灭性开发。</w:t>
      </w:r>
    </w:p>
    <w:p w14:paraId="2CA77E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企业应当重视国家产业结构相关政策，特别关注产业结构调整的发展要求，加快高新技术开发和传统产业改造，切实转变发展方式，实现低投入、低消耗、低排放和高效率。</w:t>
      </w:r>
    </w:p>
    <w:p w14:paraId="30A40F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企业应当建立环境保护和资源节约的监控制度，定期开展监督检查，发现问题，及时采取措施予以纠正。污染物排放超过国家有关规定的，企业应当承担治理或相关法律责任。</w:t>
      </w:r>
    </w:p>
    <w:p w14:paraId="20F5A9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发生紧急、重大环境污染事件时，应当启动应急机制，及时报告和处理，并依法追究相关责任人的责任。</w:t>
      </w:r>
    </w:p>
    <w:p w14:paraId="0B70C7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促进就业与员工权益保护</w:t>
      </w:r>
    </w:p>
    <w:p w14:paraId="009160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企业应当依法保护员工的合法权益，贯彻人力资源政策，保护员工依法享有劳动权利和履行劳动义务，保持工作岗位相对稳定，积极促进充分就业，切实履行社会责任。</w:t>
      </w:r>
    </w:p>
    <w:p w14:paraId="643D02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企业应当避免在正常经营情况下批量辞退员工，增加社会负担。</w:t>
      </w:r>
    </w:p>
    <w:p w14:paraId="1395E6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企业应当与员工签订并履行劳动合同，遵循按劳分配、同工同酬的原则，建立科学的员工薪</w:t>
      </w:r>
      <w:proofErr w:type="gramStart"/>
      <w:r>
        <w:rPr>
          <w:rFonts w:ascii="宋体" w:eastAsia="宋体" w:hAnsi="宋体" w:cs="宋体" w:hint="eastAsia"/>
          <w:sz w:val="24"/>
        </w:rPr>
        <w:t>酬</w:t>
      </w:r>
      <w:proofErr w:type="gramEnd"/>
      <w:r>
        <w:rPr>
          <w:rFonts w:ascii="宋体" w:eastAsia="宋体" w:hAnsi="宋体" w:cs="宋体" w:hint="eastAsia"/>
          <w:sz w:val="24"/>
        </w:rPr>
        <w:t>制度和激励机制，不得克扣或无故拖欠员工薪酬。</w:t>
      </w:r>
    </w:p>
    <w:p w14:paraId="78A5A3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企业应当建立高级管理</w:t>
      </w:r>
      <w:proofErr w:type="gramStart"/>
      <w:r>
        <w:rPr>
          <w:rFonts w:ascii="宋体" w:eastAsia="宋体" w:hAnsi="宋体" w:cs="宋体" w:hint="eastAsia"/>
          <w:sz w:val="24"/>
        </w:rPr>
        <w:t>人员与员工薪</w:t>
      </w:r>
      <w:proofErr w:type="gramEnd"/>
      <w:r>
        <w:rPr>
          <w:rFonts w:ascii="宋体" w:eastAsia="宋体" w:hAnsi="宋体" w:cs="宋体" w:hint="eastAsia"/>
          <w:sz w:val="24"/>
        </w:rPr>
        <w:t>酬的正常增长机制，切实保持合理水平，维护社会公平。</w:t>
      </w:r>
    </w:p>
    <w:p w14:paraId="05720E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企业应当及时办理员工社会保险，足额缴纳社会保险费，保障员工依法享受社会保险待遇。</w:t>
      </w:r>
    </w:p>
    <w:p w14:paraId="039D69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企业应当按照有关规定做好健康管理工作，预防、控制和消除职业危害；按期对员工进行非职业性健康监护，对从事有职业危害作业的员工进行职业性健康监护。</w:t>
      </w:r>
    </w:p>
    <w:p w14:paraId="48DB1B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企业应当遵守法定的劳动时间和休息休假制度，确保员工的休息休假权利。</w:t>
      </w:r>
    </w:p>
    <w:p w14:paraId="18ACB6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企业应当加强职工代表大会和工会组织建设，维护员工合法权益，积极开展员工职业教育培训，创造平等发展机会。</w:t>
      </w:r>
    </w:p>
    <w:p w14:paraId="34D899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企业应当尊重员工人格，维护员工尊严，杜绝性别、民族、宗教、年龄等各种歧视，保障员工身心健康。</w:t>
      </w:r>
    </w:p>
    <w:p w14:paraId="748005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企业应当按照产学研用相结合的社会需求，积极创建实习基地，大力支持社会有关方面培养、锻炼社会需要的应用型人才。</w:t>
      </w:r>
    </w:p>
    <w:p w14:paraId="6E588BF3"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第二十一条 企业应当积极履行社会公益方面的责任和义务，关心帮助社会弱势群体，支持慈善事业。</w:t>
      </w:r>
    </w:p>
    <w:p w14:paraId="55FDEAFA"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68.《企业内部控制应用指引第5号--企业文化》</w:t>
      </w:r>
    </w:p>
    <w:p w14:paraId="092C62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p>
    <w:p w14:paraId="06D8D3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r>
        <w:rPr>
          <w:rFonts w:ascii="宋体" w:eastAsia="宋体" w:hAnsi="宋体" w:cs="宋体" w:hint="eastAsia"/>
          <w:sz w:val="24"/>
        </w:rPr>
        <w:tab/>
      </w:r>
    </w:p>
    <w:p w14:paraId="472890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7A4D8C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为了加强企业文化建设，发挥企业文化在企业发展中的重要作用，根据《企业内部控制基本规范》，制定本指引。</w:t>
      </w:r>
    </w:p>
    <w:p w14:paraId="0C1B81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本指引所称企业文化，是指企业在生产经营实践中逐步形成的、为整体团队所认同并遵守的价值观、经营理念和企业精神，以及在此基础上形成的行为规范的总称。</w:t>
      </w:r>
    </w:p>
    <w:p w14:paraId="163F0B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加强企业文化建设至少应当关注下列风险：</w:t>
      </w:r>
    </w:p>
    <w:p w14:paraId="0BA26B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缺乏积极向上的企业文化，可能导致员工丧失对企业的信心和认同感，企业缺乏凝聚力和竞争力。</w:t>
      </w:r>
    </w:p>
    <w:p w14:paraId="71156D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缺乏开拓创新、团队协作和风险意识，可能导致企业发展目标难以实现，影响可持续发展。</w:t>
      </w:r>
    </w:p>
    <w:p w14:paraId="5E188D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缺乏诚实守信的经营理念，可能导致舞弊事件的发生，造成企业损失，影响企业信誉。</w:t>
      </w:r>
    </w:p>
    <w:p w14:paraId="6EEF67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忽视企业间的文化差异和理念冲突，可能导致并购重组失败。</w:t>
      </w:r>
    </w:p>
    <w:p w14:paraId="7158F9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企业文化的建设</w:t>
      </w:r>
    </w:p>
    <w:p w14:paraId="7D641D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企业应当采取切实有效的措施，积极培育具有自身特色的企业文化，引导和规范员工行为，打造以主业为核心的企业品牌，形成整体团队的向心力，促进企业长远发展。</w:t>
      </w:r>
    </w:p>
    <w:p w14:paraId="04D0D1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企业应当培育体现企业特色的发展愿景、积极向上的价值观、诚实守信的经营理念、履行社会责任和开拓创新的企业精神，以及团队协作和风险防范意识。</w:t>
      </w:r>
    </w:p>
    <w:p w14:paraId="59EEB3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企业应当重视并购重组后的企业文化建设，平等对待被并购方的员工，促进并购双方的文化融合。</w:t>
      </w:r>
    </w:p>
    <w:p w14:paraId="355819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企业应当根据发展战略和实际情况，总结优良传统，挖掘文化底蕴，提炼核心价值，确定文化建设的目标和内容，形成企业文化规范，使其构成员工行为守则的重要组成部分。</w:t>
      </w:r>
    </w:p>
    <w:p w14:paraId="0FE733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董事、监事、经理和其他高级管理人员应当在企业文化建设中发挥主导和垂范作用，以自身的优秀品格和脚踏实地的工作作风，带动影响整个团队，共同营造积极向上的企业文化环境。</w:t>
      </w:r>
    </w:p>
    <w:p w14:paraId="33B160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企业应当促进文化建设在内部各层级的有效沟通，加强企业文化的宣传贯彻，确保全体员工共同遵守。</w:t>
      </w:r>
    </w:p>
    <w:p w14:paraId="36C70B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企业文化建设应当融入生产经营全过程，切实做到文化建设与发展战略的有机结合，增强员工的责任感和使命感，规范员工行为方式，使员工自身价值在企业发展中得到充分体现。</w:t>
      </w:r>
    </w:p>
    <w:p w14:paraId="0D1CEE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企业应当加强对员工的文化教育和熏陶，全面提升员工的文化修养和内在素质。</w:t>
      </w:r>
    </w:p>
    <w:p w14:paraId="29FFFA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企业文化的评估</w:t>
      </w:r>
    </w:p>
    <w:p w14:paraId="5C3882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企业应当建立企业文化评估制度，明确评估的内容、程序和方法，落实评估责任制，避免企业文化建设流于形式。</w:t>
      </w:r>
    </w:p>
    <w:p w14:paraId="7EED3F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文化评估，应当重点关注董事、监事、经理和其他高级管理人员在企业文化建设中的责任履行情况、全体员工对企业核心价值观的认同感、企业经营管理行为与企业文化的一致性、企业品牌的社会影响力、参与企业并购重组各方文化的融合度，以及员工对企业未来发展的信心。</w:t>
      </w:r>
    </w:p>
    <w:p w14:paraId="6E973625"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第十一条 企业应当重视企业文化的评估结果，巩固和发扬文化建设成果，针对评估过程中发现的问题，研究影响企业文化建设的不利因素，分析深层次的原因，及时采取措施加以改进。</w:t>
      </w:r>
    </w:p>
    <w:p w14:paraId="3A05248D"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69.《企业内部控制应用指引第6号--资金活动》</w:t>
      </w:r>
    </w:p>
    <w:p w14:paraId="7257F9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p>
    <w:p w14:paraId="340ACF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r>
        <w:rPr>
          <w:rFonts w:ascii="宋体" w:eastAsia="宋体" w:hAnsi="宋体" w:cs="宋体" w:hint="eastAsia"/>
          <w:sz w:val="24"/>
        </w:rPr>
        <w:tab/>
      </w:r>
    </w:p>
    <w:p w14:paraId="1DD010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52058C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为了促进企业正常组织资金活动，防范和控制资金风险，保证资金安全，提高资金使用效益，根据有关法律法规和《企业内部控制基本规范》，制定本指引。</w:t>
      </w:r>
    </w:p>
    <w:p w14:paraId="39E294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本指引所称资金活动，是指企业筹资、投资和资金营运等活动的总称。</w:t>
      </w:r>
    </w:p>
    <w:p w14:paraId="445F02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企业资金活动至少应当关注下列风险：</w:t>
      </w:r>
    </w:p>
    <w:p w14:paraId="0BE303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筹资决策不当，引发资本结构不合理或无效融资，可能导致企业筹资成本过高或债务危机。</w:t>
      </w:r>
    </w:p>
    <w:p w14:paraId="1EF955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投资决策失误，引发盲目扩张或丧失发展机遇，可能导致资金链断裂或资金使用效益低下。</w:t>
      </w:r>
    </w:p>
    <w:p w14:paraId="5E58B8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资金调度不合理、营运不畅，可能导致企业陷入财务困境或资金冗余。</w:t>
      </w:r>
    </w:p>
    <w:p w14:paraId="0C9880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资金活动管控不严，可能导致资金被挪用、侵占、抽逃或遭受欺诈。</w:t>
      </w:r>
    </w:p>
    <w:p w14:paraId="518352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根据自身发展战略，科学确定投融资目标和规划，完善严格的资金授权、批准、审验等相关管理制度，加强资金活动的集中归口管理，明确筹资、投资、营运等各环节的职责权限和岗位分离要求，定期或不定期检查和评价资金活动情况，落实责任追究制度，确保资金安全和有效运行。</w:t>
      </w:r>
    </w:p>
    <w:p w14:paraId="35F64E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企业财会部门负责资金活动的日常管理，参与投融资方案等可行性研究。总会计师或分管会计工作的负责人应当参与投融资决策过程。</w:t>
      </w:r>
    </w:p>
    <w:p w14:paraId="45246B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企业有子公司的，应当采取合法有效措施，强化对子公司资金业务的统一监</w:t>
      </w:r>
      <w:r>
        <w:rPr>
          <w:rFonts w:ascii="宋体" w:eastAsia="宋体" w:hAnsi="宋体" w:cs="宋体" w:hint="eastAsia"/>
          <w:sz w:val="24"/>
        </w:rPr>
        <w:lastRenderedPageBreak/>
        <w:t>控。有条件的企业集团，应当探索财务公司、资金结算中心等资金集中管控模式。</w:t>
      </w:r>
    </w:p>
    <w:p w14:paraId="21496C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筹资</w:t>
      </w:r>
    </w:p>
    <w:p w14:paraId="18D60A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企业应当根据筹资目标和规划，结合年度全面预算，拟订筹资方案，明确筹资用途、规模、结构和方式等相关内容，对筹资成本和潜在风险</w:t>
      </w:r>
      <w:proofErr w:type="gramStart"/>
      <w:r>
        <w:rPr>
          <w:rFonts w:ascii="宋体" w:eastAsia="宋体" w:hAnsi="宋体" w:cs="宋体" w:hint="eastAsia"/>
          <w:sz w:val="24"/>
        </w:rPr>
        <w:t>作出</w:t>
      </w:r>
      <w:proofErr w:type="gramEnd"/>
      <w:r>
        <w:rPr>
          <w:rFonts w:ascii="宋体" w:eastAsia="宋体" w:hAnsi="宋体" w:cs="宋体" w:hint="eastAsia"/>
          <w:sz w:val="24"/>
        </w:rPr>
        <w:t>充分估计。</w:t>
      </w:r>
    </w:p>
    <w:p w14:paraId="664E80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境外筹资还应考虑所在地的政治、经济、法律、市场等因素。</w:t>
      </w:r>
    </w:p>
    <w:p w14:paraId="6C946A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企业应当对筹资方案进行科学论证，不得依据未经论证的方案开展筹资活动。重大筹资方案应当形成可行性研究报告，全面反映风险评估情况。</w:t>
      </w:r>
    </w:p>
    <w:p w14:paraId="14B4D5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企业可以根据实际需要，聘请具有相应资质的专业机构进行可行性研究。</w:t>
      </w:r>
    </w:p>
    <w:p w14:paraId="7865ED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企业应当对筹资方案进行严格审批，重点关注筹资用途的可行性和相应的偿债能力。重大筹资方案，应当按照规定的权限和程序实行集体决策或者联签制度。</w:t>
      </w:r>
    </w:p>
    <w:p w14:paraId="794FDE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筹资方案需经有关部门批准的，应当履行相应的报批程序。筹资方案发生重大变更的，应当重新进行可行性研究并履行相应审批程序。</w:t>
      </w:r>
    </w:p>
    <w:p w14:paraId="08290C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应当根据批准的筹资方案，严格按照规定权限和程序筹集资金。银行借款或发行债券，应当重点关注利率风险、筹资成本、偿还能力以及流动性风险等；发行股票应当重点关注发行风险、市场风险、政策风险以及公司控制权风险等。</w:t>
      </w:r>
    </w:p>
    <w:p w14:paraId="29C917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企业通过银行借款方式筹资的，应当与有关金融机构进行洽谈，明确借款规模、利率、期限、担保、还款安排、相关的权利义务和违约责任等内容。双方达成一致意见后签署借款合同，据此办理相关借款业务。</w:t>
      </w:r>
    </w:p>
    <w:p w14:paraId="229E02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企业通过发行债券方式筹资的，应当合理选择债券种类，对还本付息方案</w:t>
      </w:r>
      <w:proofErr w:type="gramStart"/>
      <w:r>
        <w:rPr>
          <w:rFonts w:ascii="宋体" w:eastAsia="宋体" w:hAnsi="宋体" w:cs="宋体" w:hint="eastAsia"/>
          <w:sz w:val="24"/>
        </w:rPr>
        <w:t>作出</w:t>
      </w:r>
      <w:proofErr w:type="gramEnd"/>
      <w:r>
        <w:rPr>
          <w:rFonts w:ascii="宋体" w:eastAsia="宋体" w:hAnsi="宋体" w:cs="宋体" w:hint="eastAsia"/>
          <w:sz w:val="24"/>
        </w:rPr>
        <w:t>系统安排，确保按期、足额偿还到期本金和利息。</w:t>
      </w:r>
    </w:p>
    <w:p w14:paraId="22D084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通过发行股票方式筹资的，应当依照《中华人民共和国证券法》等有关法律法规和证券监管部门的规定，优化企业组织架构，进行业务整合，并选择具备相应资质的中介机构协助企业做好相关工作，确保符合股票发行条件和要求。</w:t>
      </w:r>
    </w:p>
    <w:p w14:paraId="347973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第九条 企业应当严格按照筹资方案确定的用途使用资金。筹资用于投资的，应当分别按照本指引第三章和《企业内部控制应用指引第11号 — 工程项目》规定，防范和控制资金使用的风险。</w:t>
      </w:r>
    </w:p>
    <w:p w14:paraId="3256BF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由于市场环境变化等确需改变资金用途的，应当履行相应的审批程序。严禁擅自改变资金用途。</w:t>
      </w:r>
    </w:p>
    <w:p w14:paraId="44FCCE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企业应当加强债务偿还和股利支付环节的管理，对偿还本息和支付股利等</w:t>
      </w:r>
      <w:proofErr w:type="gramStart"/>
      <w:r>
        <w:rPr>
          <w:rFonts w:ascii="宋体" w:eastAsia="宋体" w:hAnsi="宋体" w:cs="宋体" w:hint="eastAsia"/>
          <w:sz w:val="24"/>
        </w:rPr>
        <w:t>作出</w:t>
      </w:r>
      <w:proofErr w:type="gramEnd"/>
      <w:r>
        <w:rPr>
          <w:rFonts w:ascii="宋体" w:eastAsia="宋体" w:hAnsi="宋体" w:cs="宋体" w:hint="eastAsia"/>
          <w:sz w:val="24"/>
        </w:rPr>
        <w:t>适当安排。</w:t>
      </w:r>
    </w:p>
    <w:p w14:paraId="318B68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企业应当按照筹资方案或合同约定的本金、利率、期限、汇率及币种，准确计算应付利息，与债权人核对无误后按期支付。</w:t>
      </w:r>
    </w:p>
    <w:p w14:paraId="4C4652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企业应当选择合理的股利分配政策，兼顾投资者近期和长远利益，避免分配过度或不足。股利分配方案应当经过股东（大）会批准，并按规定履行披露义务。</w:t>
      </w:r>
    </w:p>
    <w:p w14:paraId="40C593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应当加强筹资业务的会计系统控制，建立筹资业务的记录、凭证和账簿，按照国家统一会计准则制度，正确核算和监督资金筹集、本息偿还、股利支付等相关业务，妥善保管筹资合同或协议、收款凭证、入库凭证等资料，定期与资金提供方进行账务核对，确保筹资活动符合筹资方案的要求。</w:t>
      </w:r>
    </w:p>
    <w:p w14:paraId="76C822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投资</w:t>
      </w:r>
    </w:p>
    <w:p w14:paraId="76DD35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企业应当根据投资目标和规划，合理安排资金投放结构，科学确定投资项目，拟订投资方案，重点关注投资项目的收益和风险。企业选择投资项目应当突出主业，谨慎从事股票投资或衍生金融产品等高风险投资。</w:t>
      </w:r>
    </w:p>
    <w:p w14:paraId="1F5530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境外投资还应考虑政治、经济、法律、市场等因素的影响。</w:t>
      </w:r>
    </w:p>
    <w:p w14:paraId="2233EC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企业采用并购方式进行投资的，应当严格控制并购风险，重点关注并购对象的隐性债务、承诺事项、可持续发展能力、员工状况及其与本企业治理层及管理层的关联关系，合理确定支付对价，确保实现并购目标。</w:t>
      </w:r>
    </w:p>
    <w:p w14:paraId="3D0231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企业应当加强对投资方案的可行性研究，重点对投资目标、规模、方式、资金来源、风险与收益等</w:t>
      </w:r>
      <w:proofErr w:type="gramStart"/>
      <w:r>
        <w:rPr>
          <w:rFonts w:ascii="宋体" w:eastAsia="宋体" w:hAnsi="宋体" w:cs="宋体" w:hint="eastAsia"/>
          <w:sz w:val="24"/>
        </w:rPr>
        <w:t>作出</w:t>
      </w:r>
      <w:proofErr w:type="gramEnd"/>
      <w:r>
        <w:rPr>
          <w:rFonts w:ascii="宋体" w:eastAsia="宋体" w:hAnsi="宋体" w:cs="宋体" w:hint="eastAsia"/>
          <w:sz w:val="24"/>
        </w:rPr>
        <w:t>客观评价。</w:t>
      </w:r>
    </w:p>
    <w:p w14:paraId="182061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企业根据实际需要，可以委托具备相应资质的专业机构进行可行性研究，提</w:t>
      </w:r>
      <w:r>
        <w:rPr>
          <w:rFonts w:ascii="宋体" w:eastAsia="宋体" w:hAnsi="宋体" w:cs="宋体" w:hint="eastAsia"/>
          <w:sz w:val="24"/>
        </w:rPr>
        <w:lastRenderedPageBreak/>
        <w:t>供独立的可行性研究报告。</w:t>
      </w:r>
    </w:p>
    <w:p w14:paraId="2D3E5C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企业应当按照规定的权限和程序对投资项目进行决策审批，重点审查投资方案是否可行、投资项目是否符合国家产业政策及相关法律法规的规定，是否符合企业投资战略目标和规划、是否具有相应的资金能力、投入资金能否按时收回、预期收益能否实现，以及投资和并购风险是否可控等。重大投资项目，应当按照规定的权限和程序实行集体决策或者联签制度。</w:t>
      </w:r>
    </w:p>
    <w:p w14:paraId="4C6561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投资方案需经有关管理部门批准的，应当履行相应的报批程序。投资方案发生重大变更的，应当重新进行可行性研究并履行相应审批程序。</w:t>
      </w:r>
    </w:p>
    <w:p w14:paraId="684D22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企业应当根据批准的投资方案，与被投资方签订投资合同或协议，明确出资时间、金额、方式、双方权利义务和违约责任等内容，按规定的权限和程序审批后履行投资合同或协议。</w:t>
      </w:r>
    </w:p>
    <w:p w14:paraId="7241F7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指定专门机构或人员对投资项目进行跟踪管理，及时收集被投资方经审计的财务报告等相关资料，定期组织投资效益分析，关注被投资方的财务状况、经营成果、现金流量以及投资合同履行情况，发现异常情况，应当及时报告并妥善处理。</w:t>
      </w:r>
    </w:p>
    <w:p w14:paraId="67CB55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企业应当加强对投资项目的会计系统控制，根据对被投资方的影响程度，合理确定投资会计政策，建立投资管理台账，详细记录投资对象、金额、持股比例、期限、收益等事项，妥善保管投资合同或协议、出资证明等资料。</w:t>
      </w:r>
    </w:p>
    <w:p w14:paraId="7EA293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企业财会部门对于被投资方出现财务状况恶化、市价当期大幅下跌等情形的，应当根据国家统一的会计准则制度规定，合理计提减值准备、确认减值损失。</w:t>
      </w:r>
    </w:p>
    <w:p w14:paraId="3DF9FF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企业应当加强投资收回和处置环节的控制，对投资收回、转让、核销等决策和审批程序</w:t>
      </w:r>
      <w:proofErr w:type="gramStart"/>
      <w:r>
        <w:rPr>
          <w:rFonts w:ascii="宋体" w:eastAsia="宋体" w:hAnsi="宋体" w:cs="宋体" w:hint="eastAsia"/>
          <w:sz w:val="24"/>
        </w:rPr>
        <w:t>作出</w:t>
      </w:r>
      <w:proofErr w:type="gramEnd"/>
      <w:r>
        <w:rPr>
          <w:rFonts w:ascii="宋体" w:eastAsia="宋体" w:hAnsi="宋体" w:cs="宋体" w:hint="eastAsia"/>
          <w:sz w:val="24"/>
        </w:rPr>
        <w:t>明确规定。</w:t>
      </w:r>
    </w:p>
    <w:p w14:paraId="3AD6A3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重视投资到期本金的回收。转让投资应当由相关机构或人员合理确定转让价格，报授权批准部门批准，必要时可委托具有相应资质的专门机构进行评估。核销投资应当取得不能收回投资的法律文书和相关证明文件。</w:t>
      </w:r>
    </w:p>
    <w:p w14:paraId="575C8A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企业对于到期无法收回的投资，应当建立责任追究制度。</w:t>
      </w:r>
    </w:p>
    <w:p w14:paraId="143F04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第四章 营运</w:t>
      </w:r>
    </w:p>
    <w:p w14:paraId="50A7FC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企业应当加强资金营运全过程的管理，统筹协调内部各机构在生产经营过程中的资金需求，切实做好资金在采购、生产、销售等各环节的综合平衡，全面提升资金营运效率。</w:t>
      </w:r>
    </w:p>
    <w:p w14:paraId="5799ED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企业应当充分发挥全面预算管理在资金综合平衡中的作用，严格按照预算要求组织协调资金调度，确保资金及时收付，实现资金的合理占用和营运良性循环。</w:t>
      </w:r>
    </w:p>
    <w:p w14:paraId="472C09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企业应当严禁资金的体外循环，切实防范资金营运中的风险。</w:t>
      </w:r>
    </w:p>
    <w:p w14:paraId="7F7811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企业应当定期组织召开资金调度会或资金安全检查，对资金预算执行情况进行综合分析，发现异常情况，及时采取措施妥善处理，避免资金冗余或资金链断裂。</w:t>
      </w:r>
    </w:p>
    <w:p w14:paraId="3C40CE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企业在营运过程中出现临时性资金短缺的，可以通过短期融资等方式获取资金。资金出现短期闲置的，在保证安全性和流动性的前提下，可以通过购买国债等多种方式，提高资金效益。</w:t>
      </w:r>
    </w:p>
    <w:p w14:paraId="1D315B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企业应当加强对营运资金的会计系统控制，严格规范资金的收支条件、程序和审批权限。</w:t>
      </w:r>
    </w:p>
    <w:p w14:paraId="09A152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企业在生产经营及其他业务活动中取得的资金收入应当及时入账，不得</w:t>
      </w:r>
      <w:proofErr w:type="gramStart"/>
      <w:r>
        <w:rPr>
          <w:rFonts w:ascii="宋体" w:eastAsia="宋体" w:hAnsi="宋体" w:cs="宋体" w:hint="eastAsia"/>
          <w:sz w:val="24"/>
        </w:rPr>
        <w:t>账</w:t>
      </w:r>
      <w:proofErr w:type="gramEnd"/>
      <w:r>
        <w:rPr>
          <w:rFonts w:ascii="宋体" w:eastAsia="宋体" w:hAnsi="宋体" w:cs="宋体" w:hint="eastAsia"/>
          <w:sz w:val="24"/>
        </w:rPr>
        <w:t>外设账，严禁收款不入账、设立“小金库”。</w:t>
      </w:r>
    </w:p>
    <w:p w14:paraId="0CE498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企业办理资金支付业务，应当明确支出款项的用途、金额、预算、限额、支付方式等内容，并附原始单据或相关证明，履行严格的授权审批程序后，方可安排资金支出。</w:t>
      </w:r>
    </w:p>
    <w:p w14:paraId="38C43C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企业办理资金收</w:t>
      </w:r>
      <w:proofErr w:type="gramStart"/>
      <w:r>
        <w:rPr>
          <w:rFonts w:ascii="宋体" w:eastAsia="宋体" w:hAnsi="宋体" w:cs="宋体" w:hint="eastAsia"/>
          <w:sz w:val="24"/>
        </w:rPr>
        <w:t>付业务</w:t>
      </w:r>
      <w:proofErr w:type="gramEnd"/>
      <w:r>
        <w:rPr>
          <w:rFonts w:ascii="宋体" w:eastAsia="宋体" w:hAnsi="宋体" w:cs="宋体" w:hint="eastAsia"/>
          <w:sz w:val="24"/>
        </w:rPr>
        <w:t>，应当遵守现金和银行存款管理的有关规定，不得由一人办理货币资金全过程业务，严禁将办理资金支付业务的相关印章和票据集中一人保管。</w:t>
      </w:r>
    </w:p>
    <w:p w14:paraId="5B4E795C"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6C92A9DE"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70.《企业内部控制应用指引第7号--采购业务》</w:t>
      </w:r>
    </w:p>
    <w:p w14:paraId="518B95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p>
    <w:p w14:paraId="72F7C4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r>
        <w:rPr>
          <w:rFonts w:ascii="宋体" w:eastAsia="宋体" w:hAnsi="宋体" w:cs="宋体" w:hint="eastAsia"/>
          <w:sz w:val="24"/>
        </w:rPr>
        <w:tab/>
      </w:r>
    </w:p>
    <w:p w14:paraId="26480C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3511B0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为了促进企业合理采购，满足生产经营需要，规范采购行为，防范采购风险，根据有关法律法规和《企业内部控制基本规范》，制定本指引。</w:t>
      </w:r>
    </w:p>
    <w:p w14:paraId="0299DA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本指引所称采购，是指购买物资（或接受劳务）及支付款项等相关活动。</w:t>
      </w:r>
    </w:p>
    <w:p w14:paraId="635692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企业采购业务至少应当关注下列风险：</w:t>
      </w:r>
    </w:p>
    <w:p w14:paraId="0B3D57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采购计划安排不合理，市场变化趋势预测不准确，造成库存短缺或积压，可能导致企业生产停滞或资源浪费。</w:t>
      </w:r>
    </w:p>
    <w:p w14:paraId="4B5BD8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供应商选择不当，采购方式不合理，招投标或定价机制不科学，授权审批不规范，可能导致采购物资质次价高，出现舞弊或遭受欺诈。</w:t>
      </w:r>
    </w:p>
    <w:p w14:paraId="1D824E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采购验收不规范，付款审核不严，可能导致采购物资、资金损失或信用受损。</w:t>
      </w:r>
    </w:p>
    <w:p w14:paraId="2B03ED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结合实际情况，全面梳理采购业务流程，完善采购业务相关管理制度，统筹安排采购计划，明确请购、审批、购买、验收、付款、采购后评估等环节的职责和审批权限，按照规定的审批权限和程序办理采购业务，建立价格监督机制，定期检查和评价采购过程中的薄弱环节，采取有效控制措施，确保物资采购满足企业生产经营需要。</w:t>
      </w:r>
    </w:p>
    <w:p w14:paraId="50CDFE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购买</w:t>
      </w:r>
    </w:p>
    <w:p w14:paraId="09A249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企业的采购业务应当集中，避免多头采购或分散采购，以提高采购业务效率，降低采购成本，堵塞管理漏洞。企业应当对办理采购业务的人员定期进行岗位轮换。重要和技术性较强的采购业务，应当组织相关专家进行论证，实</w:t>
      </w:r>
      <w:r>
        <w:rPr>
          <w:rFonts w:ascii="宋体" w:eastAsia="宋体" w:hAnsi="宋体" w:cs="宋体" w:hint="eastAsia"/>
          <w:sz w:val="24"/>
        </w:rPr>
        <w:lastRenderedPageBreak/>
        <w:t>行集体决策和审批。</w:t>
      </w:r>
    </w:p>
    <w:p w14:paraId="31E9EE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企业除小额零星物资或服务外，不得安排同一机构办理采购业务全过程。</w:t>
      </w:r>
    </w:p>
    <w:p w14:paraId="7674E6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企业应当建立采购申请制度，依据购买物资或接受劳务的类型，确定归口管理部门，授予相应的请购权，明确相关部门或人员的职责权限及相应的请购和审批程序。</w:t>
      </w:r>
    </w:p>
    <w:p w14:paraId="7DAFAC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企业可以根据实际需要设置专门的请购部门，对需求部门提出的采购需求进行审核，并进行归类汇总，统筹安排企业的采购计划。</w:t>
      </w:r>
    </w:p>
    <w:p w14:paraId="578368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具有请购权的部门对于预算内采购项目，应当严格按照预算执行进度办理请购手续，并根据市场变化提出合理采购申请。对于超预算和预算外采购项目，应先履行预算调整程序，由具备相应审批权限的部门或人员审批后，再行办理请购手续。</w:t>
      </w:r>
    </w:p>
    <w:p w14:paraId="675CBC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应当建立科学的供应商评估和准入制度，确定合格供应商清单，与选定的供应商签订质量保证协议，建立供应商管理信息系统，对供应商提供物资或劳务的质量、价格、交货及时性、供货条件及其资信、经营状况等进行实时管理和综合评价，根据评价结果对供应商进行合理选择和调整。</w:t>
      </w:r>
    </w:p>
    <w:p w14:paraId="6BAA70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企业可委托具有相应资质的中介机构对供应商进行资信调查。</w:t>
      </w:r>
    </w:p>
    <w:p w14:paraId="04A978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应当根据市场情况和采购计划合理选择采购方式。大宗采购应当采用招标方式，合理确定招投标的范围、标准、实施程序和评标规则；一般物资或劳务等的采购可以采用询价或定向采购的方式并签订合同协议；小额零星物资或劳务等的采购可以采用直接购买等方式。</w:t>
      </w:r>
    </w:p>
    <w:p w14:paraId="74881B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企业应当建立采购物资定价机制，采取协议采购、招标采购、谈判采购、</w:t>
      </w:r>
      <w:proofErr w:type="gramStart"/>
      <w:r>
        <w:rPr>
          <w:rFonts w:ascii="宋体" w:eastAsia="宋体" w:hAnsi="宋体" w:cs="宋体" w:hint="eastAsia"/>
          <w:sz w:val="24"/>
        </w:rPr>
        <w:t>询</w:t>
      </w:r>
      <w:proofErr w:type="gramEnd"/>
      <w:r>
        <w:rPr>
          <w:rFonts w:ascii="宋体" w:eastAsia="宋体" w:hAnsi="宋体" w:cs="宋体" w:hint="eastAsia"/>
          <w:sz w:val="24"/>
        </w:rPr>
        <w:t>比价采购等多种方式合理确定采购价格，最大限度地减小市场变化对企业采购价格的影响。</w:t>
      </w:r>
    </w:p>
    <w:p w14:paraId="2482D2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大宗采购等应当采用招投标方式确定采购价格，其他商品或劳务的采购，应当根据市场行情制定最高采购限价，并对最高采购限价适时调整。</w:t>
      </w:r>
    </w:p>
    <w:p w14:paraId="49D1B6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企业应当根据确定的供应商、采购方式、采购价格等情况拟订采购</w:t>
      </w:r>
      <w:r>
        <w:rPr>
          <w:rFonts w:ascii="宋体" w:eastAsia="宋体" w:hAnsi="宋体" w:cs="宋体" w:hint="eastAsia"/>
          <w:sz w:val="24"/>
        </w:rPr>
        <w:lastRenderedPageBreak/>
        <w:t>合同，准确描述合同条款，明确双方权利、义务和违约责任，按照规定权限签订采购合同。</w:t>
      </w:r>
    </w:p>
    <w:p w14:paraId="0D4732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企业应当根据生产建设进度和采购物资特性，选择合理的运输工具和运输方式，办理运输、投保等事宜。</w:t>
      </w:r>
    </w:p>
    <w:p w14:paraId="7F746A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企业应当建立严格的采购验收制度，确定检验方式，由专门的验收机构或验收人员对采购项目的品种、规格、数量、质量等相关内容进行验收，出具验收证明。涉及大宗和新、</w:t>
      </w:r>
      <w:proofErr w:type="gramStart"/>
      <w:r>
        <w:rPr>
          <w:rFonts w:ascii="宋体" w:eastAsia="宋体" w:hAnsi="宋体" w:cs="宋体" w:hint="eastAsia"/>
          <w:sz w:val="24"/>
        </w:rPr>
        <w:t>特</w:t>
      </w:r>
      <w:proofErr w:type="gramEnd"/>
      <w:r>
        <w:rPr>
          <w:rFonts w:ascii="宋体" w:eastAsia="宋体" w:hAnsi="宋体" w:cs="宋体" w:hint="eastAsia"/>
          <w:sz w:val="24"/>
        </w:rPr>
        <w:t>物资采购的，还应进行专业测试。</w:t>
      </w:r>
    </w:p>
    <w:p w14:paraId="3014E8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验收过程中发现的异常情况，负责验收的机构或人员应当立即向企业有权管理的相关机构报告，相关机构应当查明原因并及时处理。</w:t>
      </w:r>
    </w:p>
    <w:p w14:paraId="2D314B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企业应当加强物资采购供应过程的管理，依据采购合同中确定的主要条款跟踪合同履行情况，对有可能影响生产或工程进度的异常情况，应出具书面报告并及时提出解决方案。</w:t>
      </w:r>
    </w:p>
    <w:p w14:paraId="57336A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企业应当做好采购业务各环节的记录，实行全过程的采购登记制度或信息化管理，确保采购过程的可追溯性。</w:t>
      </w:r>
    </w:p>
    <w:p w14:paraId="6A8A80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付款</w:t>
      </w:r>
    </w:p>
    <w:p w14:paraId="5E7E13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企业应当加强采购付款的管理，完善付款流程，明确付款审核人的责任和权力，严格审核采购预算、合同、相关单据凭证、审批程序等相关内容，审核无误后按照合同规定及时办理付款。</w:t>
      </w:r>
    </w:p>
    <w:p w14:paraId="25CA42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企业在付款过程中，应当严格审查采购发票的真实性、合法性和有效性。发现虚假发票的，应查明原因，及时报告处理。</w:t>
      </w:r>
    </w:p>
    <w:p w14:paraId="5B64A2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企业应当重视采购付款的过程控制和跟踪管理，发现异常情况的，应当拒绝付款，避免出现资金损失和信用受损。</w:t>
      </w:r>
    </w:p>
    <w:p w14:paraId="3EB714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企业应当合理选择付款方式，并严格遵循合同规定，防范付款方式不当带来的法律风险，保证资金安全。</w:t>
      </w:r>
    </w:p>
    <w:p w14:paraId="10A2C5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企业应当加强预付账款和定金的管理。涉及大额或长期的预付款项，应当定期进行追踪核查，综合分析预付账款的期限、占用款项的合理性、不</w:t>
      </w:r>
      <w:r>
        <w:rPr>
          <w:rFonts w:ascii="宋体" w:eastAsia="宋体" w:hAnsi="宋体" w:cs="宋体" w:hint="eastAsia"/>
          <w:sz w:val="24"/>
        </w:rPr>
        <w:lastRenderedPageBreak/>
        <w:t>可收回风险等情况，发现有疑问的预付款项，应当及时采取措施。</w:t>
      </w:r>
    </w:p>
    <w:p w14:paraId="4F88B6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企业应当加强对购买、验收、付款业务的会计系统控制，详细记录供应商情况、请购申请、采购合同、采购通知、验收证明、入库凭证、商业票据、款项支付等情况，确保会计记录、采购记录与仓储记录核对一致。</w:t>
      </w:r>
    </w:p>
    <w:p w14:paraId="4ADDB4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企业应当指定专人</w:t>
      </w:r>
      <w:proofErr w:type="gramStart"/>
      <w:r>
        <w:rPr>
          <w:rFonts w:ascii="宋体" w:eastAsia="宋体" w:hAnsi="宋体" w:cs="宋体" w:hint="eastAsia"/>
          <w:sz w:val="24"/>
        </w:rPr>
        <w:t>通过函证等</w:t>
      </w:r>
      <w:proofErr w:type="gramEnd"/>
      <w:r>
        <w:rPr>
          <w:rFonts w:ascii="宋体" w:eastAsia="宋体" w:hAnsi="宋体" w:cs="宋体" w:hint="eastAsia"/>
          <w:sz w:val="24"/>
        </w:rPr>
        <w:t>方式，定期与供应商核对应付账款、应付票据、预付账款等往来款项。</w:t>
      </w:r>
    </w:p>
    <w:p w14:paraId="36646FFF"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第十六条 企业应当建立退货管理制度，对退货条件、退货手续、货物出库、退货货款回收等</w:t>
      </w:r>
      <w:proofErr w:type="gramStart"/>
      <w:r>
        <w:rPr>
          <w:rFonts w:ascii="宋体" w:eastAsia="宋体" w:hAnsi="宋体" w:cs="宋体" w:hint="eastAsia"/>
          <w:sz w:val="24"/>
        </w:rPr>
        <w:t>作出</w:t>
      </w:r>
      <w:proofErr w:type="gramEnd"/>
      <w:r>
        <w:rPr>
          <w:rFonts w:ascii="宋体" w:eastAsia="宋体" w:hAnsi="宋体" w:cs="宋体" w:hint="eastAsia"/>
          <w:sz w:val="24"/>
        </w:rPr>
        <w:t>明确规定，并在与供应商的合同中明确退货事宜，及时收回退货货款。涉及符合索赔条件的退货，应在索赔期内及时办理索赔。</w:t>
      </w:r>
    </w:p>
    <w:p w14:paraId="46295D42"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71.《企业内部控制应用指引第8号--资产管理》</w:t>
      </w:r>
    </w:p>
    <w:p w14:paraId="3BEB7B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p>
    <w:p w14:paraId="53F664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p>
    <w:p w14:paraId="2E837C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053EC7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为了提高资产使用效能，保证资产安全，根据有关法律法规和《企业内部控制基本规范》，制定本指引。</w:t>
      </w:r>
    </w:p>
    <w:p w14:paraId="547EF3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本指引所称资产，是指企业拥有或控制的存货、固定资产和无形资产。</w:t>
      </w:r>
    </w:p>
    <w:p w14:paraId="255892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企业资产管理至少应当关注下列风险：</w:t>
      </w:r>
    </w:p>
    <w:p w14:paraId="51F2EB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存货积压或短缺，可能导致流动资金占用过量、存货价值贬损或生产中断。</w:t>
      </w:r>
    </w:p>
    <w:p w14:paraId="6F4CC2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固定资产更新改造不够、使用效能低下、维护不当、产能过剩，可能导致企业缺乏竞争力、资产价值贬损、安全事故频发或资源浪费。</w:t>
      </w:r>
    </w:p>
    <w:p w14:paraId="6EDF0B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无形资产缺乏核心技术、权属不清、技术落后、存在重大技术安全隐患，可能导致企业法律纠纷、缺乏可持续发展能力。</w:t>
      </w:r>
    </w:p>
    <w:p w14:paraId="7DD40A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企业应当加强各项资产管理，全面梳理资产管理流程，及时发现资产管理中的薄弱环节，切实采取有效措施加以改进，并关注资产减值迹象，合理确认资产减值损失，不断提高企业资产管理水平。</w:t>
      </w:r>
    </w:p>
    <w:p w14:paraId="4AA164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企业应当重视和加强各项资产的投保工作，采用招标等方式确定保险人，降低资产损失风险，防范资产投保舞弊。</w:t>
      </w:r>
    </w:p>
    <w:p w14:paraId="2C9D09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存货</w:t>
      </w:r>
    </w:p>
    <w:p w14:paraId="1F7FEE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企业应当采用先进的存货管理技术和方法，规范存货管理流程，明确存货取得、验收入库、原料加工、仓储保管、领用发出、盘点处置等环节的管理要求，充分利用信息系统，强化会计、出入库等相关记录，确保存货管理全过</w:t>
      </w:r>
      <w:r>
        <w:rPr>
          <w:rFonts w:ascii="宋体" w:eastAsia="宋体" w:hAnsi="宋体" w:cs="宋体" w:hint="eastAsia"/>
          <w:sz w:val="24"/>
        </w:rPr>
        <w:lastRenderedPageBreak/>
        <w:t>程的风险得到有效控制。</w:t>
      </w:r>
    </w:p>
    <w:p w14:paraId="09FE8A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企业应当建立存货管理岗位责任制，明确内部相关部门和岗位的职责权限，切实做到不相容岗位相互分离、制约和监督。</w:t>
      </w:r>
    </w:p>
    <w:p w14:paraId="0523F4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企业内部除存货管理、监督部门及仓储人员外，其他部门和人员接触存货，应当经过相关部门特别授权。</w:t>
      </w:r>
    </w:p>
    <w:p w14:paraId="4F563D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企业应当重视存货验收工作，规范存货验收程序和方法，对入库存货的数量、质量、技术规格等方面进行查验，验收无误方可入库。</w:t>
      </w:r>
    </w:p>
    <w:p w14:paraId="3A7AEE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外购存货的验收，应当重点关注合同、发票等原始单据与存货的数量、质量、规格等核对一致。涉及技术含量较高的货物，必要时可委托具有检验资质的机构或聘请外部专家协助验收。</w:t>
      </w:r>
    </w:p>
    <w:p w14:paraId="191A50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自制存货的验收，应当重点关注产品质量，通过检验合格的半成品、产成品才能办理入库手续，不合格品应及时查明原因、落实责任、报告处理。</w:t>
      </w:r>
    </w:p>
    <w:p w14:paraId="2197A3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其他方式取得存货的验收，应当重点关注存货来源、质量状况、实际价值是否符合有关合同或协议的约定。</w:t>
      </w:r>
    </w:p>
    <w:p w14:paraId="5170B3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企业应当建立存货保管制度，定期对存货进行检查，重点关注下列事项：</w:t>
      </w:r>
    </w:p>
    <w:p w14:paraId="6BB126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存货在不同仓库之间流动时应当办理出入库手续。</w:t>
      </w:r>
    </w:p>
    <w:p w14:paraId="06179C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应当按仓储物资所要求的储存条件贮存，并健全防火、防洪、防盗、防潮、防病虫害和防变质等管理规范。</w:t>
      </w:r>
    </w:p>
    <w:p w14:paraId="52E1D1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加强生产现场的材料、周转材料、半成品等物资的管理，防止浪费、被盗和流失。</w:t>
      </w:r>
    </w:p>
    <w:p w14:paraId="3C3DF1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对代管、代销、暂存、受托加工的存货，应单独存放和记录，避免与本单位存货混淆。</w:t>
      </w:r>
    </w:p>
    <w:p w14:paraId="2F58DF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结合企业实际情况，加强存货的保险投保，保证存货安全，合理降低存货意外损失风险。</w:t>
      </w:r>
    </w:p>
    <w:p w14:paraId="7F8AA5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第九条 企业应当明确存货发出和领用的审批权限，大批存货、贵重商品或危险品的发出应当实行特别授权。仓储部门应当根据经审批的销售（出库）通知单发出货物。</w:t>
      </w:r>
    </w:p>
    <w:p w14:paraId="050B5A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企业仓储部门应当详细记录存货入库、出库及库存情况，做到存货记录与实际库存相符，并定期与财会部门、存货管理部门进行核对。</w:t>
      </w:r>
    </w:p>
    <w:p w14:paraId="1F9C84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企业应当根据各种存货采购间隔期和当前库存，综合考虑企业生产经营计划、市场供求等因素，充分利用信息系统，合理确定存货采购日期和数量，确保存货处于最佳库存状态。</w:t>
      </w:r>
    </w:p>
    <w:p w14:paraId="529F4F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企业应当建立存货盘点清查制度，结合本企业实际情况确定盘点周期、盘点流程等相关内容，核查存货数量，及时发现存货减值迹象。企业至少应当于每年年度终了开展全面盘点清查，盘点清查结果应当形成书面报告。</w:t>
      </w:r>
    </w:p>
    <w:p w14:paraId="44C6BA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盘点清查中发现的存货盘盈、盘亏、毁损、闲置以及需要报废的存货，应当查明原因、落实并追究责任，按照规定权限批准后处置。</w:t>
      </w:r>
    </w:p>
    <w:p w14:paraId="16F75B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固定资产</w:t>
      </w:r>
    </w:p>
    <w:p w14:paraId="2A7197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企业应当加强房屋建筑物、机器设备等各类固定资产的管理，重视固定资产维护和更新改造，不断提升固定资产的使用效能，积极促进固定资产处于良好运行状态。</w:t>
      </w:r>
    </w:p>
    <w:p w14:paraId="62D788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企业应当制定固定资产目录，对每项固定资产进行编号，按照单项资产建立固定资产卡片，详细记录各项固定资产的来源、验收、使用地点、责任单位和责任人、运转、维修、改造、折旧、盘点等相关内容。</w:t>
      </w:r>
    </w:p>
    <w:p w14:paraId="01A60C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企业应当严格执行固定资产日常维修和大修理计划，定期对固定资产进行维护保养，切实消除安全隐患。</w:t>
      </w:r>
    </w:p>
    <w:p w14:paraId="5A2A75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企业应当强化对生产线等关键设备运转的监控，严格操作流程，实行岗前培训和岗位许可制度，确保设备安全运转。</w:t>
      </w:r>
    </w:p>
    <w:p w14:paraId="29F4CE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企业应当根据发展战略，充分利用国家有关自主创新政策，加大技改投入，不断促进固定资产技术升级，淘汰落后设备，切实做到保持本企业固</w:t>
      </w:r>
      <w:r>
        <w:rPr>
          <w:rFonts w:ascii="宋体" w:eastAsia="宋体" w:hAnsi="宋体" w:cs="宋体" w:hint="eastAsia"/>
          <w:sz w:val="24"/>
        </w:rPr>
        <w:lastRenderedPageBreak/>
        <w:t>定资产技术的先进性和企业发展的可持续性。</w:t>
      </w:r>
    </w:p>
    <w:p w14:paraId="2FB131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企业应当严格执行固定资产投保政策，对应投保的固定资产项目按规定程序进行审批，及时办理投保手续。</w:t>
      </w:r>
    </w:p>
    <w:p w14:paraId="3BB888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企业应当规范固定资产抵押管理，确定固定资产抵押程序和审批权限等。</w:t>
      </w:r>
    </w:p>
    <w:p w14:paraId="3152D7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企业将固定资产用作抵押的，应由相关部门提出申请，经企业授权部门或人员批准后，由资产管理部门办理抵押手续。</w:t>
      </w:r>
    </w:p>
    <w:p w14:paraId="52206E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企业应当加强对接收的抵押资产的管理，编制专门的资产目录，合理评估抵押资产的价值。</w:t>
      </w:r>
    </w:p>
    <w:p w14:paraId="4133A4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企业应当建立固定资产清查制度，至少每年进行全面清查。对固定资产清查中发现的问题，应当查明原因，追究责任，妥善处理。</w:t>
      </w:r>
    </w:p>
    <w:p w14:paraId="753FCA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企业应当加强固定资产处置的控制，关注固定资产处置中的关联交易和处置定价，防范资产流失。</w:t>
      </w:r>
    </w:p>
    <w:p w14:paraId="2B5975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无形资产</w:t>
      </w:r>
    </w:p>
    <w:p w14:paraId="21FFF2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企业应当加强对品牌、商标、专利、专有技术、土地使用权等无形资产的管理，分类制定无形资产管理办法，落实无形资产管理责任制，促进无形资产有效利用，充分发挥无形资产对提升企业核心竞争力的作用。</w:t>
      </w:r>
    </w:p>
    <w:p w14:paraId="7304F7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企业应当全面梳理外购、自行开发以及其他方式取得的各类无形资产的权属关系，加强无形资产权益保护，防范侵权行为和法律风险。无形资产具有保密性质的，应当采取严格保密措施，严防泄露商业秘密。</w:t>
      </w:r>
    </w:p>
    <w:p w14:paraId="208A50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企业购入或者以支付土地出让金等方式取得的土地使用权，应当取得土地使用权有效证明文件。</w:t>
      </w:r>
    </w:p>
    <w:p w14:paraId="754628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企业应当定期对专利、专有技术等无形资产的先进性进行评估，淘汰落后技术，加大研发投入，促进技术更新换代，不断提升自主创新能力，努力做到核心技术处于同行业领先水平。</w:t>
      </w:r>
    </w:p>
    <w:p w14:paraId="1F8722A5"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lastRenderedPageBreak/>
        <w:t>第二十二条 企业应当重视品牌建设，加强商誉管理，通过提供高质量产品和优质服务等多种方式，不断打造和培育主业品牌，切实维护和提升企业品牌的社会认可度。</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1E48E9E3"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72.《企业内部控制应用指引第9号——销售业务》</w:t>
      </w:r>
    </w:p>
    <w:p w14:paraId="6E416A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发文机构：财政部、中国证券监督管理委员会、审计署、中国银行业监督管理委员会(已撤销)、中国保险监督管理委员会(已撤销)</w:t>
      </w:r>
    </w:p>
    <w:p w14:paraId="5E8E64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文号：财会〔2010〕11号</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17B5D6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35E107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为了促进企业销售稳定增长，扩大市场份额，规范销售行为，防范销售风险，根据有关法律法规和《企业内部控制基本规范》，制定本指引。</w:t>
      </w:r>
    </w:p>
    <w:p w14:paraId="14EFC9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本指引所称销售，是指企业出售商品（或提供劳务）及收取款项等相关活动。</w:t>
      </w:r>
    </w:p>
    <w:p w14:paraId="4E2208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企业销售业务至少应当关注下列风险：</w:t>
      </w:r>
    </w:p>
    <w:p w14:paraId="0ABE1E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销售政策和策略不当，市场预测不准确，销售渠道管理不当等，可能导致销售不畅、库存积压、经营难以为继。</w:t>
      </w:r>
    </w:p>
    <w:p w14:paraId="3A98A4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客户信用管理不到位，结算方式选择不当，账款回收不力等，可能导致销售款项不能收回或遭受欺诈。</w:t>
      </w:r>
    </w:p>
    <w:p w14:paraId="0CF066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销售过程存在舞弊行为，可能导致企业利益受损。</w:t>
      </w:r>
    </w:p>
    <w:p w14:paraId="7DA342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企业应当结合实际情况，全面梳理销售业务流程，完善销售业务相关管理制度，确定适当的销售政策和策略，明确销售、发货、收款等环节的职责和审批权限，按照规定的权限和程序办理销售业务，定期检查分析销售过程中的薄弱环节，采取有效控制措施，确保实现销售目标。</w:t>
      </w:r>
    </w:p>
    <w:p w14:paraId="7B39EA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销售</w:t>
      </w:r>
    </w:p>
    <w:p w14:paraId="77E838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企业应当加强市场调查，合理确定定价机制和信用方式，根据市场变化及时调整销售策略，灵活运用销售折扣、销售折让、信用销售、代销和广告宣传等多种策略和营销方式，促进销售目标实现，不断提高市场占有率。</w:t>
      </w:r>
    </w:p>
    <w:p w14:paraId="22C2FA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企业应当健全客户信用档案，关注重要客户资信变动情况，采取有效措施，</w:t>
      </w:r>
      <w:r>
        <w:rPr>
          <w:rFonts w:ascii="宋体" w:eastAsia="宋体" w:hAnsi="宋体" w:cs="宋体" w:hint="eastAsia"/>
          <w:sz w:val="24"/>
        </w:rPr>
        <w:lastRenderedPageBreak/>
        <w:t>防范信用风险。</w:t>
      </w:r>
    </w:p>
    <w:p w14:paraId="2D0CB4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企业对于境外客户和新开发客户，应当建立严格的信用保证制度。</w:t>
      </w:r>
    </w:p>
    <w:p w14:paraId="5B6276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企业在销售合同订立前，应当与客户进行业务洽谈、磋商或谈判，关注客户信用状况、销售定价、结算方式等相关内容。</w:t>
      </w:r>
    </w:p>
    <w:p w14:paraId="6B76B0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重大的销售业务谈判应当吸收财会、法律等专业人员参加，并形成完整的书面记录。</w:t>
      </w:r>
    </w:p>
    <w:p w14:paraId="43589C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销售合同应当明确双方的权利和义务，审批人员应当对销售合同草案进行严格审核。重要的销售合同，应当征询法律顾问或专家的意见。</w:t>
      </w:r>
    </w:p>
    <w:p w14:paraId="3977D3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企业销售部门应当按照经批准的销售合同开具相关销售通知。发货和仓储部门应当对销售通知进行审核，严格按照所列项目组织发货，确保货物的安全发运。企业应当加强销售退回管理，分析销售退回原因，及时妥善处理。</w:t>
      </w:r>
    </w:p>
    <w:p w14:paraId="44F043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企业应当严格按照发票管理规定开具销售发票。严禁开具虚假发票。</w:t>
      </w:r>
    </w:p>
    <w:p w14:paraId="5064D0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企业应当做好销售业务各环节的记录，填制相应的凭证，设置销售台账，实行全过程的销售登记制度。</w:t>
      </w:r>
    </w:p>
    <w:p w14:paraId="46A498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企业应当完善客户服务制度，加强客户服务和跟踪，提升客户满意度和忠诚度，不断改进产品质量和服务水平。</w:t>
      </w:r>
    </w:p>
    <w:p w14:paraId="336F52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收款</w:t>
      </w:r>
    </w:p>
    <w:p w14:paraId="50B3B2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企业应当完善应收款项管理制度，严格考核，实行奖惩。</w:t>
      </w:r>
    </w:p>
    <w:p w14:paraId="18D784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销售部门负责应收款项的催收，催收记录（包括往来函电）应妥善保存；财会部门负责办理资金结算并监督款项回收。</w:t>
      </w:r>
    </w:p>
    <w:p w14:paraId="1F0CAC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企业应当加强商业票据管理，明确商业票据的受理范围，严格审查商业票据的真实性和合法性，防止票据欺诈。</w:t>
      </w:r>
    </w:p>
    <w:p w14:paraId="44440E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企业应当关注商业票据的取得、贴现和背书，对已贴现但仍承担收款风险的票据以及逾期票据，应当进行追索监控和跟踪管理。</w:t>
      </w:r>
    </w:p>
    <w:p w14:paraId="01EBA7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企业应当加强对销售、发货、收款业务的会计系统控制，详细记</w:t>
      </w:r>
      <w:r>
        <w:rPr>
          <w:rFonts w:ascii="宋体" w:eastAsia="宋体" w:hAnsi="宋体" w:cs="宋体" w:hint="eastAsia"/>
          <w:sz w:val="24"/>
        </w:rPr>
        <w:lastRenderedPageBreak/>
        <w:t>录销售客户、销售合同、销售通知、发运凭证、商业票据、款项收回等情况，确保会计记录、销售记录与仓储记录核对一致。</w:t>
      </w:r>
    </w:p>
    <w:p w14:paraId="487369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企业应当指定专人</w:t>
      </w:r>
      <w:proofErr w:type="gramStart"/>
      <w:r>
        <w:rPr>
          <w:rFonts w:ascii="宋体" w:eastAsia="宋体" w:hAnsi="宋体" w:cs="宋体" w:hint="eastAsia"/>
          <w:sz w:val="24"/>
        </w:rPr>
        <w:t>通过函证等</w:t>
      </w:r>
      <w:proofErr w:type="gramEnd"/>
      <w:r>
        <w:rPr>
          <w:rFonts w:ascii="宋体" w:eastAsia="宋体" w:hAnsi="宋体" w:cs="宋体" w:hint="eastAsia"/>
          <w:sz w:val="24"/>
        </w:rPr>
        <w:t>方式，定期与客户核对应收账款、应收票据、预收账款等往来款项。</w:t>
      </w:r>
    </w:p>
    <w:p w14:paraId="0E92B3DB"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企业应当加强应收款项坏账的管理。应收款项全部或部分无法收回的，应当查明原因，明确责任，并严格履行审批程序，按照国家统一的会计准则制度进行处理。</w:t>
      </w:r>
    </w:p>
    <w:p w14:paraId="2D0A9AA6"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73.《商业银行集团客户授信业务风险管理指引（2010修改）》</w:t>
      </w:r>
      <w:r>
        <w:rPr>
          <w:rFonts w:ascii="宋体" w:eastAsia="宋体" w:hAnsi="宋体" w:cs="宋体" w:hint="eastAsia"/>
          <w:b/>
          <w:bCs/>
          <w:sz w:val="24"/>
        </w:rPr>
        <w:tab/>
      </w:r>
    </w:p>
    <w:p w14:paraId="0ADB8D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23D8CD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文号：中国银行业监督管理委员会令2010年第4号</w:t>
      </w:r>
      <w:r>
        <w:rPr>
          <w:rFonts w:ascii="宋体" w:eastAsia="宋体" w:hAnsi="宋体" w:cs="宋体" w:hint="eastAsia"/>
          <w:sz w:val="24"/>
        </w:rPr>
        <w:tab/>
      </w:r>
    </w:p>
    <w:p w14:paraId="4F5517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（中国银行业监督管理委员会2003年第5号令颁布实施 根据2010年6月1日中国银行业监督管理委员会第98次主席会议《关于修改〈商业银行集团客户授信业务风险管理指引〉的决定》修改）</w:t>
      </w:r>
    </w:p>
    <w:p w14:paraId="0E6C4E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6BF92C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为切实防范风险，促进商业银行加强对集团客户授信业务的风险管理，根据《中华人民共和国银行业监督管理法》、《中华人民共和国商业银行法》，制定本指引。</w:t>
      </w:r>
    </w:p>
    <w:p w14:paraId="511D63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本指引所称商业银行是指在中华人民共和国境内依法设立的中资、中外合资、外商独资商业银行等。</w:t>
      </w:r>
    </w:p>
    <w:p w14:paraId="6F7529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本指引所称集团客户是指具有以下特征的商业银行的企事业法人授信对象：</w:t>
      </w:r>
    </w:p>
    <w:p w14:paraId="7CB878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（一）在股权上或者经营决策上直接或间接控制其他企事业法人或被其他企事业法人控制的；</w:t>
      </w:r>
    </w:p>
    <w:p w14:paraId="4BF9CD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（二）共同被第三方企事业法人所控制的；</w:t>
      </w:r>
    </w:p>
    <w:p w14:paraId="495DD1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（三）主要投资者个人、关键管理人员或与其近亲属（包括三代以内直系亲属关系和二代以内旁系亲属关系）共同直接控制或间接控制的；</w:t>
      </w:r>
    </w:p>
    <w:p w14:paraId="2F3C90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（四）存在其他关联关系，可能不按公允价格原则转移资产和利润，商业银行认为应当视同集团客户进行授信管理的。</w:t>
      </w:r>
    </w:p>
    <w:p w14:paraId="4173B7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前款所指企事业法人包括除商业银行外的其他金融机构。</w:t>
      </w:r>
    </w:p>
    <w:p w14:paraId="0F475F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商业银行应当根据上述四个特征结合本行授信业务风险管理的实际需要确定单一集团客户的范围。</w:t>
      </w:r>
    </w:p>
    <w:p w14:paraId="402EC6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授信是指商业银行向客户直接提供资金支持，或者对客户在有关经</w:t>
      </w:r>
      <w:r>
        <w:rPr>
          <w:rFonts w:ascii="宋体" w:eastAsia="宋体" w:hAnsi="宋体" w:cs="宋体" w:hint="eastAsia"/>
          <w:sz w:val="24"/>
        </w:rPr>
        <w:lastRenderedPageBreak/>
        <w:t>济活动中可能产生的赔偿、支付责任做出保证。包括但不限于：贷款、贸易融资、票据承兑和贴现、透支、保理、担保、贷款承诺、开立信用证等表内外业务。</w:t>
      </w:r>
    </w:p>
    <w:p w14:paraId="5D715F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商业银行持有的集团客户成员企业发行的公司债券、企业债券、短期融资</w:t>
      </w:r>
      <w:proofErr w:type="gramStart"/>
      <w:r>
        <w:rPr>
          <w:rFonts w:ascii="宋体" w:eastAsia="宋体" w:hAnsi="宋体" w:cs="宋体" w:hint="eastAsia"/>
          <w:sz w:val="24"/>
        </w:rPr>
        <w:t>券</w:t>
      </w:r>
      <w:proofErr w:type="gramEnd"/>
      <w:r>
        <w:rPr>
          <w:rFonts w:ascii="宋体" w:eastAsia="宋体" w:hAnsi="宋体" w:cs="宋体" w:hint="eastAsia"/>
          <w:sz w:val="24"/>
        </w:rPr>
        <w:t>、中期票据等债券资产以及通过衍生产品等交易行为所产生的信用风险暴露应纳入集团客户授信业务进行风险管理。</w:t>
      </w:r>
    </w:p>
    <w:p w14:paraId="6179FA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本指引所称集团客户授信业务风险是指由于商业银行对集团客户多头授信、过度授信和不适当分配授信额度，或集团客户经营不善以及集团客户通过关联交易、资产重组等手段在内部关联方之间不按公允价格原则转移资产或利润等情况，导致商业银行不能按时收回由于授信产生的贷款本金及利息，或给商业银行带来其他损失的可能性。</w:t>
      </w:r>
    </w:p>
    <w:p w14:paraId="1F8E3C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商业银行对集团客户授信应当遵循以下原则：</w:t>
      </w:r>
    </w:p>
    <w:p w14:paraId="2EB8CF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（一）统一原则。商业银行对集团客户授</w:t>
      </w:r>
      <w:proofErr w:type="gramStart"/>
      <w:r>
        <w:rPr>
          <w:rFonts w:ascii="宋体" w:eastAsia="宋体" w:hAnsi="宋体" w:cs="宋体" w:hint="eastAsia"/>
          <w:sz w:val="24"/>
        </w:rPr>
        <w:t>信实行</w:t>
      </w:r>
      <w:proofErr w:type="gramEnd"/>
      <w:r>
        <w:rPr>
          <w:rFonts w:ascii="宋体" w:eastAsia="宋体" w:hAnsi="宋体" w:cs="宋体" w:hint="eastAsia"/>
          <w:sz w:val="24"/>
        </w:rPr>
        <w:t>统一管理，集中对集团客户授信进行风险控制。</w:t>
      </w:r>
    </w:p>
    <w:p w14:paraId="030D45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（二）适度原则。商业银行应当根据授信客体风险大小和自身风险承担能力，合理确定对集团客户的总体授信额度，防止过度集中风险。</w:t>
      </w:r>
    </w:p>
    <w:p w14:paraId="2F353A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（三）预警原则。商业银行应当建立风险预警机制，及时防范和化解集团客户授信风险。</w:t>
      </w:r>
    </w:p>
    <w:p w14:paraId="281ED5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授信业务风险管理</w:t>
      </w:r>
    </w:p>
    <w:p w14:paraId="41E5CB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商业银行应当根据本指引的规定，结合自身的经营管理水平和信贷管理信息系统的状况，制定集团客户授信业务风险管理制度，其内容应包括集团客户授信业务风险管理的组织建设、风险管理与防范的具体措施、确定单一集团客户的范围所依据的准则、对单一集团客户的授信限额标准、内部报告程序以及内部责任分配等。</w:t>
      </w:r>
    </w:p>
    <w:p w14:paraId="27BD2D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商业银行制定的集团客户授信业务风险管理制度应当报银行业监督管理机构备案。</w:t>
      </w:r>
    </w:p>
    <w:p w14:paraId="1F77B6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商业银行应当建立与集团客户授信业务风险管理特点相适应的管理</w:t>
      </w:r>
      <w:r>
        <w:rPr>
          <w:rFonts w:ascii="宋体" w:eastAsia="宋体" w:hAnsi="宋体" w:cs="宋体" w:hint="eastAsia"/>
          <w:sz w:val="24"/>
        </w:rPr>
        <w:lastRenderedPageBreak/>
        <w:t>机制，各级</w:t>
      </w:r>
      <w:proofErr w:type="gramStart"/>
      <w:r>
        <w:rPr>
          <w:rFonts w:ascii="宋体" w:eastAsia="宋体" w:hAnsi="宋体" w:cs="宋体" w:hint="eastAsia"/>
          <w:sz w:val="24"/>
        </w:rPr>
        <w:t>行应当</w:t>
      </w:r>
      <w:proofErr w:type="gramEnd"/>
      <w:r>
        <w:rPr>
          <w:rFonts w:ascii="宋体" w:eastAsia="宋体" w:hAnsi="宋体" w:cs="宋体" w:hint="eastAsia"/>
          <w:sz w:val="24"/>
        </w:rPr>
        <w:t>指定部门负责全行集团客户授信活动的组织管理，负责组织对集团客户授信的信息收集、信息服务和信息管理。</w:t>
      </w:r>
    </w:p>
    <w:p w14:paraId="4EA702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商业银行对集团客户授信，应当由集团客户总部（或核心企业）所在地的分支机构或总行指定机构为主管机构。主管机构应当负责集团客户统一授信的限额设定和调整或提出相应方案，按规定程序批准后执行，同时应当负责集团客户经营管理信息的跟踪收集和风险预警通报等工作。</w:t>
      </w:r>
    </w:p>
    <w:p w14:paraId="781F8B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商业银行对集团客户授信应当实行客户经理制。商业银行对集团客户授信的主管机构，要指定专人负责集团客户授信的日常管理工作。</w:t>
      </w:r>
    </w:p>
    <w:p w14:paraId="6D3D84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商业银行对集团客户内各个授信对象核定最高授信额度时，在充分考虑各个授信对象自身的信用状况、经营状况和财务状况的同时，还应当充分考虑集团客户的整体信用状况、经营状况和财务状况。最高授信额度应当根据集团客户的经营和财务状况变化及时做出调整。</w:t>
      </w:r>
    </w:p>
    <w:p w14:paraId="6C1D4F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一家商业银行对单一集团客户授信余额（包括第四条第二款所列各类信用风险暴露）不得超过该商业银行资本净额的15%。否则将视为超过其风险承受能力。</w:t>
      </w:r>
    </w:p>
    <w:p w14:paraId="3B8261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当一个集团客户授</w:t>
      </w:r>
      <w:proofErr w:type="gramStart"/>
      <w:r>
        <w:rPr>
          <w:rFonts w:ascii="宋体" w:eastAsia="宋体" w:hAnsi="宋体" w:cs="宋体" w:hint="eastAsia"/>
          <w:sz w:val="24"/>
        </w:rPr>
        <w:t>信需求</w:t>
      </w:r>
      <w:proofErr w:type="gramEnd"/>
      <w:r>
        <w:rPr>
          <w:rFonts w:ascii="宋体" w:eastAsia="宋体" w:hAnsi="宋体" w:cs="宋体" w:hint="eastAsia"/>
          <w:sz w:val="24"/>
        </w:rPr>
        <w:t>超过一家银行风险的承受能力时，商业银行应当采取组织银团贷款、联合贷款和贷款转让等措施分散风险。</w:t>
      </w:r>
    </w:p>
    <w:p w14:paraId="13E0F7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计算授信余额时，可扣除客户提供的保证金存款及质押的银行存单和国债金额。</w:t>
      </w:r>
    </w:p>
    <w:p w14:paraId="389525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根据审慎监管的要求，银行业监管机构可以调低单个商业银行单一集团客户授信余额与资本净额的比例。</w:t>
      </w:r>
    </w:p>
    <w:p w14:paraId="4CCE91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商业银行在对集团客户授信时，应当要求集团客户提供真实、完整的信息资料，包括但不限于集团客户各成员的名称、相互之间的关联关系、组织机构代码、法定代表人及证件、实际控制人及证件、注册地、注册资本、主营业务、股权结构、高级管理人员情况、财务状况、重大资产项目、担保情况和重大诉讼情况以及在其他金融机构授</w:t>
      </w:r>
      <w:proofErr w:type="gramStart"/>
      <w:r>
        <w:rPr>
          <w:rFonts w:ascii="宋体" w:eastAsia="宋体" w:hAnsi="宋体" w:cs="宋体" w:hint="eastAsia"/>
          <w:sz w:val="24"/>
        </w:rPr>
        <w:t>信情况</w:t>
      </w:r>
      <w:proofErr w:type="gramEnd"/>
      <w:r>
        <w:rPr>
          <w:rFonts w:ascii="宋体" w:eastAsia="宋体" w:hAnsi="宋体" w:cs="宋体" w:hint="eastAsia"/>
          <w:sz w:val="24"/>
        </w:rPr>
        <w:t>等。</w:t>
      </w:r>
    </w:p>
    <w:p w14:paraId="2BA633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必要时，商业银行可要求集团客户聘请独立的具有公证效力的第三方出具资料真实性证明。</w:t>
      </w:r>
    </w:p>
    <w:p w14:paraId="220C5F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商业银行在给集团客户授信时，应当进行充分的资信尽职调查，要对照授信对象提供的资料，对重点内容或存在疑问的内容进行实地核查，并在授</w:t>
      </w:r>
      <w:proofErr w:type="gramStart"/>
      <w:r>
        <w:rPr>
          <w:rFonts w:ascii="宋体" w:eastAsia="宋体" w:hAnsi="宋体" w:cs="宋体" w:hint="eastAsia"/>
          <w:sz w:val="24"/>
        </w:rPr>
        <w:t>信调查</w:t>
      </w:r>
      <w:proofErr w:type="gramEnd"/>
      <w:r>
        <w:rPr>
          <w:rFonts w:ascii="宋体" w:eastAsia="宋体" w:hAnsi="宋体" w:cs="宋体" w:hint="eastAsia"/>
          <w:sz w:val="24"/>
        </w:rPr>
        <w:t>报告中反映出来。调查人员应当对调查报告的真实性负责。</w:t>
      </w:r>
    </w:p>
    <w:p w14:paraId="4FAD3C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商业银行对跨国集团客户在境内机构授信时，除了要对其境内机构进行调查外，还要关注其境外公司的背景、信用评级、经营和财务、担保和重大诉讼等情况，并在调查报告中记录相关情况。</w:t>
      </w:r>
    </w:p>
    <w:p w14:paraId="43F63E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商业银行在给集团客户授信时，应当注意防范集团客户内部关联方之间互相担保的风险。对于集团客户内部直接控股或间接控股关联方之间互相担保，商业银行应当严格审核其资信情况，并严格控制。</w:t>
      </w:r>
    </w:p>
    <w:p w14:paraId="58D361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商业银行在对集团客户授信时，应当在授</w:t>
      </w:r>
      <w:proofErr w:type="gramStart"/>
      <w:r>
        <w:rPr>
          <w:rFonts w:ascii="宋体" w:eastAsia="宋体" w:hAnsi="宋体" w:cs="宋体" w:hint="eastAsia"/>
          <w:sz w:val="24"/>
        </w:rPr>
        <w:t>信协议</w:t>
      </w:r>
      <w:proofErr w:type="gramEnd"/>
      <w:r>
        <w:rPr>
          <w:rFonts w:ascii="宋体" w:eastAsia="宋体" w:hAnsi="宋体" w:cs="宋体" w:hint="eastAsia"/>
          <w:sz w:val="24"/>
        </w:rPr>
        <w:t>中约定，要求集团客户及时报告被授信人净资产10%以上关联交易的情况，包括但不限于：</w:t>
      </w:r>
    </w:p>
    <w:p w14:paraId="404CE2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（一）交易各方的关联关系；</w:t>
      </w:r>
    </w:p>
    <w:p w14:paraId="609704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（二）交易项目和交易性质；</w:t>
      </w:r>
    </w:p>
    <w:p w14:paraId="1C9776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（三）交易的金额或相应的比例；</w:t>
      </w:r>
    </w:p>
    <w:p w14:paraId="799EC4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（四）定价政策（包括没有金额或只有象征性金额的交易）。</w:t>
      </w:r>
    </w:p>
    <w:p w14:paraId="5ADD40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商业银行给集团客户贷款时，应当在贷款合同中约定，贷款对象有下列情形之一的，贷款人有权单方决定停止支付借款人尚未使用的贷款，并提前收回部分或全部贷款本息，并依法采取其他措施：</w:t>
      </w:r>
    </w:p>
    <w:p w14:paraId="74FE2F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（一）提供虚假材料或隐瞒重要经营财务事实的；</w:t>
      </w:r>
    </w:p>
    <w:p w14:paraId="5661E2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（二）未经贷款人同意擅自改变贷款原定用途，挪用贷款或用银行贷款从事非法、违规交易的；</w:t>
      </w:r>
    </w:p>
    <w:p w14:paraId="043CD0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（三）利用与关联方之间的虚假合同，以</w:t>
      </w:r>
      <w:proofErr w:type="gramStart"/>
      <w:r>
        <w:rPr>
          <w:rFonts w:ascii="宋体" w:eastAsia="宋体" w:hAnsi="宋体" w:cs="宋体" w:hint="eastAsia"/>
          <w:sz w:val="24"/>
        </w:rPr>
        <w:t>无真实</w:t>
      </w:r>
      <w:proofErr w:type="gramEnd"/>
      <w:r>
        <w:rPr>
          <w:rFonts w:ascii="宋体" w:eastAsia="宋体" w:hAnsi="宋体" w:cs="宋体" w:hint="eastAsia"/>
          <w:sz w:val="24"/>
        </w:rPr>
        <w:t>贸易背景的应收票据、应收账款等债权到银行贴现或质押，套取银行资金或授信的；</w:t>
      </w:r>
    </w:p>
    <w:p w14:paraId="2C094F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（四）拒绝接受贷款人对其信贷资金使用情况和有关经营财务活动进行监督和检查的；</w:t>
      </w:r>
    </w:p>
    <w:p w14:paraId="7C3A5B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（五）出现重大兼并、收购重组等情况，贷款人认为可能影响到贷款安全的；</w:t>
      </w:r>
    </w:p>
    <w:p w14:paraId="65C2EA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（六）通过关联交易，有意逃废银行债权的；</w:t>
      </w:r>
    </w:p>
    <w:p w14:paraId="01A5F5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（七）商业银行认定的其他重大违约行为。</w:t>
      </w:r>
    </w:p>
    <w:p w14:paraId="56BFC2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商业银行应当加强对集团客户授信后的风险管理，定期或不定期开展针对整个集团客户的联合调查，掌握其整体经营和财务变化情况，并把重大变化的情况登录到全行的信贷管理信息系统中。</w:t>
      </w:r>
    </w:p>
    <w:p w14:paraId="15A488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集团客户授信风险暴露后，商业银行在对授信对象采取清收措施的同时，应当特别关注集团客户内部关联方之间的关联交易。有多家商业银行贷款的，商业银行之间可采取行动联合清收，必要时可组织联合清收小组，统一清收贷款。</w:t>
      </w:r>
    </w:p>
    <w:p w14:paraId="641D71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商业银行总行每年应对全行集团客户授信风险作一次综合评估，同时应当检查分支机构对相关制度的执行情况，对违反规定的行为应当严肃查处。商业银行每年应至少向银行业监督管理机构提交一次相关风险评估报告。</w:t>
      </w:r>
    </w:p>
    <w:p w14:paraId="58A879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银行业监督管理机构按本指引的要求加强对商业银行集团客户授信业务的监管，定期或不定期进行检查，重点检查商业银行对集团客户授信管理制度的建设、执行情况和信贷信息系统的建设情况。</w:t>
      </w:r>
    </w:p>
    <w:p w14:paraId="525191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信息管理和风险预警</w:t>
      </w:r>
    </w:p>
    <w:p w14:paraId="1E432F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商业银行应当建立健全信贷管理信息系统，为对集团客户授信业务的管理提供有效的信息支持。商业银行通过信贷管理信息系统应当能够有效识别集团客户的各关联方，能够使商业银行各个机构共享集团客户的信息，能够支持商业银行全系统的集团客户贷款风险预警。</w:t>
      </w:r>
    </w:p>
    <w:p w14:paraId="128C8A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商业银行在给集团客户授信前，应当通过查询贷款卡信息及其他合法途径，充分掌握集团客户的负债信息、关联方信息、对外对内担保信息和诉讼情况等重大事项，防止对集团客户过度授信。</w:t>
      </w:r>
    </w:p>
    <w:p w14:paraId="349FE8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第二十五条 商业银行给集团客户授信后，应当及时将授信总额、期限和被授信人的法定代表人、关联方等信息登录到银行业监督管理机构或其他相关部门的信贷登记系统，同时应做好集团客户授信后信息收集与整理工作，集团客户贷款的变化、经营财务状况的异常变化、关键管理人员的变动以及集团客户的违规经营、被起诉、欠息、逃废债、提供虚假资料等重大事项必须及时登录到本行信贷信息管理系统。</w:t>
      </w:r>
    </w:p>
    <w:p w14:paraId="75A0B1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商业银行应当根据集团客户所处的行业和经营能力，对集团客户的授信总额、资产负债指标、盈利指标、流动性指标、贷款本息偿还情况和关键管理人员的信用状况等，设置授信风险预警线。</w:t>
      </w:r>
    </w:p>
    <w:p w14:paraId="30D058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银监会建立大额集团客户授信业务统计和风险分析制度，并视个别集团客户风险状况进行通报。</w:t>
      </w:r>
    </w:p>
    <w:p w14:paraId="43D115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各商业银行之间应当加强合作，相互征询集团客户的资信时，应当按商业原则依法提供必要的信息和查询协助。</w:t>
      </w:r>
    </w:p>
    <w:p w14:paraId="47231B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商业银行应当与信誉好的会计师事务所、律师事务所等中介机构建立稳定的业务合作关系，必要时应当要求授信对象出具经商业银行认可的中介机构的相关意见。</w:t>
      </w:r>
    </w:p>
    <w:p w14:paraId="28DA39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附则</w:t>
      </w:r>
    </w:p>
    <w:p w14:paraId="56D515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政策性银行、农村合作银行、城市信用社、农村信用社、信托公司、金融租赁公司、汽车金融公司、外国银行分行等对集团客户授信业务风险管理参照本指引执行。</w:t>
      </w:r>
    </w:p>
    <w:p w14:paraId="47B59A47"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第三十一条 本指引由中国银行业监督管理委员会负责解释。</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1CEC7674"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74.《银行业金融机构外包风险管理指引》</w:t>
      </w:r>
      <w:r>
        <w:rPr>
          <w:rFonts w:ascii="宋体" w:eastAsia="宋体" w:hAnsi="宋体" w:cs="宋体" w:hint="eastAsia"/>
          <w:b/>
          <w:bCs/>
          <w:sz w:val="24"/>
        </w:rPr>
        <w:tab/>
      </w:r>
    </w:p>
    <w:p w14:paraId="3688FF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40C871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文号：银监发〔2010〕44号</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64A87C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2EB22E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为了规范银行业金融机构的外包活动，保障银行业金融机构业务持续经营，依据《中华人民共和国银行业监督管理法》、《中华人民共和国商业银行法》等有关法律法规，制定本指引。</w:t>
      </w:r>
    </w:p>
    <w:p w14:paraId="04B00E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在中华人民共和国境内设立的银行业金融机构适用本指引。</w:t>
      </w:r>
    </w:p>
    <w:p w14:paraId="7127DD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本指引中的外包是指银行业金融机构将原本由自身负责处理的某些业务活动委托给服务提供商进行持续处理的行为。服务提供商包括</w:t>
      </w:r>
      <w:proofErr w:type="gramStart"/>
      <w:r>
        <w:rPr>
          <w:rFonts w:ascii="宋体" w:eastAsia="宋体" w:hAnsi="宋体" w:cs="宋体" w:hint="eastAsia"/>
          <w:sz w:val="24"/>
        </w:rPr>
        <w:t>独立第三</w:t>
      </w:r>
      <w:proofErr w:type="gramEnd"/>
      <w:r>
        <w:rPr>
          <w:rFonts w:ascii="宋体" w:eastAsia="宋体" w:hAnsi="宋体" w:cs="宋体" w:hint="eastAsia"/>
          <w:sz w:val="24"/>
        </w:rPr>
        <w:t>方，银行业金融机构母公司或其所属集团设立在中国境内、外的子公司、关联公司或附属机构。</w:t>
      </w:r>
    </w:p>
    <w:p w14:paraId="215ACB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银行业金融机构的董事会和高级管理层应当承担外包活动的最终责任。</w:t>
      </w:r>
    </w:p>
    <w:p w14:paraId="334558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银行业金融机构开展外包活动应当制定外包的风险管理框架以及相关制度，并将其纳入全面风险管理体系。</w:t>
      </w:r>
    </w:p>
    <w:p w14:paraId="067395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银行业金融机构应当根据审慎经营原则制定其外包战略发展规划，确定与其风险管理水平相适宜的外包活动范围。</w:t>
      </w:r>
    </w:p>
    <w:p w14:paraId="1B4AE7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银行业金融机构的战略管理、核心管理以及内部审计等职能不宜外包。</w:t>
      </w:r>
    </w:p>
    <w:p w14:paraId="23A8D3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组织架构</w:t>
      </w:r>
    </w:p>
    <w:p w14:paraId="1ED3AF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银行业金融机构外包管理的组织架构应当包括董事会、高级管理层及外包管理团队。</w:t>
      </w:r>
    </w:p>
    <w:p w14:paraId="3A11FD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董事会的职责主要包括以下方面：</w:t>
      </w:r>
    </w:p>
    <w:p w14:paraId="5F27CA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（一）审议批准外包的战略发展规划；</w:t>
      </w:r>
    </w:p>
    <w:p w14:paraId="147D4F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（二）审议批准外包的风险管理制度；</w:t>
      </w:r>
    </w:p>
    <w:p w14:paraId="2672B5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（三）审议批准本机构的外包范围及相关安排；</w:t>
      </w:r>
    </w:p>
    <w:p w14:paraId="19BC88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（四）定期审阅本机构外包活动的有关报告；</w:t>
      </w:r>
    </w:p>
    <w:p w14:paraId="70C4A5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（五）定期安排内部审计，确保审计范围涵盖所有的外包安排。</w:t>
      </w:r>
    </w:p>
    <w:p w14:paraId="4307F8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高级管理层的职责主要包括以下方面：</w:t>
      </w:r>
    </w:p>
    <w:p w14:paraId="23D48C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（一）制定外包战略发展规划；</w:t>
      </w:r>
    </w:p>
    <w:p w14:paraId="2C2D79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（二）制定外包风险管理的政策、操作流程和内控制度；</w:t>
      </w:r>
    </w:p>
    <w:p w14:paraId="67A623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（三）确定外包业务的范围及相关安排；</w:t>
      </w:r>
    </w:p>
    <w:p w14:paraId="6BA746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（四）确定外包管理团队职责，并对其行为进行有效监督。</w:t>
      </w:r>
    </w:p>
    <w:p w14:paraId="0B3F10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外包管理团队的职责主要包括以下方面：</w:t>
      </w:r>
    </w:p>
    <w:p w14:paraId="0D6A71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（一）执行外包风险管理的政策、操作流程和内控制度；</w:t>
      </w:r>
    </w:p>
    <w:p w14:paraId="479A90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（二）负责外包活动的日常管理，包括尽职调查、合同执行情况的监督及风险状况的监控；</w:t>
      </w:r>
    </w:p>
    <w:p w14:paraId="0FABBE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（三）向高级管理层提出有关外包活动发展和风险管控的意见和建议；</w:t>
      </w:r>
    </w:p>
    <w:p w14:paraId="4AC241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（四）在发现外包服务提供商的业务活动存在缺陷时，采取及时有效的措施；</w:t>
      </w:r>
    </w:p>
    <w:p w14:paraId="194CB6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（五）高级管理层确定的其他职责。</w:t>
      </w:r>
    </w:p>
    <w:p w14:paraId="2F122A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风险管理</w:t>
      </w:r>
    </w:p>
    <w:p w14:paraId="66EF24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银行业金融机构在制定外包活动政策时，应当评估以下风险因素：</w:t>
      </w:r>
    </w:p>
    <w:p w14:paraId="7F5F99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（一）银行业金融机构应当关注外包活动的战略风险、法律风险、声誉风险、合</w:t>
      </w:r>
      <w:proofErr w:type="gramStart"/>
      <w:r>
        <w:rPr>
          <w:rFonts w:ascii="宋体" w:eastAsia="宋体" w:hAnsi="宋体" w:cs="宋体" w:hint="eastAsia"/>
          <w:sz w:val="24"/>
        </w:rPr>
        <w:t>规</w:t>
      </w:r>
      <w:proofErr w:type="gramEnd"/>
      <w:r>
        <w:rPr>
          <w:rFonts w:ascii="宋体" w:eastAsia="宋体" w:hAnsi="宋体" w:cs="宋体" w:hint="eastAsia"/>
          <w:sz w:val="24"/>
        </w:rPr>
        <w:t>风险、操作风险、国别风险等风险；</w:t>
      </w:r>
    </w:p>
    <w:p w14:paraId="118BFA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（二）影响外包活动的外部因素；</w:t>
      </w:r>
    </w:p>
    <w:p w14:paraId="4214E4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（三）本机构对外包活动的风险管控能力；</w:t>
      </w:r>
    </w:p>
    <w:p w14:paraId="369D34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（四）服务提供商的技术能力及专业经验，业务策略和业务规模，业务连续</w:t>
      </w:r>
      <w:r>
        <w:rPr>
          <w:rFonts w:ascii="宋体" w:eastAsia="宋体" w:hAnsi="宋体" w:cs="宋体" w:hint="eastAsia"/>
          <w:sz w:val="24"/>
        </w:rPr>
        <w:lastRenderedPageBreak/>
        <w:t>性及破产风险，风险控制能力及外包服务的集中度；</w:t>
      </w:r>
    </w:p>
    <w:p w14:paraId="480524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w:t>
      </w:r>
      <w:proofErr w:type="gramStart"/>
      <w:r>
        <w:rPr>
          <w:rFonts w:ascii="宋体" w:eastAsia="宋体" w:hAnsi="宋体" w:cs="宋体" w:hint="eastAsia"/>
          <w:sz w:val="24"/>
        </w:rPr>
        <w:t>其他关注</w:t>
      </w:r>
      <w:proofErr w:type="gramEnd"/>
      <w:r>
        <w:rPr>
          <w:rFonts w:ascii="宋体" w:eastAsia="宋体" w:hAnsi="宋体" w:cs="宋体" w:hint="eastAsia"/>
          <w:sz w:val="24"/>
        </w:rPr>
        <w:t>的事项。</w:t>
      </w:r>
    </w:p>
    <w:p w14:paraId="08511F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银行业金融机构在进行外包活动时应当对服务提供商进行尽职调查，尽职调查应当包括以下事项：</w:t>
      </w:r>
    </w:p>
    <w:p w14:paraId="2B2083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（一）管理能力和行业地位；</w:t>
      </w:r>
    </w:p>
    <w:p w14:paraId="1970CA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（二）财务稳健性；</w:t>
      </w:r>
    </w:p>
    <w:p w14:paraId="170410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（三）经营声誉和企业文化；</w:t>
      </w:r>
    </w:p>
    <w:p w14:paraId="12030F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（四）技术实力和服务质量；</w:t>
      </w:r>
    </w:p>
    <w:p w14:paraId="1A74CB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（五）突发事件应对能力；</w:t>
      </w:r>
    </w:p>
    <w:p w14:paraId="0DADF3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（六）对银行业的熟悉程度；</w:t>
      </w:r>
    </w:p>
    <w:p w14:paraId="656B6D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（七）对其他银行业金融机构提供服务的情况；</w:t>
      </w:r>
    </w:p>
    <w:p w14:paraId="6550CB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（八）银行业金融机构认为重要的其他事项。</w:t>
      </w:r>
    </w:p>
    <w:p w14:paraId="679DD6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银行业金融机构的外包活动涉及多个服务提供商时，应当对这些服务提供商进行关联关系的调查。</w:t>
      </w:r>
    </w:p>
    <w:p w14:paraId="2D4797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银行业金融机构开展外包活动时应当签订书面合同或协议，明确双方的权利义务。合同或协议应当包括但不限于以下内容：</w:t>
      </w:r>
    </w:p>
    <w:p w14:paraId="2E9849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（一）外包服务的范围和标准；</w:t>
      </w:r>
    </w:p>
    <w:p w14:paraId="2346AB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（二）外包服务的保密性和安全性的安排；</w:t>
      </w:r>
    </w:p>
    <w:p w14:paraId="6938B3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（三）外包服务的业务连续性的安排；</w:t>
      </w:r>
    </w:p>
    <w:p w14:paraId="3F4951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（四）外包服务的审计和检查；</w:t>
      </w:r>
    </w:p>
    <w:p w14:paraId="7AD76F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（五）外包争端的解决机制；</w:t>
      </w:r>
    </w:p>
    <w:p w14:paraId="35CEC3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（六）合同或协议变更或终止的过渡安排；</w:t>
      </w:r>
    </w:p>
    <w:p w14:paraId="5822FA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（七）违约责任。</w:t>
      </w:r>
    </w:p>
    <w:p w14:paraId="50FE65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对于具有专业技术性的外包活动，可签订服务标准协议。</w:t>
      </w:r>
    </w:p>
    <w:p w14:paraId="4A774D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银行业金融机构在外包活动中应当建立严格的客户信息保密制度，并依法履行告知义务。</w:t>
      </w:r>
    </w:p>
    <w:p w14:paraId="5DEEE1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银行业金融机构在外包合同中应当要求外包服务提供商承诺以下事项：</w:t>
      </w:r>
    </w:p>
    <w:p w14:paraId="304D8C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（一）定期通报外包活动的有关事项；</w:t>
      </w:r>
    </w:p>
    <w:p w14:paraId="2A1B4E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（二）及时通报外包活动的突发性事件；</w:t>
      </w:r>
    </w:p>
    <w:p w14:paraId="748E03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（三）配合银行业金融机构接受银行业监督管理机构的检查；</w:t>
      </w:r>
    </w:p>
    <w:p w14:paraId="073635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（四）保障客户信息的安全性，当客户信息不安全或客户权利受到影响时，银行业金融机构有权随时终止外包合同；</w:t>
      </w:r>
    </w:p>
    <w:p w14:paraId="459C68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（五）不得以银行业金融机构的名义开展活动；</w:t>
      </w:r>
    </w:p>
    <w:p w14:paraId="1C6BF5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（六）银行业金融机构认为应当承诺的其他事项。</w:t>
      </w:r>
    </w:p>
    <w:p w14:paraId="74AD88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银行业金融机构应当关注外包服务提供商分包的风险，并在合同中明确以下事项：</w:t>
      </w:r>
    </w:p>
    <w:p w14:paraId="406C8C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（一）服务提供商分包的规则；</w:t>
      </w:r>
    </w:p>
    <w:p w14:paraId="1F5DA8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（二）分包服务提供商应当严格遵守主服务提供商与银行业金融机构确定的外包合同或协议中的相关条款；</w:t>
      </w:r>
    </w:p>
    <w:p w14:paraId="672880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（三）主服务商应当确认在业务分包后继续保证对服务水平和系统控制负总责；</w:t>
      </w:r>
    </w:p>
    <w:p w14:paraId="17DFF7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（四）不得将外包活动的主要业务分包。</w:t>
      </w:r>
    </w:p>
    <w:p w14:paraId="06353A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银行业金融机构应当在合同中约定服务提供商不得将外包活动转包或变相转包。</w:t>
      </w:r>
    </w:p>
    <w:p w14:paraId="43019B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银行业金融机构在开展跨境外</w:t>
      </w:r>
      <w:proofErr w:type="gramStart"/>
      <w:r>
        <w:rPr>
          <w:rFonts w:ascii="宋体" w:eastAsia="宋体" w:hAnsi="宋体" w:cs="宋体" w:hint="eastAsia"/>
          <w:sz w:val="24"/>
        </w:rPr>
        <w:t>包活动</w:t>
      </w:r>
      <w:proofErr w:type="gramEnd"/>
      <w:r>
        <w:rPr>
          <w:rFonts w:ascii="宋体" w:eastAsia="宋体" w:hAnsi="宋体" w:cs="宋体" w:hint="eastAsia"/>
          <w:sz w:val="24"/>
        </w:rPr>
        <w:t>时，应当遵守以下原则：</w:t>
      </w:r>
    </w:p>
    <w:p w14:paraId="2FB2C6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（一）审慎评估法律和管制风险；</w:t>
      </w:r>
    </w:p>
    <w:p w14:paraId="7865F8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（二）确保客户信息的安全；</w:t>
      </w:r>
    </w:p>
    <w:p w14:paraId="7AF793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（三）选择境外服务提供商时，应当明确其所在国家或地区监管当局已与我国银行业监督管理机构签订谅解备忘录或双方认可的其他约定。</w:t>
      </w:r>
    </w:p>
    <w:p w14:paraId="06DDFC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银行业金融机构应当事先制定和建立外包突发事件应急预案和机制。通过采取替代方案、寻求合同项下的保险安排等措施，确保业务活动的正常经营。</w:t>
      </w:r>
    </w:p>
    <w:p w14:paraId="0D1E5C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银行业金融机构应当定期对外包活动进行全面审计与评价。</w:t>
      </w:r>
    </w:p>
    <w:p w14:paraId="60D429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监督管理</w:t>
      </w:r>
    </w:p>
    <w:p w14:paraId="46457F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银行业金融机构在开展外包活动时，应当定期向所在地银行业监督管理机构递交本机构外包活动的评估报告。</w:t>
      </w:r>
    </w:p>
    <w:p w14:paraId="73329F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银行业金融机构在开展外包活动时如遇到对本机构的业务经营、客户信息安全、声誉等产生重大影响事件，应当及时向所在地银行业监督管理机构报告。</w:t>
      </w:r>
    </w:p>
    <w:p w14:paraId="782626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银行业监督管理机构及其派出机构根据需要对外包活动进行现场检查，采集外包活动过程中的数据信息和相关资料，并将检查结果纳入对该机构的监管评级。</w:t>
      </w:r>
    </w:p>
    <w:p w14:paraId="6A9BAE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对外包活动存在以下情形的，银行业监督管理机构可以要求银行业金融机构纠正或采取替代方案，并视情况</w:t>
      </w:r>
      <w:proofErr w:type="gramStart"/>
      <w:r>
        <w:rPr>
          <w:rFonts w:ascii="宋体" w:eastAsia="宋体" w:hAnsi="宋体" w:cs="宋体" w:hint="eastAsia"/>
          <w:sz w:val="24"/>
        </w:rPr>
        <w:t>予以问</w:t>
      </w:r>
      <w:proofErr w:type="gramEnd"/>
      <w:r>
        <w:rPr>
          <w:rFonts w:ascii="宋体" w:eastAsia="宋体" w:hAnsi="宋体" w:cs="宋体" w:hint="eastAsia"/>
          <w:sz w:val="24"/>
        </w:rPr>
        <w:t>责。</w:t>
      </w:r>
    </w:p>
    <w:p w14:paraId="717CC5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（一）违反相关法律、行政法规及规章；</w:t>
      </w:r>
    </w:p>
    <w:p w14:paraId="5ABC52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（二）违反本机构风险管理政策、内控制度及操作流程等；</w:t>
      </w:r>
    </w:p>
    <w:p w14:paraId="05BB0E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（三）存在重大风险隐患；</w:t>
      </w:r>
    </w:p>
    <w:p w14:paraId="74171C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（四）其他认定的情形。</w:t>
      </w:r>
    </w:p>
    <w:p w14:paraId="35BDBB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附 则</w:t>
      </w:r>
    </w:p>
    <w:p w14:paraId="4AC4F8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经银行业监督管理机构批准的其他金融机构开展外包活动时遵照本指引执行。</w:t>
      </w:r>
    </w:p>
    <w:p w14:paraId="018B16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第二十七条 本指引由中国银行业监督管理委员会负责解释。</w:t>
      </w:r>
    </w:p>
    <w:p w14:paraId="4FE0FC99"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第二十八条 本指引自发布之日起实施。</w:t>
      </w:r>
      <w:r>
        <w:rPr>
          <w:rFonts w:ascii="宋体" w:eastAsia="宋体" w:hAnsi="宋体" w:cs="宋体" w:hint="eastAsia"/>
          <w:sz w:val="24"/>
        </w:rPr>
        <w:tab/>
      </w:r>
    </w:p>
    <w:p w14:paraId="05475CA4"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75.《中国银行业实施新监管标准的指导意见》</w:t>
      </w:r>
      <w:r>
        <w:rPr>
          <w:rFonts w:ascii="宋体" w:eastAsia="宋体" w:hAnsi="宋体" w:cs="宋体" w:hint="eastAsia"/>
          <w:b/>
          <w:bCs/>
          <w:sz w:val="24"/>
        </w:rPr>
        <w:tab/>
      </w:r>
    </w:p>
    <w:p w14:paraId="1DB9C3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7A8C75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文号：银监发〔2011〕44号</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79820EEB"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局，各政策性银行、国有商业银行、股份制商业银行，中国邮政储蓄银行，银监会直接监管的信托公司、企业集团财务公司、金融租赁公司：</w:t>
      </w:r>
    </w:p>
    <w:p w14:paraId="0D8347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“十二五”规划纲要明确提出参与国际金融准则新一轮修订，完善我国金融业稳健标准。2010年12月16日，巴塞尔委员会发布了《第三版巴塞尔协议》（Basel III），并要求各成员经济体两年内完成相应监管法规的制定和修订工作，2013年1月1日开始实施新监管标准，2019年1月1日前全面达标。《第三版巴塞尔协议》确立了微观审慎和宏观审慎相结合的金融监管新模式，大幅度提高了商业银行资本监管要求，建立全球一致的流动性监管量化标准，将对商业银行经营模式、银行体系稳健性乃至宏观经济运行产生深远影响。为推动中国银行业实施国际新监管标准，增强银行体系稳健性和国内银行的国际竞争力，特制定本指导意见。</w:t>
      </w:r>
    </w:p>
    <w:p w14:paraId="00525D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一、总体目标和指导原则</w:t>
      </w:r>
    </w:p>
    <w:p w14:paraId="72C71D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（一）总体目标</w:t>
      </w:r>
    </w:p>
    <w:p w14:paraId="5BBDB0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借鉴国际金融监管改革成果，根据国内银行业改革发展和监管实际，构建面向未来、符合国情、与国际标准接轨的银行业监管框架，推动银行业贯彻落实“十二五”规划纲要，进一步深化改革，转变发展方式，提高发展质量，增强银行业稳健性和竞争力，支持国民经济稳健平衡可持续增长。</w:t>
      </w:r>
    </w:p>
    <w:p w14:paraId="17227C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（二）指导原则</w:t>
      </w:r>
    </w:p>
    <w:p w14:paraId="210A64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立足国内银行业实际，借鉴国际金融监管改革成果，完善银行业审慎监管标准。基于我国银行业改革发展实际，坚持行之有效的监管实践，借鉴《第三版巴塞尔协议》，提升我国银行业稳健标准，构建一整套维护银行体系长期稳健运行的审慎监管制度安排。</w:t>
      </w:r>
    </w:p>
    <w:p w14:paraId="26B916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2.宏观审慎监管与微观审慎监管有机结合。统筹考虑我国经济周期及金融市</w:t>
      </w:r>
      <w:r>
        <w:rPr>
          <w:rFonts w:ascii="宋体" w:eastAsia="宋体" w:hAnsi="宋体" w:cs="宋体" w:hint="eastAsia"/>
          <w:sz w:val="24"/>
        </w:rPr>
        <w:lastRenderedPageBreak/>
        <w:t>场发展变化趋势，科学设计资本充足率、杠杆率、流动性、贷款损失准备等监管标准并合理确定监管要求，体现逆周期宏观审慎监管要求，充分反映银行业金融机构面临的单体风险和系统性风险。</w:t>
      </w:r>
    </w:p>
    <w:p w14:paraId="259E61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监管标准统一性和监管实践灵活性相结合。为保证银行业竞争的公平性，统一设定适用于各类银行业金融机构的监管标准，同时适当提高系统重要性银行监管标准，并根据不同机构情况设置差异化的过渡期安排，确保各类银行业金融机构向新监管标准平稳过渡。</w:t>
      </w:r>
    </w:p>
    <w:p w14:paraId="480439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支持经济持续增长和维护银行体系稳健统筹兼顾。银行体系是我国融资体系的主渠道，过渡期内监管部门将密切监控新监管标准对银行业金融机构的微观影响和对实体经济运行的宏观效应，全面评估成本与收益，并加强与相关部门的政策协调，避免新监管标准实施对信贷供给及经济发展可能造成的负面冲击。</w:t>
      </w:r>
    </w:p>
    <w:p w14:paraId="6531BC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二、提高银行业审慎监管标准</w:t>
      </w:r>
    </w:p>
    <w:p w14:paraId="40101A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根据《第三版巴塞尔协议》确定的银行资本和流动性监管新标准，在全面评估现行审慎监管制度有效性的基础上，提高资本充足率、杠杆率、流动性、贷款损失准备等监管标准，建立更具前瞻性的、有机统一的审慎监管制度安排，增强银行业金融机构抵御风险的能力。</w:t>
      </w:r>
    </w:p>
    <w:p w14:paraId="44E4CB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（一）强化资本充足率监管</w:t>
      </w:r>
    </w:p>
    <w:p w14:paraId="1850DE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改进资本充足率计算方法。一是严格资本定义，提高监管资本的损失吸收能力。将监管资本从现行的两级分类（一级资本和二级资本）修改为三级分类，即核心一级资本、其他一级资本和二级资本；严格执行对核心一级资本的扣除规定，提升资本工具吸收损失能力。二是优化风险加权资产计算方法，扩大资本覆盖的风险范围。采用差异化的信用风险权重方法，推动银行业金融机构提升信用风险管理能力；明确操作风险的资本要求；提高交易性业务、资产证券化业务、场外衍生品交易等复杂金融工具的风险权重。</w:t>
      </w:r>
    </w:p>
    <w:p w14:paraId="716322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2.提高资本充足率监管要求。将现行的两个最低资本充足率要求（一级资本和总资本</w:t>
      </w:r>
      <w:proofErr w:type="gramStart"/>
      <w:r>
        <w:rPr>
          <w:rFonts w:ascii="宋体" w:eastAsia="宋体" w:hAnsi="宋体" w:cs="宋体" w:hint="eastAsia"/>
          <w:sz w:val="24"/>
        </w:rPr>
        <w:t>占风险</w:t>
      </w:r>
      <w:proofErr w:type="gramEnd"/>
      <w:r>
        <w:rPr>
          <w:rFonts w:ascii="宋体" w:eastAsia="宋体" w:hAnsi="宋体" w:cs="宋体" w:hint="eastAsia"/>
          <w:sz w:val="24"/>
        </w:rPr>
        <w:t>资产的比例分别不低于4%和8%）调整为三个层次的资本充足率要求：一是明确三个最低资本充足率要求，即核心一级资本充足率、一级资本充</w:t>
      </w:r>
      <w:r>
        <w:rPr>
          <w:rFonts w:ascii="宋体" w:eastAsia="宋体" w:hAnsi="宋体" w:cs="宋体" w:hint="eastAsia"/>
          <w:sz w:val="24"/>
        </w:rPr>
        <w:lastRenderedPageBreak/>
        <w:t>足率和资本充足率分别不低于5%、6%和8%。二是引入逆周期资本监管框架,包括:2.5%的留存超额资本和0-2.5%的逆周期超额资本。三是增加系统重要性银行的附加资本要求，暂定为1%。新标准实施后，正常条件下系统重要性银行和非系统重要性银行的资本充足率分别不低于11.5%和10.5%；若出现系统性的信贷过快增长，商业银行需计提逆周期超额资本。</w:t>
      </w:r>
    </w:p>
    <w:p w14:paraId="033F39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3.建立杠杆率监管标准。引入杠杆率监管标准，即一级资本</w:t>
      </w:r>
      <w:proofErr w:type="gramStart"/>
      <w:r>
        <w:rPr>
          <w:rFonts w:ascii="宋体" w:eastAsia="宋体" w:hAnsi="宋体" w:cs="宋体" w:hint="eastAsia"/>
          <w:sz w:val="24"/>
        </w:rPr>
        <w:t>占调整</w:t>
      </w:r>
      <w:proofErr w:type="gramEnd"/>
      <w:r>
        <w:rPr>
          <w:rFonts w:ascii="宋体" w:eastAsia="宋体" w:hAnsi="宋体" w:cs="宋体" w:hint="eastAsia"/>
          <w:sz w:val="24"/>
        </w:rPr>
        <w:t>后表内外资产余额的比例不低于4%，弥补资本充足率的不足，控制银行业金融机构以及银行体系的杠杆率积累。</w:t>
      </w:r>
    </w:p>
    <w:p w14:paraId="2B8C1E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合理安排过渡期。新资本监管标准从2012年1月1日开始执行，系统重要性银行和非系统重要性银行应分别于2013年底和2016年底前达到新的资本监管标准。过渡期结束后，各类银行应按照新监管标准披露资本充足率和杠杆率。</w:t>
      </w:r>
    </w:p>
    <w:p w14:paraId="3970D0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（二）改进流动性风险监管</w:t>
      </w:r>
    </w:p>
    <w:p w14:paraId="3804FD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1.建立多维度的流动性风险监管标准和监测指标体系。建立流动性覆盖率、</w:t>
      </w:r>
      <w:proofErr w:type="gramStart"/>
      <w:r>
        <w:rPr>
          <w:rFonts w:ascii="宋体" w:eastAsia="宋体" w:hAnsi="宋体" w:cs="宋体" w:hint="eastAsia"/>
          <w:sz w:val="24"/>
        </w:rPr>
        <w:t>净稳定</w:t>
      </w:r>
      <w:proofErr w:type="gramEnd"/>
      <w:r>
        <w:rPr>
          <w:rFonts w:ascii="宋体" w:eastAsia="宋体" w:hAnsi="宋体" w:cs="宋体" w:hint="eastAsia"/>
          <w:sz w:val="24"/>
        </w:rPr>
        <w:t>融资比例、流动性比例、存贷比以及核心负债依存度、流动性缺口率、客户存款集中度以及同业负债集中度等多个流动性风险监管和监测指标，其中流动性覆盖率、</w:t>
      </w:r>
      <w:proofErr w:type="gramStart"/>
      <w:r>
        <w:rPr>
          <w:rFonts w:ascii="宋体" w:eastAsia="宋体" w:hAnsi="宋体" w:cs="宋体" w:hint="eastAsia"/>
          <w:sz w:val="24"/>
        </w:rPr>
        <w:t>净稳定</w:t>
      </w:r>
      <w:proofErr w:type="gramEnd"/>
      <w:r>
        <w:rPr>
          <w:rFonts w:ascii="宋体" w:eastAsia="宋体" w:hAnsi="宋体" w:cs="宋体" w:hint="eastAsia"/>
          <w:sz w:val="24"/>
        </w:rPr>
        <w:t>融资比例均不得低于100%。同时，推动银行业金融机构建立多情景、多方法、多币种和多时间跨度的流动性风险内部监控指标体系。</w:t>
      </w:r>
    </w:p>
    <w:p w14:paraId="328DBB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引导银行业金融机构加强流动性风险管理。进一步明确银行业金融机构流动性风险管理的审慎监管要求，提高流动性风险管理的精细化程度和专业化水平，严格监督检查措施，纠正不审慎行为，促使商业银行合理匹配资产负债期限结构，增强银行体系应对流动性压力冲击的能力。</w:t>
      </w:r>
    </w:p>
    <w:p w14:paraId="025627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3.合理安排过渡期。新的流动性风险监管标准和监测指标体系自2012年1月1日开始实施，流动性覆盖率和</w:t>
      </w:r>
      <w:proofErr w:type="gramStart"/>
      <w:r>
        <w:rPr>
          <w:rFonts w:ascii="宋体" w:eastAsia="宋体" w:hAnsi="宋体" w:cs="宋体" w:hint="eastAsia"/>
          <w:sz w:val="24"/>
        </w:rPr>
        <w:t>净稳定</w:t>
      </w:r>
      <w:proofErr w:type="gramEnd"/>
      <w:r>
        <w:rPr>
          <w:rFonts w:ascii="宋体" w:eastAsia="宋体" w:hAnsi="宋体" w:cs="宋体" w:hint="eastAsia"/>
          <w:sz w:val="24"/>
        </w:rPr>
        <w:t>融资比例分别给予2年和5年的观察期，银行业金融机构应于2013年底和2016年底前分别达到流动性覆盖率和</w:t>
      </w:r>
      <w:proofErr w:type="gramStart"/>
      <w:r>
        <w:rPr>
          <w:rFonts w:ascii="宋体" w:eastAsia="宋体" w:hAnsi="宋体" w:cs="宋体" w:hint="eastAsia"/>
          <w:sz w:val="24"/>
        </w:rPr>
        <w:t>净稳定</w:t>
      </w:r>
      <w:proofErr w:type="gramEnd"/>
      <w:r>
        <w:rPr>
          <w:rFonts w:ascii="宋体" w:eastAsia="宋体" w:hAnsi="宋体" w:cs="宋体" w:hint="eastAsia"/>
          <w:sz w:val="24"/>
        </w:rPr>
        <w:t>融资比例的监管要求。</w:t>
      </w:r>
    </w:p>
    <w:p w14:paraId="3E466B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（三）强化贷款损失准备监管</w:t>
      </w:r>
    </w:p>
    <w:p w14:paraId="2E8824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1.建立贷款</w:t>
      </w:r>
      <w:proofErr w:type="gramStart"/>
      <w:r>
        <w:rPr>
          <w:rFonts w:ascii="宋体" w:eastAsia="宋体" w:hAnsi="宋体" w:cs="宋体" w:hint="eastAsia"/>
          <w:sz w:val="24"/>
        </w:rPr>
        <w:t>拨备率和</w:t>
      </w:r>
      <w:proofErr w:type="gramEnd"/>
      <w:r>
        <w:rPr>
          <w:rFonts w:ascii="宋体" w:eastAsia="宋体" w:hAnsi="宋体" w:cs="宋体" w:hint="eastAsia"/>
          <w:sz w:val="24"/>
        </w:rPr>
        <w:t>拨备覆盖率监管标准。贷款拨备率（贷款损失</w:t>
      </w:r>
      <w:proofErr w:type="gramStart"/>
      <w:r>
        <w:rPr>
          <w:rFonts w:ascii="宋体" w:eastAsia="宋体" w:hAnsi="宋体" w:cs="宋体" w:hint="eastAsia"/>
          <w:sz w:val="24"/>
        </w:rPr>
        <w:t>准备占</w:t>
      </w:r>
      <w:proofErr w:type="gramEnd"/>
      <w:r>
        <w:rPr>
          <w:rFonts w:ascii="宋体" w:eastAsia="宋体" w:hAnsi="宋体" w:cs="宋体" w:hint="eastAsia"/>
          <w:sz w:val="24"/>
        </w:rPr>
        <w:t>贷</w:t>
      </w:r>
      <w:r>
        <w:rPr>
          <w:rFonts w:ascii="宋体" w:eastAsia="宋体" w:hAnsi="宋体" w:cs="宋体" w:hint="eastAsia"/>
          <w:sz w:val="24"/>
        </w:rPr>
        <w:lastRenderedPageBreak/>
        <w:t>款的比例）不低于2.5%，拨备覆盖率（贷款损失</w:t>
      </w:r>
      <w:proofErr w:type="gramStart"/>
      <w:r>
        <w:rPr>
          <w:rFonts w:ascii="宋体" w:eastAsia="宋体" w:hAnsi="宋体" w:cs="宋体" w:hint="eastAsia"/>
          <w:sz w:val="24"/>
        </w:rPr>
        <w:t>准备占</w:t>
      </w:r>
      <w:proofErr w:type="gramEnd"/>
      <w:r>
        <w:rPr>
          <w:rFonts w:ascii="宋体" w:eastAsia="宋体" w:hAnsi="宋体" w:cs="宋体" w:hint="eastAsia"/>
          <w:sz w:val="24"/>
        </w:rPr>
        <w:t>不良贷款的比例）不低于150%，原则上按两者孰高的方法确定银行业金融机构贷款损失准备监管要求。</w:t>
      </w:r>
    </w:p>
    <w:p w14:paraId="37E6B7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建立动态调整贷款损失准备制度。监管部门将根据经济发展不同阶段、银行业金融机构贷款质量差异和盈利状况的不同，对贷款损失准备监管要求进行动态化和差异化调整：经济上行期适度提高贷款损失准备要求，经济下行期则根据贷款核销情况适度调低；根据单家银行业金融机构的贷款质量和盈利能力，适度调整贷款损失准备要求。</w:t>
      </w:r>
    </w:p>
    <w:p w14:paraId="29272F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过渡期安排。新标准自2012年1月1日开始实施，系统重要性银行应于2013年底前达标；对非系统重要性银行，监管部门将设定差异化的过渡期安排，并鼓励提前达标：盈利能力较强、贷款损失准备补提较少的银行业金融机构应在2016年底前达标；个别盈利能力较低、贷款损失准备补提较多的银行业金融机构应在2018年底前达标。</w:t>
      </w:r>
    </w:p>
    <w:p w14:paraId="5F64D2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三、增强系统重要性银行监管有效性</w:t>
      </w:r>
    </w:p>
    <w:p w14:paraId="39E124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根据国内大型银行经营模式以及监管实践，监管部门将从市场准入、审慎监管标准、持续监管和监管合作几个方面，加强系统重要性银行监管。</w:t>
      </w:r>
    </w:p>
    <w:p w14:paraId="0D48F0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1.明确系统重要性银行的定义。国内系统重要性银行的评估主要考虑规模、关联性、复杂性和</w:t>
      </w:r>
      <w:proofErr w:type="gramStart"/>
      <w:r>
        <w:rPr>
          <w:rFonts w:ascii="宋体" w:eastAsia="宋体" w:hAnsi="宋体" w:cs="宋体" w:hint="eastAsia"/>
          <w:sz w:val="24"/>
        </w:rPr>
        <w:t>可</w:t>
      </w:r>
      <w:proofErr w:type="gramEnd"/>
      <w:r>
        <w:rPr>
          <w:rFonts w:ascii="宋体" w:eastAsia="宋体" w:hAnsi="宋体" w:cs="宋体" w:hint="eastAsia"/>
          <w:sz w:val="24"/>
        </w:rPr>
        <w:t>替代性等四个方面因素，监管部门将建立系统重要性银行的评估方法论和持续评估框架。</w:t>
      </w:r>
    </w:p>
    <w:p w14:paraId="423EDD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维持防火墙安排，改进事前准入监管。为防止系统重要性银行经营模式过于复杂，降低不同金融市场风险的传染，继续采用结构化限制性监管措施：一是维持现行银行体系与资本市场、银行与控股股东、银行与附属机构之间的防火墙，防止风险跨境、跨业传染。二是从严限制银行业金融机构从事结构复杂、高杠杆交易业务，避免过度承担风险。三是审慎推进综合经营试点。对于进行综合经营试点的银行，建立正式的后评估制度，对于在合理时限内跨业经营仍不能达到所在行业平均盈利水平的银行，监管部门将要求其退出该行业。</w:t>
      </w:r>
    </w:p>
    <w:p w14:paraId="00D68F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3.提高审慎监管要求。除附加资本要求之外，监管部门将视情况对系统重要性银行提出更高的审慎监管要求，以提升其应对外部冲击的能力：一是要求系统</w:t>
      </w:r>
      <w:r>
        <w:rPr>
          <w:rFonts w:ascii="宋体" w:eastAsia="宋体" w:hAnsi="宋体" w:cs="宋体" w:hint="eastAsia"/>
          <w:sz w:val="24"/>
        </w:rPr>
        <w:lastRenderedPageBreak/>
        <w:t>重要性银行发行自救债券，以提高吸收损失的能力。二是提高流动性监管要求。三是进一步严格大额风险暴露限制，适度降低系统重要性银行对单一借款人和集团客户贷款占资本净额的比例。四是提高集团层面并</w:t>
      </w:r>
      <w:proofErr w:type="gramStart"/>
      <w:r>
        <w:rPr>
          <w:rFonts w:ascii="宋体" w:eastAsia="宋体" w:hAnsi="宋体" w:cs="宋体" w:hint="eastAsia"/>
          <w:sz w:val="24"/>
        </w:rPr>
        <w:t>表风险</w:t>
      </w:r>
      <w:proofErr w:type="gramEnd"/>
      <w:r>
        <w:rPr>
          <w:rFonts w:ascii="宋体" w:eastAsia="宋体" w:hAnsi="宋体" w:cs="宋体" w:hint="eastAsia"/>
          <w:sz w:val="24"/>
        </w:rPr>
        <w:t>治理监管标准，包括集团层面风险偏好设定、统一的风险管理政策、信息管理系统建设、集团内部交易等。</w:t>
      </w:r>
    </w:p>
    <w:p w14:paraId="42422C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4.强化持续监管。一是监管资源向系统重要性银行倾斜，赋予一线监管人员更广泛的权力，加强对系统重要性银行决策过程、执行过程的监管，以尽早识别风险并采取干预措施。二是丰富和</w:t>
      </w:r>
      <w:proofErr w:type="gramStart"/>
      <w:r>
        <w:rPr>
          <w:rFonts w:ascii="宋体" w:eastAsia="宋体" w:hAnsi="宋体" w:cs="宋体" w:hint="eastAsia"/>
          <w:sz w:val="24"/>
        </w:rPr>
        <w:t>扩展非</w:t>
      </w:r>
      <w:proofErr w:type="gramEnd"/>
      <w:r>
        <w:rPr>
          <w:rFonts w:ascii="宋体" w:eastAsia="宋体" w:hAnsi="宋体" w:cs="宋体" w:hint="eastAsia"/>
          <w:sz w:val="24"/>
        </w:rPr>
        <w:t>现场监管体系，完善系统重要性银行的风险监管评估框架，及时预警、有效识别并快速处置风险。三是进一步提升系统重要性银行现场检查精确打击的能力，督促系统重要性银行加强公司治理和风险管理，防止和纠正不安全、不稳健的经营行为。四是实现功能监管与机构监管相结合，采用产品分析、模型验证、压力测试、同业评估等监管手段，保证监管技术能够适应系统重要性银行业务和组织机构日益复杂化的趋势。五是指导并监督系统重要性银行制定恢复和处置计划、危机管理计划，增强系统重要性银行自我保护能力。</w:t>
      </w:r>
    </w:p>
    <w:p w14:paraId="7FA078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加强监管合作。在跨境合作方面，建立对境外监管当局监管能力的评估机制，健全跨境经营系统重要性银行的监管联席会议机制，提高信息交流质量，加强在市场准入、非现场监管、现场检查以及危机管理方面的合作。在跨业合作方面，在国务院统一领导下，监管部门将加强与人民银行、证券监管部门、保险监管部门的协调配合，构建“无缝式”金融监管体系，改进对银行集团非银行业务的风险评估。</w:t>
      </w:r>
    </w:p>
    <w:p w14:paraId="4A45C3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四、深入推动新资本协议实施工作</w:t>
      </w:r>
    </w:p>
    <w:p w14:paraId="715D9C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资本和风险加权资产进行科学计量与评估是新监管标准实施的基础。银行业金融机构应按照“《新资本协议》与《第三版巴塞尔协议》同步推进，第一支柱与第二支柱统筹考虑”的总体要求，从公司治理、政策流程、风险计量、数据基础、信息科技系统等方面不断强化风险管理。2011年，监管部门将修订《资本充足率管理办法》。银行业金融机构应根据新的《资本充足率管理办法》中确立的相关方法准确计量监管资本要求，全面覆盖各类风险；同时，构建全面风险</w:t>
      </w:r>
      <w:r>
        <w:rPr>
          <w:rFonts w:ascii="宋体" w:eastAsia="宋体" w:hAnsi="宋体" w:cs="宋体" w:hint="eastAsia"/>
          <w:sz w:val="24"/>
        </w:rPr>
        <w:lastRenderedPageBreak/>
        <w:t>管理框架，健全内部资本评估程序，强化银行业稳健运行的微观基础。</w:t>
      </w:r>
    </w:p>
    <w:p w14:paraId="2F5307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表内外资产规模、国际活跃性以及业务复杂性达到一定程度的银行业金融机构，应根据新的监管要求，实施《新资本协议》中的资本计量高级方法。目前已完成了一轮预评估的第一批实施银行应当在已经取得的</w:t>
      </w:r>
      <w:proofErr w:type="gramStart"/>
      <w:r>
        <w:rPr>
          <w:rFonts w:ascii="宋体" w:eastAsia="宋体" w:hAnsi="宋体" w:cs="宋体" w:hint="eastAsia"/>
          <w:sz w:val="24"/>
        </w:rPr>
        <w:t>良好成就</w:t>
      </w:r>
      <w:proofErr w:type="gramEnd"/>
      <w:r>
        <w:rPr>
          <w:rFonts w:ascii="宋体" w:eastAsia="宋体" w:hAnsi="宋体" w:cs="宋体" w:hint="eastAsia"/>
          <w:sz w:val="24"/>
        </w:rPr>
        <w:t>基础上，根据评估意见积极整改第一支柱实施的主要问题，并积极推进第二支柱和第三支柱建设，争取尽快申请正式实施。其他根据监管要求应当实施高级方法或自愿实施的银行业金融机构，应加强与监管部门的沟通，尽早制订实施规划方案。</w:t>
      </w:r>
    </w:p>
    <w:p w14:paraId="1F52C7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其他不实施资本计量高级方法的银行业金融机构，应从2011年底开始在现有信用风险资本计量的基础上，采用新的《资本充足率管理办法》要求的标准方法，计量市场风险和操作风险的监管资本要求；并按照第二支柱相关要求，抓紧建立内部资本充足评估程序，识别、评估、监测和报告各类主要风险，确保资本水平与风险状况和管理能力相适应，确保资本规划与银行经营状况、风险变化趋势和长期发展战略相匹配。2016年底前，所有银行业金融机构都应建立与本行规模、业务复杂程度相适应的全面风险管理框架和内部资本充足率评估程序。</w:t>
      </w:r>
    </w:p>
    <w:p w14:paraId="45B222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五、工作要求</w:t>
      </w:r>
    </w:p>
    <w:p w14:paraId="5DE4B9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新监管标准实施是事关全局的长期系统工程，银行业金融机构要准确理解新监管标准的实质，充分认识实施新监管标准的意义，加强配合，积极稳妥地做好新监管标准实施的各项准备工作。</w:t>
      </w:r>
    </w:p>
    <w:p w14:paraId="2A9AAB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（一）制定配套监管规章</w:t>
      </w:r>
    </w:p>
    <w:p w14:paraId="0AC3F0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保证新监管标准如期实施，2011年监管部门将修订完善《商业银行资本充足率管理办法》，以及流动性风险监管、系统重要性银行监管相关政策，为新监管标准的实施奠定基础。同时，大力开展新监管标准的培训和宣传工作，分期、分批地开展各级监管人员和银行业金融机构中高层管理人员的培训工作，为新监管标准实施打造有利的舆论环境和广泛的人才基础。</w:t>
      </w:r>
    </w:p>
    <w:p w14:paraId="19F153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（二）加强组织领导</w:t>
      </w:r>
    </w:p>
    <w:p w14:paraId="5A1977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银行业金融机构董事会和高级管理层应高度重视新监管标准实施工作，尽快成立以主要负责人为组长的新监管标准实施领导小组及相应工作机构，统筹规划</w:t>
      </w:r>
      <w:r>
        <w:rPr>
          <w:rFonts w:ascii="宋体" w:eastAsia="宋体" w:hAnsi="宋体" w:cs="宋体" w:hint="eastAsia"/>
          <w:sz w:val="24"/>
        </w:rPr>
        <w:lastRenderedPageBreak/>
        <w:t>协调新监管标准实施工作，确保各项工作有序稳步推进。董事会应负责新监管标准实施规划及有关重大政策审批，定期听取高级管理层汇报，对实施准备情况进行监督；高级管理</w:t>
      </w:r>
      <w:proofErr w:type="gramStart"/>
      <w:r>
        <w:rPr>
          <w:rFonts w:ascii="宋体" w:eastAsia="宋体" w:hAnsi="宋体" w:cs="宋体" w:hint="eastAsia"/>
          <w:sz w:val="24"/>
        </w:rPr>
        <w:t>层负责</w:t>
      </w:r>
      <w:proofErr w:type="gramEnd"/>
      <w:r>
        <w:rPr>
          <w:rFonts w:ascii="宋体" w:eastAsia="宋体" w:hAnsi="宋体" w:cs="宋体" w:hint="eastAsia"/>
          <w:sz w:val="24"/>
        </w:rPr>
        <w:t>制定新监管标准实施方案并组织实施。</w:t>
      </w:r>
    </w:p>
    <w:p w14:paraId="1DF71A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（三）制定切实可行的实施规划</w:t>
      </w:r>
    </w:p>
    <w:p w14:paraId="2BADA4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根据本指导意见，全面进行差距分析，制定切实可行的新监管标准实施规划。实施规划至少应包括：资产增长计划、资产结构调整方案、盈利能力规划、各类风险的风险加权资产计算方法、资本补充方案、流动性来源、贷款损失准备金补提方案、各类监管指标的达标时间表和阶段性目标。银行业金融机构应在2011年底前完成实施规划编制，并报监管部门备案。</w:t>
      </w:r>
    </w:p>
    <w:p w14:paraId="3F9A2F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（四）调整发展战略积极推动业务转型</w:t>
      </w:r>
    </w:p>
    <w:p w14:paraId="190F39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谋求经营转型不仅是银行业金融机构持续满足新监管标准的内在要求，而且是在日益复杂经营环境下提高发展质量的必由之路。银行业金融机构要切实转变规模扩张的外延式发展模式，走质量提高的内涵式增长之路。银行业金融机构要在坚守传统业务模式的前提下，在信贷业务的广度和深度上下功夫，提升金融服务效率和信贷质量。一是调整业务结构，制定中长期信贷发展战略，积极调整信贷的客户结构、行业结构和区域结构，实现信贷业务可持续发展。二是强化管理，通过不断优化风险计量工具，完善风险管理政策和流程，健全风险制衡机制，真正提升增长质量。三是创新服务。积极发展网络银行、电话银行、信用卡等渠道拓展业务，扩大金融服务覆盖面，为资产业务提供稳定的资金保障，同时降低经营成本，扩大收入来源。</w:t>
      </w:r>
    </w:p>
    <w:p w14:paraId="7828DF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（五）持续改进风险管理</w:t>
      </w:r>
    </w:p>
    <w:p w14:paraId="531A2C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要结合自身经营特点，强化风险管理基础设施，提升风险管理能力。一是完善风险治理组织架构，进一步明确董事会、高管层、首席风险官、风险管理部门和相关业务条线的角色和职能。二是强化数据基础，通过新监管标准实施切实解决国内银行业金融机构长期存在的数据缺失、质量不高问题。三是积极开发并推广运用新型风险计量工具，提高风险识别能力和风险计量准确性。四是强化IT系统建设，为风险政策制定和实施、风险计量工具运用及优化</w:t>
      </w:r>
      <w:r>
        <w:rPr>
          <w:rFonts w:ascii="宋体" w:eastAsia="宋体" w:hAnsi="宋体" w:cs="宋体" w:hint="eastAsia"/>
          <w:sz w:val="24"/>
        </w:rPr>
        <w:lastRenderedPageBreak/>
        <w:t>奠定基础。五是强化内部控制和内部审计职能，强化与外部审计的合作，共同促进内部制衡机制建设。六是改进激励考核机制，建立“风险-收益”平衡的绩效考核和薪酬制度。银行业金融机构要高度重视所面临的突出风险，包括地方融资平台、房地产贷款、经济结构调整潜在的重大信用风险，积极探索系统性风险和个体风险相结合的风险管理模式，在此基础上建立健全资本评估程序，确保资本充分覆盖各类风险。</w:t>
      </w:r>
    </w:p>
    <w:p w14:paraId="2E2D8B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（六）加强对新监管标准实施的监督检查和跟踪评估</w:t>
      </w:r>
    </w:p>
    <w:p w14:paraId="245FB7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从今年开始，监管部门要将商业银行新监管标准实施准备情况以及实施进展纳入日常监管工作，对各行新监管标准实施规划执行情况进行监督检查，对新监管标准实施规划执行不力的银行业金融机构采取相应监管措施。过渡期内，监管部门将持续监测银行业金融机构各类监管指标的水平及变化趋势，深入评估新监管标准实施对银行业金融机构经营行为、信贷供给以及宏观经济运行的影响。各银行业金融机构应指定专门部门负责分析执行新监管标准的效应及存在的问题，并及时报送监管部门，配合做好新监管标准的完善和实施工作。</w:t>
      </w:r>
    </w:p>
    <w:p w14:paraId="0713A195"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请各银监</w:t>
      </w:r>
      <w:proofErr w:type="gramEnd"/>
      <w:r>
        <w:rPr>
          <w:rFonts w:ascii="宋体" w:eastAsia="宋体" w:hAnsi="宋体" w:cs="宋体" w:hint="eastAsia"/>
          <w:sz w:val="24"/>
        </w:rPr>
        <w:t>局将本意见转发至辖内银</w:t>
      </w:r>
      <w:proofErr w:type="gramStart"/>
      <w:r>
        <w:rPr>
          <w:rFonts w:ascii="宋体" w:eastAsia="宋体" w:hAnsi="宋体" w:cs="宋体" w:hint="eastAsia"/>
          <w:sz w:val="24"/>
        </w:rPr>
        <w:t>监分局</w:t>
      </w:r>
      <w:proofErr w:type="gramEnd"/>
      <w:r>
        <w:rPr>
          <w:rFonts w:ascii="宋体" w:eastAsia="宋体" w:hAnsi="宋体" w:cs="宋体" w:hint="eastAsia"/>
          <w:sz w:val="24"/>
        </w:rPr>
        <w:t>和银行业金融机构。</w:t>
      </w:r>
    </w:p>
    <w:p w14:paraId="172A96AA"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二〇一一年四月二十七日</w:t>
      </w:r>
    </w:p>
    <w:p w14:paraId="57E2C0D0"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76.中国银监会办公厅关于停止执行《银行业金融机构案件信息统计制度》有关问题的通知</w:t>
      </w:r>
    </w:p>
    <w:p w14:paraId="310BC9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2C336B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文号：银监办发〔2011〕232号</w:t>
      </w:r>
      <w:r>
        <w:rPr>
          <w:rFonts w:ascii="宋体" w:eastAsia="宋体" w:hAnsi="宋体" w:cs="宋体" w:hint="eastAsia"/>
          <w:sz w:val="24"/>
        </w:rPr>
        <w:tab/>
      </w:r>
      <w:r>
        <w:rPr>
          <w:rFonts w:ascii="宋体" w:eastAsia="宋体" w:hAnsi="宋体" w:cs="宋体" w:hint="eastAsia"/>
          <w:sz w:val="24"/>
        </w:rPr>
        <w:tab/>
      </w:r>
    </w:p>
    <w:p w14:paraId="4BAFAE2B"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局，各政策性银行、国有商业银行、股份制商业银行、金融资产管理公司，邮政储蓄银行，银监会直接监管的信托公司、企业集团财务公司、金融租赁公司：</w:t>
      </w:r>
    </w:p>
    <w:p w14:paraId="2DB988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由于现行《银行业金融机构案件信息统计制度》（银监办发〔2009〕17号文）对银行业案件一、二类的划分已不符合当前工作的要求，根据会领导指示，现决定自2011年6月1日起，银监办发〔2009〕17号文件停止执行。同时，与此有关的银监会非现场监管信息系统中的S56、S57、S58、S59报表一并停止填报。现就有关问题说明如下：</w:t>
      </w:r>
    </w:p>
    <w:p w14:paraId="41C7D0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中国银监会关于印发银行业金融机构案件处置三项制度的通知》（银监发〔2010〕111号文）中《银行业金融机构案件（风险）信息报送及登记办法》所指“案件”，均以《银行业金融机构案件处置工作规程》第一章第三条为准。</w:t>
      </w:r>
    </w:p>
    <w:p w14:paraId="299AAD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二、银监发〔2010〕111号文中《银行业金融机构案件处置工作规程》第二十四条及《银行业金融机构案件（风险）信息报送及登记办法》第二十条、第二十一条停止执行。</w:t>
      </w:r>
    </w:p>
    <w:p w14:paraId="2E0247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三、增加填报银行业“案件司法结论报告”（见附件）。有关银行业案件在法院判决后，各报送单位应填报“案件司法结论报告”，并按照“案件信息确认报告”途径报送。</w:t>
      </w:r>
    </w:p>
    <w:p w14:paraId="28719AEF"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请各银监</w:t>
      </w:r>
      <w:proofErr w:type="gramEnd"/>
      <w:r>
        <w:rPr>
          <w:rFonts w:ascii="宋体" w:eastAsia="宋体" w:hAnsi="宋体" w:cs="宋体" w:hint="eastAsia"/>
          <w:sz w:val="24"/>
        </w:rPr>
        <w:t>局将本通知转发至辖内银</w:t>
      </w:r>
      <w:proofErr w:type="gramStart"/>
      <w:r>
        <w:rPr>
          <w:rFonts w:ascii="宋体" w:eastAsia="宋体" w:hAnsi="宋体" w:cs="宋体" w:hint="eastAsia"/>
          <w:sz w:val="24"/>
        </w:rPr>
        <w:t>监分局</w:t>
      </w:r>
      <w:proofErr w:type="gramEnd"/>
      <w:r>
        <w:rPr>
          <w:rFonts w:ascii="宋体" w:eastAsia="宋体" w:hAnsi="宋体" w:cs="宋体" w:hint="eastAsia"/>
          <w:sz w:val="24"/>
        </w:rPr>
        <w:t>及有关银行业金融机构。</w:t>
      </w:r>
    </w:p>
    <w:p w14:paraId="295199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w:t>
      </w:r>
    </w:p>
    <w:p w14:paraId="3A899C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案件司法结论报告</w:t>
      </w:r>
    </w:p>
    <w:p w14:paraId="4C3AC2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w:t>
      </w:r>
      <w:proofErr w:type="gramStart"/>
      <w:r>
        <w:rPr>
          <w:rFonts w:ascii="宋体" w:eastAsia="宋体" w:hAnsi="宋体" w:cs="宋体" w:hint="eastAsia"/>
          <w:sz w:val="24"/>
        </w:rPr>
        <w:t>０一一</w:t>
      </w:r>
      <w:proofErr w:type="gramEnd"/>
      <w:r>
        <w:rPr>
          <w:rFonts w:ascii="宋体" w:eastAsia="宋体" w:hAnsi="宋体" w:cs="宋体" w:hint="eastAsia"/>
          <w:sz w:val="24"/>
        </w:rPr>
        <w:t>年七月二十一日</w:t>
      </w:r>
    </w:p>
    <w:p w14:paraId="054083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附件：</w:t>
      </w:r>
    </w:p>
    <w:p w14:paraId="16FE7A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案件司法结论报告</w:t>
      </w:r>
    </w:p>
    <w:p w14:paraId="3BBB2A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XX年XX月XX日</w:t>
      </w:r>
    </w:p>
    <w:p w14:paraId="1667AF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单位名称（公章） 签发人：</w:t>
      </w:r>
    </w:p>
    <w:p w14:paraId="22B67F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（主要内容:</w:t>
      </w:r>
    </w:p>
    <w:p w14:paraId="4E3A84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一、机构名称</w:t>
      </w:r>
    </w:p>
    <w:p w14:paraId="360636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二、发案时间、立案时间、司法判决时间</w:t>
      </w:r>
    </w:p>
    <w:p w14:paraId="27560D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三、“案件信息确认报告”期号、报送时间、涉案金额</w:t>
      </w:r>
    </w:p>
    <w:p w14:paraId="2B4A75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四、涉及人员、司法结论</w:t>
      </w:r>
    </w:p>
    <w:p w14:paraId="627E56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五、风险情况</w:t>
      </w:r>
    </w:p>
    <w:p w14:paraId="23D6CD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六、其他需说明的情况。）</w:t>
      </w:r>
    </w:p>
    <w:p w14:paraId="029D2F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承办部门：</w:t>
      </w:r>
    </w:p>
    <w:p w14:paraId="633710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主办人：</w:t>
      </w:r>
    </w:p>
    <w:p w14:paraId="527D8F92"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联系电话：</w:t>
      </w:r>
      <w:r>
        <w:rPr>
          <w:rFonts w:ascii="宋体" w:eastAsia="宋体" w:hAnsi="宋体" w:cs="宋体" w:hint="eastAsia"/>
          <w:sz w:val="24"/>
        </w:rPr>
        <w:tab/>
      </w:r>
    </w:p>
    <w:p w14:paraId="35F9B572"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77.《商业银行业务连续性监管指引》</w:t>
      </w:r>
      <w:r>
        <w:rPr>
          <w:rFonts w:ascii="宋体" w:eastAsia="宋体" w:hAnsi="宋体" w:cs="宋体" w:hint="eastAsia"/>
          <w:b/>
          <w:bCs/>
          <w:sz w:val="24"/>
        </w:rPr>
        <w:tab/>
      </w:r>
    </w:p>
    <w:p w14:paraId="47B2B5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2DE3F6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文号：银监发〔2011〕104号</w:t>
      </w:r>
      <w:r>
        <w:rPr>
          <w:rFonts w:ascii="宋体" w:eastAsia="宋体" w:hAnsi="宋体" w:cs="宋体" w:hint="eastAsia"/>
          <w:sz w:val="24"/>
        </w:rPr>
        <w:tab/>
      </w:r>
    </w:p>
    <w:p w14:paraId="1D740D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0835C2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信息系统与信息科技是保障商业银行业务持续运营的重要基础。为降低或消除因信息系统服务异常导致重要业务运营中断的影响，快速恢复被中断业务，维护公众信心和银行业正常运营秩序，提高商业银行业务连续性管理能力，根据《中华人民共和国银行业监督管理法》、《中华人民共和国商业银行法》以及相关法律法规，制定本指引。</w:t>
      </w:r>
    </w:p>
    <w:p w14:paraId="11798F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本指引所称业务连续性管理是指商业银行为有效应对重要业务运营中断事件，建设应急响应、恢复机制和管理能力框架，保障重要业务持续运营的一整套管理过程，包括策略、组织架构、方法、标准和程序。</w:t>
      </w:r>
    </w:p>
    <w:p w14:paraId="7F90A2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指引所称重要业务是指面向客户、涉及账务处理、时效性要求较高的银行业务，其运营服务中断会对商业银行产生较大经济损失或声誉影响，或对公民、法人和其他组织的权益、社会秩序和公共利益、国家安全造成严重影响的业务。</w:t>
      </w:r>
    </w:p>
    <w:p w14:paraId="6AC319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本指引所称重要业务运营中断事件（以下简称运营中断事件）是指因下述原因导致信息系统服务异常、重要业务停止运营的事件。主要包括：（一）信息技术故障：信息系统技术故障、配套设施故障；</w:t>
      </w:r>
    </w:p>
    <w:p w14:paraId="59A6A0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（二）外部服务中断：第三方无法合作或提供服务等；</w:t>
      </w:r>
    </w:p>
    <w:p w14:paraId="686B5F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（三）人为破坏：黑客攻击、恐怖袭击等；</w:t>
      </w:r>
    </w:p>
    <w:p w14:paraId="7A38B6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（四）自然灾害：火灾、雷击、海啸、地震、重大疫情等。</w:t>
      </w:r>
    </w:p>
    <w:p w14:paraId="6CC33D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商业银行应当将业务连续性管理纳入全面风险管理体系，建立与本机构战略目标相适应的业务连续性管理体系，确保重要业务在运营中断事件发生后快速恢复，降低或消除</w:t>
      </w:r>
      <w:proofErr w:type="gramStart"/>
      <w:r>
        <w:rPr>
          <w:rFonts w:ascii="宋体" w:eastAsia="宋体" w:hAnsi="宋体" w:cs="宋体" w:hint="eastAsia"/>
          <w:sz w:val="24"/>
        </w:rPr>
        <w:t>因重要</w:t>
      </w:r>
      <w:proofErr w:type="gramEnd"/>
      <w:r>
        <w:rPr>
          <w:rFonts w:ascii="宋体" w:eastAsia="宋体" w:hAnsi="宋体" w:cs="宋体" w:hint="eastAsia"/>
          <w:sz w:val="24"/>
        </w:rPr>
        <w:t>业务运营中断造成的影响和损失，保障业务持续运营。</w:t>
      </w:r>
    </w:p>
    <w:p w14:paraId="190C80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第六条 商业银行应当根据本行业务发展的总体目标、经营规模以及风险控制的基本策略和风险偏好，确定适当的业务连续性管理战略。</w:t>
      </w:r>
    </w:p>
    <w:p w14:paraId="0FB782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商业银行应当建立业务连续性管理的组织架构，确定重要业务及其恢复目标，制定业务连续性计划，配置必要的资源，有效处置运营中断事件，并积极开展演练和业务连续性管理的评估改进。</w:t>
      </w:r>
    </w:p>
    <w:p w14:paraId="0E27DC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业务连续性管理的基本原则是：</w:t>
      </w:r>
    </w:p>
    <w:p w14:paraId="2A4113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（一）切实履行社会责任，保护客户合法权益、维护金融秩序；</w:t>
      </w:r>
    </w:p>
    <w:p w14:paraId="1D9F7C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（二）坚持预防为主，建立预防、预警机制，将日常管理与应急处置有效结合；</w:t>
      </w:r>
    </w:p>
    <w:p w14:paraId="0A8291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（三）坚持以人为本，重点保障人员安全；实施差异化管理，保障重要业务有序恢复；兼顾业务连续性管理成本与效益；</w:t>
      </w:r>
    </w:p>
    <w:p w14:paraId="4E1384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（四）坚持联动协作，加强沟通协调，形成应对运营中断事件的整体有效机制。</w:t>
      </w:r>
    </w:p>
    <w:p w14:paraId="5DD8C9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商业银行应当将业务连续性管理融入到企业文化中，使其成为银行机构日常运营管理的有机组成部分。</w:t>
      </w:r>
    </w:p>
    <w:p w14:paraId="60C9BB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业务连续性组织架构</w:t>
      </w:r>
    </w:p>
    <w:p w14:paraId="363036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日常管理组织架构</w:t>
      </w:r>
    </w:p>
    <w:p w14:paraId="729688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董（理）事会是商业银行业务连续性管理的决策机构，对业务连续性管理承担最终责任。主要职责包括：</w:t>
      </w:r>
    </w:p>
    <w:p w14:paraId="140953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（一）审核和批准业务连续性管理战略、政策和程序；</w:t>
      </w:r>
    </w:p>
    <w:p w14:paraId="44E339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（二）审批高级管理层业务连续性管理职责，定期听取高级管理层关于业务连续性管理的报告，监督、评价其履职情况；</w:t>
      </w:r>
    </w:p>
    <w:p w14:paraId="5C32F1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（三）审批业务连续性管理年度审计报告。</w:t>
      </w:r>
    </w:p>
    <w:p w14:paraId="297AB1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高级管理</w:t>
      </w:r>
      <w:proofErr w:type="gramStart"/>
      <w:r>
        <w:rPr>
          <w:rFonts w:ascii="宋体" w:eastAsia="宋体" w:hAnsi="宋体" w:cs="宋体" w:hint="eastAsia"/>
          <w:sz w:val="24"/>
        </w:rPr>
        <w:t>层负责</w:t>
      </w:r>
      <w:proofErr w:type="gramEnd"/>
      <w:r>
        <w:rPr>
          <w:rFonts w:ascii="宋体" w:eastAsia="宋体" w:hAnsi="宋体" w:cs="宋体" w:hint="eastAsia"/>
          <w:sz w:val="24"/>
        </w:rPr>
        <w:t>执行经董（理）事会批准的业务连续性管理政策。主要职责包括：</w:t>
      </w:r>
    </w:p>
    <w:p w14:paraId="6305FF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（一）制定并定期审查和监督执行业务连续性管理政策、程序；</w:t>
      </w:r>
    </w:p>
    <w:p w14:paraId="7833C5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（二）明确各部门业务连续性管理职责，</w:t>
      </w:r>
      <w:proofErr w:type="gramStart"/>
      <w:r>
        <w:rPr>
          <w:rFonts w:ascii="宋体" w:eastAsia="宋体" w:hAnsi="宋体" w:cs="宋体" w:hint="eastAsia"/>
          <w:sz w:val="24"/>
        </w:rPr>
        <w:t>明确报告</w:t>
      </w:r>
      <w:proofErr w:type="gramEnd"/>
      <w:r>
        <w:rPr>
          <w:rFonts w:ascii="宋体" w:eastAsia="宋体" w:hAnsi="宋体" w:cs="宋体" w:hint="eastAsia"/>
          <w:sz w:val="24"/>
        </w:rPr>
        <w:t>路线，审批重要业务恢复目标和恢复策略，督促各部门履行管理职责，确保业务连续性管理体系正常运行；</w:t>
      </w:r>
    </w:p>
    <w:p w14:paraId="753CD6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（三）确保配置足够的资源保障业务连续性管理的实施。</w:t>
      </w:r>
    </w:p>
    <w:p w14:paraId="39EFC9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商业银行应当设立由高级管理层和业务连续性管理相关部门负责人组成的业务连续性管理委员会，统筹协调、落实各项管理职责。</w:t>
      </w:r>
    </w:p>
    <w:p w14:paraId="3F186D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商业银行应当指定风险管理部门或其他综合管理部门为业务连续性管理主管部门，组织开展全行业</w:t>
      </w:r>
      <w:proofErr w:type="gramStart"/>
      <w:r>
        <w:rPr>
          <w:rFonts w:ascii="宋体" w:eastAsia="宋体" w:hAnsi="宋体" w:cs="宋体" w:hint="eastAsia"/>
          <w:sz w:val="24"/>
        </w:rPr>
        <w:t>务</w:t>
      </w:r>
      <w:proofErr w:type="gramEnd"/>
      <w:r>
        <w:rPr>
          <w:rFonts w:ascii="宋体" w:eastAsia="宋体" w:hAnsi="宋体" w:cs="宋体" w:hint="eastAsia"/>
          <w:sz w:val="24"/>
        </w:rPr>
        <w:t>连续性管理工作，指导、评估、监督各部门的业务连续性管理工作；组织制定业务连续性计划，协调业务条线部门，汇总、确定重要业务的恢复目标和恢复策略；组织开展业务连续性计划的演练、评估与改进；开展业务连续性管理培训等。</w:t>
      </w:r>
    </w:p>
    <w:p w14:paraId="273093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商业银行应当明确业务连续性管理执行部门，包括业务条</w:t>
      </w:r>
      <w:proofErr w:type="gramStart"/>
      <w:r>
        <w:rPr>
          <w:rFonts w:ascii="宋体" w:eastAsia="宋体" w:hAnsi="宋体" w:cs="宋体" w:hint="eastAsia"/>
          <w:sz w:val="24"/>
        </w:rPr>
        <w:t>线部门</w:t>
      </w:r>
      <w:proofErr w:type="gramEnd"/>
      <w:r>
        <w:rPr>
          <w:rFonts w:ascii="宋体" w:eastAsia="宋体" w:hAnsi="宋体" w:cs="宋体" w:hint="eastAsia"/>
          <w:sz w:val="24"/>
        </w:rPr>
        <w:t>与信息科技部门。业务条</w:t>
      </w:r>
      <w:proofErr w:type="gramStart"/>
      <w:r>
        <w:rPr>
          <w:rFonts w:ascii="宋体" w:eastAsia="宋体" w:hAnsi="宋体" w:cs="宋体" w:hint="eastAsia"/>
          <w:sz w:val="24"/>
        </w:rPr>
        <w:t>线部门</w:t>
      </w:r>
      <w:proofErr w:type="gramEnd"/>
      <w:r>
        <w:rPr>
          <w:rFonts w:ascii="宋体" w:eastAsia="宋体" w:hAnsi="宋体" w:cs="宋体" w:hint="eastAsia"/>
          <w:sz w:val="24"/>
        </w:rPr>
        <w:t>负责风险评估、业务影响分析，确定重要业务恢复目标和恢复策略，负责业务条线重要业务应急响应与恢复；信息科技部门负责信息技术应急响应与恢复。</w:t>
      </w:r>
    </w:p>
    <w:p w14:paraId="0D85E3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商业银行应当明确业务连续性管理保障部门，包括办公室、人力资源部门、公共关系部门、财务部门、法律合</w:t>
      </w:r>
      <w:proofErr w:type="gramStart"/>
      <w:r>
        <w:rPr>
          <w:rFonts w:ascii="宋体" w:eastAsia="宋体" w:hAnsi="宋体" w:cs="宋体" w:hint="eastAsia"/>
          <w:sz w:val="24"/>
        </w:rPr>
        <w:t>规</w:t>
      </w:r>
      <w:proofErr w:type="gramEnd"/>
      <w:r>
        <w:rPr>
          <w:rFonts w:ascii="宋体" w:eastAsia="宋体" w:hAnsi="宋体" w:cs="宋体" w:hint="eastAsia"/>
          <w:sz w:val="24"/>
        </w:rPr>
        <w:t>部门、后勤部门、保卫部门等，为业务连续性日常管理提供人力、物力、财力以及安全保障和法律咨询。其中，公共关系部门应当制定对外媒体公关策略，制定和执行对外媒体公关的应急预案。</w:t>
      </w:r>
    </w:p>
    <w:p w14:paraId="647137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商业银行各部门应当负责本部门业务连续性管理工作，制定相关规章制度，制定和执行本部门业务连续性计划，开展本部门业务连续性计划的演练、评估与改进工作。</w:t>
      </w:r>
    </w:p>
    <w:p w14:paraId="6665C1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商业银行内部审计部门应当负责并定期开展全行业</w:t>
      </w:r>
      <w:proofErr w:type="gramStart"/>
      <w:r>
        <w:rPr>
          <w:rFonts w:ascii="宋体" w:eastAsia="宋体" w:hAnsi="宋体" w:cs="宋体" w:hint="eastAsia"/>
          <w:sz w:val="24"/>
        </w:rPr>
        <w:t>务</w:t>
      </w:r>
      <w:proofErr w:type="gramEnd"/>
      <w:r>
        <w:rPr>
          <w:rFonts w:ascii="宋体" w:eastAsia="宋体" w:hAnsi="宋体" w:cs="宋体" w:hint="eastAsia"/>
          <w:sz w:val="24"/>
        </w:rPr>
        <w:t>连续性管理审计工作。</w:t>
      </w:r>
    </w:p>
    <w:p w14:paraId="68CD84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应急处置组织架构</w:t>
      </w:r>
    </w:p>
    <w:p w14:paraId="2F5F2A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商业银行应当建立运营中断事件应急处置的组织架构，包括应急</w:t>
      </w:r>
      <w:r>
        <w:rPr>
          <w:rFonts w:ascii="宋体" w:eastAsia="宋体" w:hAnsi="宋体" w:cs="宋体" w:hint="eastAsia"/>
          <w:sz w:val="24"/>
        </w:rPr>
        <w:lastRenderedPageBreak/>
        <w:t>决策层、应急指挥层、应急执行层和应急保障层。</w:t>
      </w:r>
    </w:p>
    <w:p w14:paraId="70EBCB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应急决策层由商业银行高级管理人员组成，负责决定应急处置重大事宜，包括：决定运营中断事件通报、对外报告和公告；批准启动总体应急预案等。</w:t>
      </w:r>
    </w:p>
    <w:p w14:paraId="20E7EC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应急指挥层由商业银行的业务连续性管理主管部门、执行部门和保障部门负责人组成，负责运营中断事件处置应急指挥和组织协调，督导应急处置实施。</w:t>
      </w:r>
    </w:p>
    <w:p w14:paraId="7C5714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应急执行层由商业银行业务连续性管理执行部门组成，负责业务条线与信息技术应急处置工作。</w:t>
      </w:r>
    </w:p>
    <w:p w14:paraId="33BD16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应急保障层由商业银行业务连续性管理保障部门组成，负责应急处置所需人力、物力和财力等资源的保障，应急处置对外报告、宣告、通报和沟通与协调，以及对外媒体公关、秩序维护、安全保障、法律咨询和人员安抚等相关工作。</w:t>
      </w:r>
    </w:p>
    <w:p w14:paraId="7808C7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业务影响分析</w:t>
      </w:r>
    </w:p>
    <w:p w14:paraId="03D42C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商业银行应当通过业务影响分析识别和评估业务运营中断所造成的影响和损失，明确业务连续性管理重点，根据业务重要程度实现差异化管理，确定各业务恢复优先顺序和恢复指标。商业银行应当至少每三年开展一次全面业务影响分析，并形成业务影响分析报告。</w:t>
      </w:r>
    </w:p>
    <w:p w14:paraId="7DB340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商业银行应当识别重要业务，明确重要业务归口管理部门、所需关键资源及对应的信息系统，识别重要业务的相互依赖关系，分析、评估各项重要业务在运营中断事件发生时可能造成的经济损失和非经济损失。</w:t>
      </w:r>
    </w:p>
    <w:p w14:paraId="60D0EF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商业银行应当综合分析重要业务运营中断可能产生的损失与业务恢复成本，结合业务服务时效性、服务周期等运行特点，确定重要业务恢复时间目标（业务RTO）、业务恢复点目标（业务RPO)，原则上，重要业务恢复时间目标不得大于4小时，重要业务恢复点目标不得大于半小时。</w:t>
      </w:r>
    </w:p>
    <w:p w14:paraId="4A78F1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商业银行应当明确业务重要程度和恢复优先级别，并识别重要</w:t>
      </w:r>
      <w:r>
        <w:rPr>
          <w:rFonts w:ascii="宋体" w:eastAsia="宋体" w:hAnsi="宋体" w:cs="宋体" w:hint="eastAsia"/>
          <w:sz w:val="24"/>
        </w:rPr>
        <w:lastRenderedPageBreak/>
        <w:t>业务恢复所需的必要资源。</w:t>
      </w:r>
    </w:p>
    <w:p w14:paraId="1CE412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商业银行应当通过分析业务与信息系统的对应关系、信息系统之间的依赖关系，根据业务恢复时间目标、业务恢复点目标、业务应急响应时间、业务恢复的验证时间，确定信息系统恢复时间目标（信息系统RTO）、信息系统恢复点目标（信息系统RPO)，明确信息系统重要程度和恢复优先级别，并识别信息系统恢复所需的必要资源。</w:t>
      </w:r>
    </w:p>
    <w:p w14:paraId="749B9A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商业银行应当开展业务连续性风险评估，识别业务连续运营所需的关键资源，分析资源所面临的各</w:t>
      </w:r>
      <w:proofErr w:type="gramStart"/>
      <w:r>
        <w:rPr>
          <w:rFonts w:ascii="宋体" w:eastAsia="宋体" w:hAnsi="宋体" w:cs="宋体" w:hint="eastAsia"/>
          <w:sz w:val="24"/>
        </w:rPr>
        <w:t>类威胁</w:t>
      </w:r>
      <w:proofErr w:type="gramEnd"/>
      <w:r>
        <w:rPr>
          <w:rFonts w:ascii="宋体" w:eastAsia="宋体" w:hAnsi="宋体" w:cs="宋体" w:hint="eastAsia"/>
          <w:sz w:val="24"/>
        </w:rPr>
        <w:t>以及资源自身的脆弱性，确定资源的风险敞口。关键资源应当包括关键信息系统及其运行环境，关键的人员、业务场地、业务办公设备、业务单据以及供应商等。</w:t>
      </w:r>
    </w:p>
    <w:p w14:paraId="108D93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商业银行应当根据风险敞口制定降低、缓释、转移等应对策略。依据防范或控制风险的可行性和残余风险的可接受程度，确定风险防范和控制的原则与措施。</w:t>
      </w:r>
    </w:p>
    <w:p w14:paraId="2251C3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商业银行应当根据业务影响分析结果，依据业务恢复指标，制定差别化的业务恢复策略，主要包括关键资源恢复、业务替代手段、数据追补和恢复优先级别等。</w:t>
      </w:r>
    </w:p>
    <w:p w14:paraId="35B401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商业银行应当依据业务恢复策略，确定灾难恢复资源获取方式和灾难恢复等级。</w:t>
      </w:r>
    </w:p>
    <w:p w14:paraId="55AFD4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业务连续性计划与资源建设</w:t>
      </w:r>
    </w:p>
    <w:p w14:paraId="55766B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业务连续性计划</w:t>
      </w:r>
    </w:p>
    <w:p w14:paraId="3AFBE7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商业银行应当依据业务恢复目标，制定覆盖所有重要业务的业务连续性计划。</w:t>
      </w:r>
    </w:p>
    <w:p w14:paraId="6CE2C2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业务连续性计划的主要内容应当包括：</w:t>
      </w:r>
    </w:p>
    <w:p w14:paraId="525A58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（一）重要业务及关联关系、业务恢复优先次序；</w:t>
      </w:r>
    </w:p>
    <w:p w14:paraId="6F01F3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（二）重要业务运营所需关键资源；</w:t>
      </w:r>
    </w:p>
    <w:p w14:paraId="38EB31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（三）应急指挥和危机通讯程序；</w:t>
      </w:r>
    </w:p>
    <w:p w14:paraId="31CDBA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（四）各类预案以及预案维护、管理要求；</w:t>
      </w:r>
    </w:p>
    <w:p w14:paraId="3C82F2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（五）残余风险。</w:t>
      </w:r>
    </w:p>
    <w:p w14:paraId="06AA92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商业银行应当制定总体应急预案。总体应急预案是商业银行应对运营中断事件的总体方案，包括总体组织架构、各层级预案的定位和衔接关系及对运营中断事件的预警、报告、分析、决策、处理、恢复等处置程序。总体预案通常用于处置导致大范围业务运营中断的事件。</w:t>
      </w:r>
    </w:p>
    <w:p w14:paraId="58AFBB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商业银行应当制定重要业务专项应急预案，专项应急预案应当注重灾难场景的设计，明确在不同场景下的应急流程和措施。业务条线的专项应急预案，应当注重调动内部资源、采取业务应急手段尽快恢复业务，并和信息科技部门、保障部门的应急预案有效衔接。</w:t>
      </w:r>
    </w:p>
    <w:p w14:paraId="68B726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专项应急预案的主要内容应当包括：</w:t>
      </w:r>
    </w:p>
    <w:p w14:paraId="554C38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（一）应急组织架构及各部门、人员在预案中的角色、权限、职责分工；</w:t>
      </w:r>
    </w:p>
    <w:p w14:paraId="6824C9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（二）信息传递路径和方式；</w:t>
      </w:r>
    </w:p>
    <w:p w14:paraId="66535E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（三）运营中断事件处置程序，包括预警、报告、决策、指挥、响应、回退等；</w:t>
      </w:r>
    </w:p>
    <w:p w14:paraId="2756E8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（四）运营中断事件处置过程中的风险控制措施；</w:t>
      </w:r>
    </w:p>
    <w:p w14:paraId="4C2164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（五）运营中断事件的危机处理机制；</w:t>
      </w:r>
    </w:p>
    <w:p w14:paraId="382C21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（六）运营中断事件的内部沟通机制和联系方式；</w:t>
      </w:r>
    </w:p>
    <w:p w14:paraId="100DA1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（七）运营中断事件的外部沟通机制和联系方式；</w:t>
      </w:r>
    </w:p>
    <w:p w14:paraId="75FDB8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（八）应急完成后的还原机制。</w:t>
      </w:r>
    </w:p>
    <w:p w14:paraId="21986C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商业银行应当要求重要业务及信息系统的外部供应商建立业务连续性计划，证明其业务连续性计划的有效性，其业务恢复目标应当满足商业银行要求。</w:t>
      </w:r>
    </w:p>
    <w:p w14:paraId="6F8F50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第三十八条 商业银行应当注重与金融同业单位、外部金融市场、金融服务平台和公共事业部门等业务连续性计划的有效衔接；同时，应当积极采取风险缓释及转移措施，有效控制由于外部机构业务连续性管理不充分可能产生的风险。</w:t>
      </w:r>
    </w:p>
    <w:p w14:paraId="6812AB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业务连续性资源建设</w:t>
      </w:r>
    </w:p>
    <w:p w14:paraId="2F43C2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商业银行应当开展业务连续性计划所需的资源建设，满足业务恢复目标和重要业务持续运营的要求。</w:t>
      </w:r>
    </w:p>
    <w:p w14:paraId="557690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商业银行应当重点加强信息系统关键资源的建设，实现信息系统的高可用性，保障信息系统的持续运行并减少信息系统中断后的恢复时间。</w:t>
      </w:r>
    </w:p>
    <w:p w14:paraId="408AE8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商业银行应当设立统一的运营中断事件指挥中心场所，用于应急决策、指挥与联络，指挥场所应当配置办公与通讯设备以及指挥执行文档、联系资料等。</w:t>
      </w:r>
    </w:p>
    <w:p w14:paraId="2C02E9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商业银行应当建立符合业务连续性管理要求的备用资源，如备用业务和办公场所资源、备用信息系统运行场所资源、备用信息技术资源、备用人力资源等，以及电力、通讯、消防、安保等资源。</w:t>
      </w:r>
    </w:p>
    <w:p w14:paraId="06C2AA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商业银行选择备用场地时，应当确保不会同时遭受同类型风险；应当综合分析备用场地所在地的自然环境、地区配套设施、区域经济环境、交通条件、政策环境和成本等各方面因素，以及灾难恢复所需的金融服务、通讯、设备、技术等外部服务供应</w:t>
      </w:r>
      <w:proofErr w:type="gramStart"/>
      <w:r>
        <w:rPr>
          <w:rFonts w:ascii="宋体" w:eastAsia="宋体" w:hAnsi="宋体" w:cs="宋体" w:hint="eastAsia"/>
          <w:sz w:val="24"/>
        </w:rPr>
        <w:t>商资源</w:t>
      </w:r>
      <w:proofErr w:type="gramEnd"/>
      <w:r>
        <w:rPr>
          <w:rFonts w:ascii="宋体" w:eastAsia="宋体" w:hAnsi="宋体" w:cs="宋体" w:hint="eastAsia"/>
          <w:sz w:val="24"/>
        </w:rPr>
        <w:t>情况。</w:t>
      </w:r>
    </w:p>
    <w:p w14:paraId="75112D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商业银行在建立备用业务和办公场所时，应当配备业务操作和办公所需资源，并确保其能够迅速启用。</w:t>
      </w:r>
    </w:p>
    <w:p w14:paraId="2EF860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商业银行应当建立</w:t>
      </w:r>
      <w:proofErr w:type="gramStart"/>
      <w:r>
        <w:rPr>
          <w:rFonts w:ascii="宋体" w:eastAsia="宋体" w:hAnsi="宋体" w:cs="宋体" w:hint="eastAsia"/>
          <w:sz w:val="24"/>
        </w:rPr>
        <w:t>灾备中心</w:t>
      </w:r>
      <w:proofErr w:type="gramEnd"/>
      <w:r>
        <w:rPr>
          <w:rFonts w:ascii="宋体" w:eastAsia="宋体" w:hAnsi="宋体" w:cs="宋体" w:hint="eastAsia"/>
          <w:sz w:val="24"/>
        </w:rPr>
        <w:t>等备用信息技术资源和备用信息系统运行场所资源，并满足银监会关于数据中心相关监管要求。</w:t>
      </w:r>
    </w:p>
    <w:p w14:paraId="099CA4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商业银行应当明确关键岗位的备份人员及其备份方式，并确保备份人员可用，降低关键岗位人员无法及时履职风险。</w:t>
      </w:r>
    </w:p>
    <w:p w14:paraId="597163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业务连续性演练与持续改进</w:t>
      </w:r>
    </w:p>
    <w:p w14:paraId="6E10B7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业务连续性计划演练</w:t>
      </w:r>
    </w:p>
    <w:p w14:paraId="1257D0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第四十七条 商业银行应当开展业务连续性计划演练，检验应急预案的完整性、可操作性和有效性，验证业务连续性资源的可用性，提高运营中断事件的综合处置能力。</w:t>
      </w:r>
    </w:p>
    <w:p w14:paraId="4DE72E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制定业务连续性演练计划时，商业银行应当考虑业务的重要性和影响程度，包括客户范围、业务性质、业务时效性、经济与非经济影响等，演练频率、方式应当与业务的重要性和影响程度相匹配。</w:t>
      </w:r>
    </w:p>
    <w:p w14:paraId="38EF90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第四十九条 商业银行应当至少每三年对全部重要业务开展一次业务连续性计划演练。在重大业务活动、重大社会活动等关键时点，或在关键资源发生重大变化之前，也应当开展业务连续性计划的专项演练。</w:t>
      </w:r>
    </w:p>
    <w:p w14:paraId="597851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第五十条 商业银行应当加强业务应急预案的演练，重点加强业务和信息科技部门的协调、配合；应当注重以</w:t>
      </w:r>
      <w:proofErr w:type="gramStart"/>
      <w:r>
        <w:rPr>
          <w:rFonts w:ascii="宋体" w:eastAsia="宋体" w:hAnsi="宋体" w:cs="宋体" w:hint="eastAsia"/>
          <w:sz w:val="24"/>
        </w:rPr>
        <w:t>真实业务</w:t>
      </w:r>
      <w:proofErr w:type="gramEnd"/>
      <w:r>
        <w:rPr>
          <w:rFonts w:ascii="宋体" w:eastAsia="宋体" w:hAnsi="宋体" w:cs="宋体" w:hint="eastAsia"/>
          <w:sz w:val="24"/>
        </w:rPr>
        <w:t>接管为目标，确保</w:t>
      </w:r>
      <w:proofErr w:type="gramStart"/>
      <w:r>
        <w:rPr>
          <w:rFonts w:ascii="宋体" w:eastAsia="宋体" w:hAnsi="宋体" w:cs="宋体" w:hint="eastAsia"/>
          <w:sz w:val="24"/>
        </w:rPr>
        <w:t>灾备系统</w:t>
      </w:r>
      <w:proofErr w:type="gramEnd"/>
      <w:r>
        <w:rPr>
          <w:rFonts w:ascii="宋体" w:eastAsia="宋体" w:hAnsi="宋体" w:cs="宋体" w:hint="eastAsia"/>
          <w:sz w:val="24"/>
        </w:rPr>
        <w:t>能够有效接管生产系统并具备</w:t>
      </w:r>
      <w:proofErr w:type="gramStart"/>
      <w:r>
        <w:rPr>
          <w:rFonts w:ascii="宋体" w:eastAsia="宋体" w:hAnsi="宋体" w:cs="宋体" w:hint="eastAsia"/>
          <w:sz w:val="24"/>
        </w:rPr>
        <w:t>安全回切</w:t>
      </w:r>
      <w:proofErr w:type="gramEnd"/>
      <w:r>
        <w:rPr>
          <w:rFonts w:ascii="宋体" w:eastAsia="宋体" w:hAnsi="宋体" w:cs="宋体" w:hint="eastAsia"/>
          <w:sz w:val="24"/>
        </w:rPr>
        <w:t>能力。</w:t>
      </w:r>
    </w:p>
    <w:p w14:paraId="77CB03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第五十一条 商业银行应当将外部供应商纳入演练范围并定期开展演练；同时，应当积极参加金融同业单位、外部金融市场、金融服务平台和公共事业部门等组织的业务连续性计划演练，确保应急和协调措施的有效性。</w:t>
      </w:r>
    </w:p>
    <w:p w14:paraId="42579E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第五十二条 商业银行应当对业务连续性计划的演练过程进行完整记录，及时总结、评估和改进。</w:t>
      </w:r>
    </w:p>
    <w:p w14:paraId="365CA2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业务连续性管理评估与改进</w:t>
      </w:r>
    </w:p>
    <w:p w14:paraId="1AC4AE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第五十三条 商业银行应当建立业务连续性管理体系持续改进机制。</w:t>
      </w:r>
    </w:p>
    <w:p w14:paraId="065999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第五十四条 商业银行应当至少每年对业务连续性管理体系的完整性、合理性、有效性组织一次自评估，或者委托第三方机构进行评估，并向高级管理层提交评估报告。</w:t>
      </w:r>
    </w:p>
    <w:p w14:paraId="365C2E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第五十五条 商业银行应当每年对业务连续性管理文档进行修订，内容应当包含重要业务调整、制度调整、岗位职责与人员调整等，确保文档的真实性、有效性。</w:t>
      </w:r>
    </w:p>
    <w:p w14:paraId="0964DF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第五十六条 商业银行在开发新业务产品时，应当同步考虑是否将其纳入业</w:t>
      </w:r>
      <w:r>
        <w:rPr>
          <w:rFonts w:ascii="宋体" w:eastAsia="宋体" w:hAnsi="宋体" w:cs="宋体" w:hint="eastAsia"/>
          <w:sz w:val="24"/>
        </w:rPr>
        <w:lastRenderedPageBreak/>
        <w:t>务连续性管理范畴。对纳入业务连续性管理的，应当在上线前制定业务连续性计划并实施演练。</w:t>
      </w:r>
    </w:p>
    <w:p w14:paraId="7DD55E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第五十七条 在业务功能或关键资源发生重大变更时，商业银行应当及时对业务连续性计划进行修订。</w:t>
      </w:r>
    </w:p>
    <w:p w14:paraId="7DA02C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第五十八条 商业银行应当每年对本行业务连续性管理进行审计，每三年至少开展一次全面审计，发生大范围业务运营中断事件后应当及时开展专项审计。</w:t>
      </w:r>
    </w:p>
    <w:p w14:paraId="04E6CB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九条商业银行业务连续性管理审计的内容应当包括：业务影响分析、风险评估、恢复策略及恢复目标的合理性和完整性；业务连续性计划的完整性和可操作性；业务连续性计划演练过程及报告的真实性和有效性；业务连续性管理相关部门及人员的履职情况等。</w:t>
      </w:r>
    </w:p>
    <w:p w14:paraId="250D0E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运营中断事件应急处置</w:t>
      </w:r>
    </w:p>
    <w:p w14:paraId="00E6DC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监测、预警与报告</w:t>
      </w:r>
    </w:p>
    <w:p w14:paraId="339590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第六十条 商业银行应当建立运营中断事件的风险预警体系，设定风险预警指标，并纳入全行风险预警体系中。</w:t>
      </w:r>
    </w:p>
    <w:p w14:paraId="0BC44A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第六十一条 商业银行应当建立业务运营的监测体系及监控机制，对信息系统运行环境进行日常监测，采取自动化措施重点加强对业务运行情况的监控。</w:t>
      </w:r>
    </w:p>
    <w:p w14:paraId="04596E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第六十二条 商业银行应当建立关键时点的监测与预警机制，在重大业务和社会活动等关键时点，或在业务功能、关键资源发生重大变更时，加强风险监控和预警。业务条</w:t>
      </w:r>
      <w:proofErr w:type="gramStart"/>
      <w:r>
        <w:rPr>
          <w:rFonts w:ascii="宋体" w:eastAsia="宋体" w:hAnsi="宋体" w:cs="宋体" w:hint="eastAsia"/>
          <w:sz w:val="24"/>
        </w:rPr>
        <w:t>线部门</w:t>
      </w:r>
      <w:proofErr w:type="gramEnd"/>
      <w:r>
        <w:rPr>
          <w:rFonts w:ascii="宋体" w:eastAsia="宋体" w:hAnsi="宋体" w:cs="宋体" w:hint="eastAsia"/>
          <w:sz w:val="24"/>
        </w:rPr>
        <w:t>与信息科技部门等相关部门之间应当相互通报信息、提示风险，协同做好应急准备。</w:t>
      </w:r>
    </w:p>
    <w:p w14:paraId="760399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第六十三条 发生运营中断事件后，商业银行应当及时进行沟通和报告，包括：按照报告路线在内部各部门及人员之间的报告，与业务运营的外包方、业务合作方之间的沟通，以及按照银监会有关报告要求，向银监会或其派出机构的报告等。</w:t>
      </w:r>
    </w:p>
    <w:p w14:paraId="032CF3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运营中断事件处置</w:t>
      </w:r>
    </w:p>
    <w:p w14:paraId="6E8E50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第六十四条 商业银行应当制定运营中断事件等级划分标准，根据事件影响</w:t>
      </w:r>
      <w:r>
        <w:rPr>
          <w:rFonts w:ascii="宋体" w:eastAsia="宋体" w:hAnsi="宋体" w:cs="宋体" w:hint="eastAsia"/>
          <w:sz w:val="24"/>
        </w:rPr>
        <w:lastRenderedPageBreak/>
        <w:t>范围、持续时间和损失程度定义事件等级，开展应急响应处置工作。</w:t>
      </w:r>
    </w:p>
    <w:p w14:paraId="64B23D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第六十五条 运营中断事件应急处置应当遵循“统一指挥、分类管理、分级处置、快速响应”的原则，在全行统一指挥下高效、有序应对；应当根据事件等级实施差别化处置，必要时可以越级汇报、紧急授权，保障信息传递和决策的及时性，将影响或损失最小化。</w:t>
      </w:r>
    </w:p>
    <w:p w14:paraId="24ED44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第六十六条 商业银行应当及时、有效地响应运营中断事件，对事件影响进行评估，确定事件等级，及时启动应急预案，确保业务快速恢复，防止事态升级或恶化。</w:t>
      </w:r>
    </w:p>
    <w:p w14:paraId="3D5B01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第六十七条商业银行在实施应急处置时，应当采取以下措施：</w:t>
      </w:r>
    </w:p>
    <w:p w14:paraId="675DF3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（一）加强运营中断事件处置中的对外沟通，开展告知、解释与安抚工作，最大程度降低负面影响；</w:t>
      </w:r>
    </w:p>
    <w:p w14:paraId="1A4D48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（二）对重要业务可以通过减少服务功能、缩小服务范围、利用替代系统、手工记账、利用他</w:t>
      </w:r>
      <w:proofErr w:type="gramStart"/>
      <w:r>
        <w:rPr>
          <w:rFonts w:ascii="宋体" w:eastAsia="宋体" w:hAnsi="宋体" w:cs="宋体" w:hint="eastAsia"/>
          <w:sz w:val="24"/>
        </w:rPr>
        <w:t>行支付</w:t>
      </w:r>
      <w:proofErr w:type="gramEnd"/>
      <w:r>
        <w:rPr>
          <w:rFonts w:ascii="宋体" w:eastAsia="宋体" w:hAnsi="宋体" w:cs="宋体" w:hint="eastAsia"/>
          <w:sz w:val="24"/>
        </w:rPr>
        <w:t>渠道等多种手段进行业务应急处置；</w:t>
      </w:r>
    </w:p>
    <w:p w14:paraId="21DD15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（三）采用程序化和标准化的手段，提高信息技术应急处置的效率和质量。</w:t>
      </w:r>
    </w:p>
    <w:p w14:paraId="398E14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第六十八条 商业银行应当为应急处置做好场地、交通、通讯、资金等后勤保障工作。</w:t>
      </w:r>
    </w:p>
    <w:p w14:paraId="1ABF20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第六十九条 商业银行应当对运营中断事件应急处置过程进行完整记录。</w:t>
      </w:r>
    </w:p>
    <w:p w14:paraId="315780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第三节 灾难恢复</w:t>
      </w:r>
    </w:p>
    <w:p w14:paraId="04D640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第七十条 对于导致或可能导致大范围业务运营中断的事件，商业银行应当迅速决策，确定是否实施灾难备份切换。</w:t>
      </w:r>
    </w:p>
    <w:p w14:paraId="2A6A4B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第七十一条 商业银行应当事先对备份资源进行技术验证，确保其可用性；在实施灾难备份切换时，信息科技部门应当向业务条</w:t>
      </w:r>
      <w:proofErr w:type="gramStart"/>
      <w:r>
        <w:rPr>
          <w:rFonts w:ascii="宋体" w:eastAsia="宋体" w:hAnsi="宋体" w:cs="宋体" w:hint="eastAsia"/>
          <w:sz w:val="24"/>
        </w:rPr>
        <w:t>线部门</w:t>
      </w:r>
      <w:proofErr w:type="gramEnd"/>
      <w:r>
        <w:rPr>
          <w:rFonts w:ascii="宋体" w:eastAsia="宋体" w:hAnsi="宋体" w:cs="宋体" w:hint="eastAsia"/>
          <w:sz w:val="24"/>
        </w:rPr>
        <w:t>告知可能出现的数据损失情况，并对备份系统的运行情况实施监控，预警并防止出现二次中断风险。</w:t>
      </w:r>
    </w:p>
    <w:p w14:paraId="4ACC5B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第七十二条 商业银行在灾难备份切换、</w:t>
      </w:r>
      <w:proofErr w:type="gramStart"/>
      <w:r>
        <w:rPr>
          <w:rFonts w:ascii="宋体" w:eastAsia="宋体" w:hAnsi="宋体" w:cs="宋体" w:hint="eastAsia"/>
          <w:sz w:val="24"/>
        </w:rPr>
        <w:t>回切时</w:t>
      </w:r>
      <w:proofErr w:type="gramEnd"/>
      <w:r>
        <w:rPr>
          <w:rFonts w:ascii="宋体" w:eastAsia="宋体" w:hAnsi="宋体" w:cs="宋体" w:hint="eastAsia"/>
          <w:sz w:val="24"/>
        </w:rPr>
        <w:t>，业务条</w:t>
      </w:r>
      <w:proofErr w:type="gramStart"/>
      <w:r>
        <w:rPr>
          <w:rFonts w:ascii="宋体" w:eastAsia="宋体" w:hAnsi="宋体" w:cs="宋体" w:hint="eastAsia"/>
          <w:sz w:val="24"/>
        </w:rPr>
        <w:t>线部门</w:t>
      </w:r>
      <w:proofErr w:type="gramEnd"/>
      <w:r>
        <w:rPr>
          <w:rFonts w:ascii="宋体" w:eastAsia="宋体" w:hAnsi="宋体" w:cs="宋体" w:hint="eastAsia"/>
          <w:sz w:val="24"/>
        </w:rPr>
        <w:t>应当对中断时的重要业务数据进行核对，并在信息科技部门配合下，对丢失的数据进行追补；</w:t>
      </w:r>
      <w:r>
        <w:rPr>
          <w:rFonts w:ascii="宋体" w:eastAsia="宋体" w:hAnsi="宋体" w:cs="宋体" w:hint="eastAsia"/>
          <w:sz w:val="24"/>
        </w:rPr>
        <w:lastRenderedPageBreak/>
        <w:t>同时，应当进行测试和验证，确保交易的可靠性。</w:t>
      </w:r>
    </w:p>
    <w:p w14:paraId="1CCECF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第四节 危机处理</w:t>
      </w:r>
    </w:p>
    <w:p w14:paraId="44F970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第七十三条 商业银行应当建立危机处理机制，从维护客户关系、履行告知义务、维护客户合法权益出发，运用公共关系策略、方法，加强与客户、媒体的沟通，适时向公众发布信息，消除或降低危机所造成的负面影响。</w:t>
      </w:r>
    </w:p>
    <w:p w14:paraId="304BA3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第七十四条 商业银行应当指定专门部门负责危机处理工作，加强舆情监测、信息沟通和发布。</w:t>
      </w:r>
    </w:p>
    <w:p w14:paraId="60BAC9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第七十五条 商业银行应当制定针对社会公众、媒体、股东、客户等相关各方的预案，在运营中断事件发生时及时、准确披露信息，防止因信息不对称可能产生的负面影响。</w:t>
      </w:r>
    </w:p>
    <w:p w14:paraId="78CDE1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第七十六条 商业银行应当实时关注舆情信息，及时澄清虚假信息或不完整信息，消除社会疑虑，化解纠纷。</w:t>
      </w:r>
    </w:p>
    <w:p w14:paraId="0D4AAD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监管和处置</w:t>
      </w:r>
    </w:p>
    <w:p w14:paraId="04F9B0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监管处置</w:t>
      </w:r>
    </w:p>
    <w:p w14:paraId="79E730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第七十七条 银监会及其派出机构建立运营中断事件处置领导小组和工作小组。</w:t>
      </w:r>
    </w:p>
    <w:p w14:paraId="35479B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（一）领导小组主要职责为：</w:t>
      </w:r>
    </w:p>
    <w:p w14:paraId="173139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1．领导和指挥银行业运营中断事件处置工作；</w:t>
      </w:r>
    </w:p>
    <w:p w14:paraId="568073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2．审批银行业运营中断事件处置预案；</w:t>
      </w:r>
    </w:p>
    <w:p w14:paraId="18CD9B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3．最终认定银行业运营中断事件等级，决定是否启动处置预案；</w:t>
      </w:r>
    </w:p>
    <w:p w14:paraId="22D9D1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4．对银行业运营中断事件重大处置措施进行决策；</w:t>
      </w:r>
    </w:p>
    <w:p w14:paraId="194428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5．协调跨行业、跨部门共同开展的处置工作重大事项；</w:t>
      </w:r>
    </w:p>
    <w:p w14:paraId="66CFB1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6．对银行业运营中断事件处置的对外信息发布进行决策。</w:t>
      </w:r>
    </w:p>
    <w:p w14:paraId="48DFBF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（二）工作小组主要职责为：</w:t>
      </w:r>
    </w:p>
    <w:p w14:paraId="4ABB6A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1．制定银行业运营中断事件处置预案；</w:t>
      </w:r>
    </w:p>
    <w:p w14:paraId="12E731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2．对银行业金融机构运营中断事件进行监管处置；</w:t>
      </w:r>
    </w:p>
    <w:p w14:paraId="4A5659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3．向处置领导小组报告运营中断事件、重大处置事项及事件进展情况；</w:t>
      </w:r>
    </w:p>
    <w:p w14:paraId="6DBCE7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4．依授权对外发布信息；</w:t>
      </w:r>
    </w:p>
    <w:p w14:paraId="031926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5．协调跨行业、跨部门资源。</w:t>
      </w:r>
    </w:p>
    <w:p w14:paraId="76DEC6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第七十八条 银监会建立银行业信息科技风险预警体系，对可能导致银行业发生较大运营中断事件的风险进行分析和评估，进行风险提示和预警。</w:t>
      </w:r>
    </w:p>
    <w:p w14:paraId="5B7283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第七十九条 银监会及其派出机构对银行业运营中断事件进行分级。当运营中断事件同时满足多个级别的定级条件时，按最高级别确定事件等级。</w:t>
      </w:r>
    </w:p>
    <w:p w14:paraId="5328FC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（一）特别重大运营中断事件（I级）</w:t>
      </w:r>
    </w:p>
    <w:p w14:paraId="66786A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1．银行业金融机构重要信息系统服务中断，或重要数据损毁、丢失、泄露，造成经济秩序混乱或重大经济损失、影响金融稳定，或对公众利益、社会秩序、国家安全造成特别严重损害的事件；</w:t>
      </w:r>
    </w:p>
    <w:p w14:paraId="349957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2．在业务服务时段导致一个（含）以上省（自治区、直辖市）的多家金融机构业务无法正常开展达3个小时（含）以上的事件；</w:t>
      </w:r>
    </w:p>
    <w:p w14:paraId="79BC0E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3．在业务服务时段导致单家金融机构两个（含）以上省（自治区、直辖市）业务无法正常开展达3个小时（含）以上，或一个省（自治区、直辖市）业务无法正常开展达6个小时（含）以上的事件；</w:t>
      </w:r>
    </w:p>
    <w:p w14:paraId="3E9826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4．业务服务时段以外，故障或事件救治未果、可能产生上述1至3类事件的事件。</w:t>
      </w:r>
    </w:p>
    <w:p w14:paraId="6DF7A8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（二）重大运营中断事件（11级）</w:t>
      </w:r>
    </w:p>
    <w:p w14:paraId="511539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1．银行业金融机构重要信息系统服务中断，或重要数据损毁、丢失、泄露，对银行或客户利益造成严重损害的事件；</w:t>
      </w:r>
    </w:p>
    <w:p w14:paraId="363FD4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2．在业务服务时段导致一个（含）以上省（自治区、直辖市）的多家金融机构业务无法正常开展达半个小时（含）以上的事件；</w:t>
      </w:r>
    </w:p>
    <w:p w14:paraId="49CE12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3．在业务服务时段导致单家金融机构两个（含）以上省（自治区、直辖市）业务无法正常开展达半个小时（含）以上，或一个省（自治区、直辖市）业务无法正常开展达3个小时（含）以上的事件；</w:t>
      </w:r>
    </w:p>
    <w:p w14:paraId="01A071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4．业务服务时段以外，故障或事件救治未果、可能产生上述1至3类事件的事件。</w:t>
      </w:r>
    </w:p>
    <w:p w14:paraId="033DAC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（三）较大运营中断事件（111级）</w:t>
      </w:r>
    </w:p>
    <w:p w14:paraId="7001AE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1．银行业金融机构重要信息系统服务中断，或重要数据损毁、丢失、泄露，对银行或客户利益造成较大损害的事件；</w:t>
      </w:r>
    </w:p>
    <w:p w14:paraId="0B7E3C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2．在业务服务时段导致一个省（自治区、直辖市）业务无法正常开展达半个小时（含）以上的事件；</w:t>
      </w:r>
    </w:p>
    <w:p w14:paraId="04EECE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3．业务服务时段以外，故障或事件救治未果、可能产生上述1至2类事件的事件。</w:t>
      </w:r>
    </w:p>
    <w:p w14:paraId="5872ED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第八十条 按照属地监管原则，银监会派出机构在商业银行运营中断事件发生后2小时内，将事件及处置情况上报银监会处置工作小组。事件报告至少包括：事发银行及事件发生时间、地点、现象、影响范围和程度、</w:t>
      </w:r>
      <w:proofErr w:type="gramStart"/>
      <w:r>
        <w:rPr>
          <w:rFonts w:ascii="宋体" w:eastAsia="宋体" w:hAnsi="宋体" w:cs="宋体" w:hint="eastAsia"/>
          <w:sz w:val="24"/>
        </w:rPr>
        <w:t>己采取</w:t>
      </w:r>
      <w:proofErr w:type="gramEnd"/>
      <w:r>
        <w:rPr>
          <w:rFonts w:ascii="宋体" w:eastAsia="宋体" w:hAnsi="宋体" w:cs="宋体" w:hint="eastAsia"/>
          <w:sz w:val="24"/>
        </w:rPr>
        <w:t>的措施等。</w:t>
      </w:r>
    </w:p>
    <w:p w14:paraId="4BFC7B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银监会处置工作小组应当将重大以上运营中断事件上报银监会运营中断事件处置领导小组。</w:t>
      </w:r>
    </w:p>
    <w:p w14:paraId="301F0D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第八十一条 银监会根据国家有关网络与信息安全事件应急预案要求向相关部门通报运营中断事件；对其他行业有较大影响的运营中断事件，可以向该行业主管或监管部门通报事件情况；对于特别重大（I级）的运营中断事件，将事件及处置情况及时上报国务院。</w:t>
      </w:r>
    </w:p>
    <w:p w14:paraId="326339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第八十二条 银监会及其派出机构对商业银行报送的事件内容和事件等级进行分析、评估，认定运营中断事件的最终等级，及时启动处置预案，实施运营中断事件监管处置工作。</w:t>
      </w:r>
    </w:p>
    <w:p w14:paraId="23A338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第八十三条 对于较大（111级）运营中断事件，按照属地监管原则，由银监会或其派出机构组织开展处置工作，处置结束后银监会派出机构向银监会上报</w:t>
      </w:r>
      <w:r>
        <w:rPr>
          <w:rFonts w:ascii="宋体" w:eastAsia="宋体" w:hAnsi="宋体" w:cs="宋体" w:hint="eastAsia"/>
          <w:sz w:val="24"/>
        </w:rPr>
        <w:lastRenderedPageBreak/>
        <w:t>运营中断事件总结报告。</w:t>
      </w:r>
    </w:p>
    <w:p w14:paraId="47C315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四条对于特别重大（I级）和重大（11级）运营中断事件，银监会处置工作小组及时核实情况，指导协调银监会派出机构开展处置；根据事件影响范围、紧急程度和事件处置进展情况，银监会处置工作小组可以赴事发银行现场进行督导。</w:t>
      </w:r>
    </w:p>
    <w:p w14:paraId="221CAD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第八十五条 银监会及其派出机构督导商业银行采取措施尽快恢复系统和业务，最大程度减少事件产生的负面影响。必要时，可以协调国家专业技术队伍或外部专家提供技术支援。</w:t>
      </w:r>
    </w:p>
    <w:p w14:paraId="413D18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第八十六条 银监会及其派出机构督导商业银行积极采取风险隔离措施，防止事件恶化或向其他银行业金融机构扩散。对可能影响其他银行业金融机构业务开展或对银行业产生区域性、整体性影响的事件，银监会及其派出机构及时发布风险提示，加强风险防范。</w:t>
      </w:r>
    </w:p>
    <w:p w14:paraId="5FF150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第八十七条 银监会及其派出机构督促商业银行开展危机处理，做好舆情监测和媒体沟通，做好合理宣传解释工作，防止不实信息导致银行业金融机构</w:t>
      </w:r>
      <w:proofErr w:type="gramStart"/>
      <w:r>
        <w:rPr>
          <w:rFonts w:ascii="宋体" w:eastAsia="宋体" w:hAnsi="宋体" w:cs="宋体" w:hint="eastAsia"/>
          <w:sz w:val="24"/>
        </w:rPr>
        <w:t>声誊</w:t>
      </w:r>
      <w:proofErr w:type="gramEnd"/>
      <w:r>
        <w:rPr>
          <w:rFonts w:ascii="宋体" w:eastAsia="宋体" w:hAnsi="宋体" w:cs="宋体" w:hint="eastAsia"/>
          <w:sz w:val="24"/>
        </w:rPr>
        <w:t>风险。涉及行业性运营中断事件处置情况通报时，由银监会按照信息披露程序统一对外发布信息。</w:t>
      </w:r>
    </w:p>
    <w:p w14:paraId="47BB5D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第八十八条 银监会及其派出机构加强与相关部门和监管机构的协作，协调各方力量开展处置工作。</w:t>
      </w:r>
    </w:p>
    <w:p w14:paraId="7A0C83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第八十九条 商业银行业务恢复正常运行后，应当将运营中断事件及其处置工作的评估、总结和改进报告报送银监会或其派出机构。银监会或其派出机构对事件进行评估和现场调查，查明事件原因，进行责任认定。</w:t>
      </w:r>
    </w:p>
    <w:p w14:paraId="4D2784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持续监管</w:t>
      </w:r>
    </w:p>
    <w:p w14:paraId="00080A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第九十条 银监会及其派出机构将商业银行业务连续性管理纳入其风险管理综合评估范围。</w:t>
      </w:r>
    </w:p>
    <w:p w14:paraId="4F8C4B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第九十一条 银监会及其派出机构对商业银行业务连续性管理工作进行监督和检查，对业务连续性工作进行综合评价，提出监管要求。</w:t>
      </w:r>
    </w:p>
    <w:p w14:paraId="542740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第九十二条 商业银行应当于每年一季度向银监会或其派出机构提交业务连续性管理报告，包括上一年度业务连续性管理的评估报告与审计报告。</w:t>
      </w:r>
    </w:p>
    <w:p w14:paraId="00E291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第九十三条 银监会及其派出机构对商业银行业务连续性管理报告进行审查，督导商业银行建立与其风险管控目标、机构规模、公众影响和所承担的社会责任相匹配的业务连续性管理体系。</w:t>
      </w:r>
    </w:p>
    <w:p w14:paraId="0EE525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第九十四条 银监会及其派出机构对商业银行业务连续性管理报告进行审查时，要综合考虑商业银行机构规模、业务范围以及风险状况。重点关注以下方面：</w:t>
      </w:r>
    </w:p>
    <w:p w14:paraId="07E438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（一）业务连续性管理体系的完整性和合理性；</w:t>
      </w:r>
    </w:p>
    <w:p w14:paraId="5945DD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（二）业务连续性管理的实施情况；</w:t>
      </w:r>
    </w:p>
    <w:p w14:paraId="68567E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（三）业务连续性计划的演练情况；</w:t>
      </w:r>
    </w:p>
    <w:p w14:paraId="593315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（四）业务连续性管理年度评估的完整性和准确性，审计覆盖领域和深度；</w:t>
      </w:r>
    </w:p>
    <w:p w14:paraId="17DB45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（五）业务连续性管理在执行过程中存在的问题及其整改情况。</w:t>
      </w:r>
    </w:p>
    <w:p w14:paraId="5215C8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第九十五条 商业银行在完成业务连续性计划的全行性演练后，应当在45个工作日内向监管机构提交演练总结报告。</w:t>
      </w:r>
    </w:p>
    <w:p w14:paraId="28A93E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第九十六条 商业银行业务连续性管理机制存在重大缺陷、日常管理工作存在严重违规的，因违反审慎经营规则导致业务运营中断的，或在运营中断事件中应急处置不力导致事件恶化、蔓延的，银监会或其派出机构依法采取监管措施并追究有关责任人的责任。</w:t>
      </w:r>
    </w:p>
    <w:p w14:paraId="7FDDAC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第八章 附则</w:t>
      </w:r>
    </w:p>
    <w:p w14:paraId="763B32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第九十七条 本指引适用于在中华人民共和国境内依法设立的法人商业银行和农村合作银行、城市信用社、农村信用社。政策性银行、村镇银行、金融资产管理公司、信托公司、企业集团财务公司、金融租赁公司、汽车金融公司、货币经纪公司、消费金融公司等其他银行业金融机构参照执行。</w:t>
      </w:r>
    </w:p>
    <w:p w14:paraId="5815E5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第九十八条 本指引由中国银监会负责解释、修订。</w:t>
      </w:r>
    </w:p>
    <w:p w14:paraId="5B23C07E"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第九十九条 本指引自公布之日起执行。</w:t>
      </w:r>
    </w:p>
    <w:p w14:paraId="059C8F79"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78.《金融企业不良资产批量转让管理办法》</w:t>
      </w:r>
      <w:r>
        <w:rPr>
          <w:rFonts w:ascii="宋体" w:eastAsia="宋体" w:hAnsi="宋体" w:cs="宋体" w:hint="eastAsia"/>
          <w:b/>
          <w:bCs/>
          <w:sz w:val="24"/>
        </w:rPr>
        <w:tab/>
      </w:r>
    </w:p>
    <w:p w14:paraId="6238C5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发文机构：财政部，中国银行业监督管理委员会（已撤销）</w:t>
      </w:r>
      <w:r>
        <w:rPr>
          <w:rFonts w:ascii="宋体" w:eastAsia="宋体" w:hAnsi="宋体" w:cs="宋体" w:hint="eastAsia"/>
          <w:sz w:val="24"/>
        </w:rPr>
        <w:tab/>
      </w:r>
    </w:p>
    <w:p w14:paraId="36FB21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文号：财金〔2012〕6号</w:t>
      </w:r>
      <w:r>
        <w:rPr>
          <w:rFonts w:ascii="宋体" w:eastAsia="宋体" w:hAnsi="宋体" w:cs="宋体" w:hint="eastAsia"/>
          <w:sz w:val="24"/>
        </w:rPr>
        <w:tab/>
      </w:r>
      <w:r>
        <w:rPr>
          <w:rFonts w:ascii="宋体" w:eastAsia="宋体" w:hAnsi="宋体" w:cs="宋体" w:hint="eastAsia"/>
          <w:sz w:val="24"/>
        </w:rPr>
        <w:tab/>
      </w:r>
    </w:p>
    <w:p w14:paraId="5B3453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017055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为盘活金融企业不良资产，增强抵御风险能力，促进金融支持经济发展，防范国有资产流失，根据国家有关法律法规，制定本办法。</w:t>
      </w:r>
    </w:p>
    <w:p w14:paraId="4D92F3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办法所称金融企业，是指在中华人民共和国境内依法设立的国有及国有控股商业银行、政策性银行、信托投资公司、财务公司、城市信用社、农村信用社以及中国银行业监督管理委员会（以下简称银监会）依法监督管理的其他国有及国有控股金融企业（金融资产管理公司除外）。</w:t>
      </w:r>
    </w:p>
    <w:p w14:paraId="199693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其他中资金融企业参照本办法执行。</w:t>
      </w:r>
    </w:p>
    <w:p w14:paraId="40A5D0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办法所称资产管理公司，是指具有健全公司治理、内部管理控制机制，并有5年以上不良资产管理和处置经验，公司注册资本金100亿元（含）以上，取得银监会核发的金融许可证的公司，以及各省、自治区、直辖市人民政府依法设立或授权的资产管理或经营公司。</w:t>
      </w:r>
    </w:p>
    <w:p w14:paraId="3437A6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省级人民政府原则上只可设立或授权一家资产管理或经营公司，核准设立或授权文件同时抄送财政部和银监会。上述资产管理或经营公司只能参与本省（区、市）范围内不良资产的批量转让工作，其购入的不良资产应采取债务重组的方式进行处置，不得对外转让。</w:t>
      </w:r>
    </w:p>
    <w:p w14:paraId="5606DB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批量转让是指金融企业对一定规模的不良资产（10户/项以上）进行组包，定向转让给资产管理公司的行为。</w:t>
      </w:r>
    </w:p>
    <w:p w14:paraId="602316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金融企业应进一步完善公司治理和内控制度，不断提高风险管理能力，建立损失补偿机制，及时提足相关风险准备。</w:t>
      </w:r>
    </w:p>
    <w:p w14:paraId="3D31AC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金融企业应对批量处置的不良资产及时认定责任人，对相关责任人进行严肃处理，并将处理情况报同级财政部门和银监会或属地银监局。</w:t>
      </w:r>
    </w:p>
    <w:p w14:paraId="35B660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第六条 不良资产批量转让工作应坚持依法合</w:t>
      </w:r>
      <w:proofErr w:type="gramStart"/>
      <w:r>
        <w:rPr>
          <w:rFonts w:ascii="宋体" w:eastAsia="宋体" w:hAnsi="宋体" w:cs="宋体" w:hint="eastAsia"/>
          <w:sz w:val="24"/>
        </w:rPr>
        <w:t>规</w:t>
      </w:r>
      <w:proofErr w:type="gramEnd"/>
      <w:r>
        <w:rPr>
          <w:rFonts w:ascii="宋体" w:eastAsia="宋体" w:hAnsi="宋体" w:cs="宋体" w:hint="eastAsia"/>
          <w:sz w:val="24"/>
        </w:rPr>
        <w:t>、公开透明、竞争择优、价值最大化原则。</w:t>
      </w:r>
    </w:p>
    <w:p w14:paraId="309C9F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（一）依法合</w:t>
      </w:r>
      <w:proofErr w:type="gramStart"/>
      <w:r>
        <w:rPr>
          <w:rFonts w:ascii="宋体" w:eastAsia="宋体" w:hAnsi="宋体" w:cs="宋体" w:hint="eastAsia"/>
          <w:sz w:val="24"/>
        </w:rPr>
        <w:t>规</w:t>
      </w:r>
      <w:proofErr w:type="gramEnd"/>
      <w:r>
        <w:rPr>
          <w:rFonts w:ascii="宋体" w:eastAsia="宋体" w:hAnsi="宋体" w:cs="宋体" w:hint="eastAsia"/>
          <w:sz w:val="24"/>
        </w:rPr>
        <w:t>原则。转让资产范围、程序严格遵守国家法律法规和政策规定，严禁违法违规行为。</w:t>
      </w:r>
    </w:p>
    <w:p w14:paraId="03A9E7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（二）公开透明原则。转让行为要公开、公平、公正，及时充分披露相关信息，避免暗箱操作，防范道德风险。</w:t>
      </w:r>
    </w:p>
    <w:p w14:paraId="2834A6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（三）竞争择优原则。要优先选择招标、竞价、拍卖等公开转让方式，充分竞争，避免非理性竞价。</w:t>
      </w:r>
    </w:p>
    <w:p w14:paraId="06DDB5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（四）价值最大化原则。转让方式和交易结构应科学合理，提高效率，降低成本，实现处置回收价值最大化。</w:t>
      </w:r>
    </w:p>
    <w:p w14:paraId="0294C9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转让范围</w:t>
      </w:r>
    </w:p>
    <w:p w14:paraId="210209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金融企业批量转让不良资产的范围包括金融企业在经营中形成的以下不良信贷资产和非信贷资产：</w:t>
      </w:r>
    </w:p>
    <w:p w14:paraId="663E54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（一）按规定程序和标准认定为次级、可疑、损失类的贷款；</w:t>
      </w:r>
    </w:p>
    <w:p w14:paraId="003382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（二）已核销的账销案存资产；</w:t>
      </w:r>
    </w:p>
    <w:p w14:paraId="5332B0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（三）抵债资产；</w:t>
      </w:r>
    </w:p>
    <w:p w14:paraId="5A9EF9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（四）其他不良资产。</w:t>
      </w:r>
    </w:p>
    <w:p w14:paraId="1FE81B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下列不良资产不得进行批量转让：</w:t>
      </w:r>
    </w:p>
    <w:p w14:paraId="266B1C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（一）债务人或担保人为国家机关的资产；</w:t>
      </w:r>
    </w:p>
    <w:p w14:paraId="7623E8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（二）经国务院批准列入全国企业政策性关闭破产计划的资产；</w:t>
      </w:r>
    </w:p>
    <w:p w14:paraId="5A8FB2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（三）国防军工等涉及国家安全和敏感信息的资产；</w:t>
      </w:r>
    </w:p>
    <w:p w14:paraId="55CB97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（四）个人贷款（包括向个人发放的购房贷款、购车贷款、教育助学贷款、信用卡透支、其他消费贷款等以</w:t>
      </w:r>
      <w:proofErr w:type="gramStart"/>
      <w:r>
        <w:rPr>
          <w:rFonts w:ascii="宋体" w:eastAsia="宋体" w:hAnsi="宋体" w:cs="宋体" w:hint="eastAsia"/>
          <w:sz w:val="24"/>
        </w:rPr>
        <w:t>个</w:t>
      </w:r>
      <w:proofErr w:type="gramEnd"/>
      <w:r>
        <w:rPr>
          <w:rFonts w:ascii="宋体" w:eastAsia="宋体" w:hAnsi="宋体" w:cs="宋体" w:hint="eastAsia"/>
          <w:sz w:val="24"/>
        </w:rPr>
        <w:t>人为借款主体的各类贷款）；</w:t>
      </w:r>
    </w:p>
    <w:p w14:paraId="7E887C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（五）在借款合同或担保合同中有限制转让条款的资产；</w:t>
      </w:r>
    </w:p>
    <w:p w14:paraId="552E9A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（六）国家法律法规限制转让的其他资产。</w:t>
      </w:r>
    </w:p>
    <w:p w14:paraId="77E220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转让程序</w:t>
      </w:r>
    </w:p>
    <w:p w14:paraId="3909FA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资产组包。金融企业应确定拟批量转让不良资产的范围和标准，对资产进行分类整理，对一</w:t>
      </w:r>
      <w:proofErr w:type="gramStart"/>
      <w:r>
        <w:rPr>
          <w:rFonts w:ascii="宋体" w:eastAsia="宋体" w:hAnsi="宋体" w:cs="宋体" w:hint="eastAsia"/>
          <w:sz w:val="24"/>
        </w:rPr>
        <w:t>定户数</w:t>
      </w:r>
      <w:proofErr w:type="gramEnd"/>
      <w:r>
        <w:rPr>
          <w:rFonts w:ascii="宋体" w:eastAsia="宋体" w:hAnsi="宋体" w:cs="宋体" w:hint="eastAsia"/>
          <w:sz w:val="24"/>
        </w:rPr>
        <w:t>和金额的不良资产进行组包，根据资产分布和市场行情，合理确定批量转让资产的规模。</w:t>
      </w:r>
    </w:p>
    <w:p w14:paraId="4ECACE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卖方尽职调查。金融企业应按照国家有关规定和要求，认真做好批量转让不良资产的卖方尽职调查工作。</w:t>
      </w:r>
    </w:p>
    <w:p w14:paraId="556CF8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（一）通过审阅不良资产档案和现场调查等方式，客观、公正地反映不良资产状况，充分披露资产风险。</w:t>
      </w:r>
    </w:p>
    <w:p w14:paraId="508DBD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（二）金融企业应按照地域、行业、金额等特点确定样本资产，并对样本资产（其中债权资产应包括抵质押物）开展现场调查，样本资产金额（债权为本金金额）应不低于每批次资产的80%。</w:t>
      </w:r>
    </w:p>
    <w:p w14:paraId="68AC96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（三）金融企业应真实记录卖方尽职调查过程，建立卖方尽职调查数据库，撰写卖方尽职调查报告。</w:t>
      </w:r>
    </w:p>
    <w:p w14:paraId="40297B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资产估值。金融企业应在卖方尽职调查的基础上，釆</w:t>
      </w:r>
      <w:proofErr w:type="gramStart"/>
      <w:r>
        <w:rPr>
          <w:rFonts w:ascii="宋体" w:eastAsia="宋体" w:hAnsi="宋体" w:cs="宋体" w:hint="eastAsia"/>
          <w:sz w:val="24"/>
        </w:rPr>
        <w:t>取科学</w:t>
      </w:r>
      <w:proofErr w:type="gramEnd"/>
      <w:r>
        <w:rPr>
          <w:rFonts w:ascii="宋体" w:eastAsia="宋体" w:hAnsi="宋体" w:cs="宋体" w:hint="eastAsia"/>
          <w:sz w:val="24"/>
        </w:rPr>
        <w:t>的估值方法，逐户预测不良资产的回收情况，合理估算资产价值，作为资产转让定价的依据。</w:t>
      </w:r>
    </w:p>
    <w:p w14:paraId="1282D0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制定转让方案。金融企业制定转让方案应对资产状况、尽职调查情况、估值的方法和结果、转让方式、邀请或公告情况、受让方的确定过程、履约保证和风险控制措施、预计处置回收和损失、费用支出等进行阐述和论证。转让方案应附卖方尽职调查报告和转让协议文本。</w:t>
      </w:r>
    </w:p>
    <w:p w14:paraId="3F74E7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方案审批。金融企业不良资产批量转让方案须履行相应的内部审批程序。</w:t>
      </w:r>
    </w:p>
    <w:p w14:paraId="02ECA1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发出要约邀请。金融企业可选择招标、竞价、拍卖等公开转让方式，根据不同的转让方式向资产管理公司发出邀请函或进行公告。邀请函或公告内容应包括资产金额、交易基准日、五级分类、资产分布、转让方式、交易对象</w:t>
      </w:r>
      <w:r>
        <w:rPr>
          <w:rFonts w:ascii="宋体" w:eastAsia="宋体" w:hAnsi="宋体" w:cs="宋体" w:hint="eastAsia"/>
          <w:sz w:val="24"/>
        </w:rPr>
        <w:lastRenderedPageBreak/>
        <w:t>资格和条件、报价日、邀请或公告日期、有效期限、联系人和联系方式及其他需要说明的问题。通过公开转让方式只产生1个符合条件的意向受让方时，可釆</w:t>
      </w:r>
      <w:proofErr w:type="gramStart"/>
      <w:r>
        <w:rPr>
          <w:rFonts w:ascii="宋体" w:eastAsia="宋体" w:hAnsi="宋体" w:cs="宋体" w:hint="eastAsia"/>
          <w:sz w:val="24"/>
        </w:rPr>
        <w:t>取协议</w:t>
      </w:r>
      <w:proofErr w:type="gramEnd"/>
      <w:r>
        <w:rPr>
          <w:rFonts w:ascii="宋体" w:eastAsia="宋体" w:hAnsi="宋体" w:cs="宋体" w:hint="eastAsia"/>
          <w:sz w:val="24"/>
        </w:rPr>
        <w:t>转让方式。</w:t>
      </w:r>
    </w:p>
    <w:p w14:paraId="4B0412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组织买方尽职调查。金融企业应组织接受邀请并注册竞买的资产管理公司进行买方尽职调查。</w:t>
      </w:r>
    </w:p>
    <w:p w14:paraId="7651A3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（一）金融企业应在买方尽职调查前，向已注册竞买的资产管理公司提供必要的资产权属文件、档案资料和相应电子信息数据，至少应包括不良资产重要档案复印件或扫描文件、贷款五级分类结果等。</w:t>
      </w:r>
    </w:p>
    <w:p w14:paraId="34ED02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（二）金融企业应对资产管理公司的买方尽职调查提供必要的条件，保证合理的现场尽职调查时间，对于资产金额和户数较大的资产包，应适当延长尽职调查时间。</w:t>
      </w:r>
    </w:p>
    <w:p w14:paraId="039376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资产管理公司通过买方尽职调查，补充完善资产信息，对资产状况、权属关系、市场前景等进行评价分析，科学估算资产价值，合理预测风险。对拟收购资产进行量本利分析，认真测算收购资产的预期收入和成本，根据资产管理公司自身的风险承受能力，理性报价。</w:t>
      </w:r>
    </w:p>
    <w:p w14:paraId="4B40AD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确定受让方。金融企业根据不同的转让方式，按照市场化原则和国家有关规定，确定受让资产管理公司。金融企业应将确定受让方的原则提前告知已注册的资产管理公司。采取竞价方式转让资产，应组成评价委员会，负责转让资产的评价工作，评价委员会可邀请外部专家参加；釆取招标方式应遵守国家有关招标的法律法规；釆取拍卖方式应遵守国家有关拍卖的法律法规。</w:t>
      </w:r>
    </w:p>
    <w:p w14:paraId="0B556E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签订转让协议。金融企业应与受让资产管理公司签订资产转让协议，转让协议应明确约定交易基准日、转让标的、转让价格、付款方式、付款时间、收款账户、资产清单、资产交割日、资产交接方式、违约责任等条款，以及有关资产权利的维护、担保权利的变更、已起诉和执行项目主体资格的变更等具体事项。转让协议经双方签署后生效。</w:t>
      </w:r>
    </w:p>
    <w:p w14:paraId="678095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组织实施。金融企业和受让资产管理公司根据签署的资产转让协议组织实施。</w:t>
      </w:r>
    </w:p>
    <w:p w14:paraId="4AF94E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第十九条 发布转让公告。转让债权资产的，金融企业和受让资产管理公司要在约定时间内在全国或者省级有影响的报纸上发布债权转让通知暨债务催收公告，通知债务人和相应的担保人，公告费用由双方承担。双方约定釆取其他方式通知债务人的除外。</w:t>
      </w:r>
    </w:p>
    <w:p w14:paraId="59485E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转让协议生效后，受让资产管理公司应在规定时间内将交易价款划至金融企业指定账户。原则上釆取一次性付款方式，确需釆取分期付款方式的，应将付款期限和次数等条件作为确定转让对象和价格的因素，首次支付比例不低于全部价款的30%。</w:t>
      </w:r>
    </w:p>
    <w:p w14:paraId="4866F3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釆取分期付款的，资产权证移交受让资产管理公司前应落实有效履约保障措施。</w:t>
      </w:r>
    </w:p>
    <w:p w14:paraId="3086AE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金融企业应按照资产转让协议约定，及时完成资产档案的整理、</w:t>
      </w:r>
      <w:proofErr w:type="gramStart"/>
      <w:r>
        <w:rPr>
          <w:rFonts w:ascii="宋体" w:eastAsia="宋体" w:hAnsi="宋体" w:cs="宋体" w:hint="eastAsia"/>
          <w:sz w:val="24"/>
        </w:rPr>
        <w:t>组卷和</w:t>
      </w:r>
      <w:proofErr w:type="gramEnd"/>
      <w:r>
        <w:rPr>
          <w:rFonts w:ascii="宋体" w:eastAsia="宋体" w:hAnsi="宋体" w:cs="宋体" w:hint="eastAsia"/>
          <w:sz w:val="24"/>
        </w:rPr>
        <w:t>移交工作。</w:t>
      </w:r>
    </w:p>
    <w:p w14:paraId="39F1DA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（一）金融企业移交的档案资料原则上应为原件（电子信息资料除外），其中证明债权债务关系和产权关系的法律文件资料必须移交原件。</w:t>
      </w:r>
    </w:p>
    <w:p w14:paraId="0E5EB5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（二）金融企业将资产转让给资产管理公司时，对双方共有债权的档案资料，由双方协商确定档案资料原件的保管方，并在协议中进行约定，确保其他方需要使用原件时，原件保管方及时提供。</w:t>
      </w:r>
    </w:p>
    <w:p w14:paraId="62705D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（三）金融企业应确保移交档案资料和信息披露资料（债权利息除外）的一致性，严格按照转让协议的约定向受让资产管理公司移交不良资产的档案资料。</w:t>
      </w:r>
    </w:p>
    <w:p w14:paraId="0BB05E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第二十二条 </w:t>
      </w:r>
      <w:proofErr w:type="gramStart"/>
      <w:r>
        <w:rPr>
          <w:rFonts w:ascii="宋体" w:eastAsia="宋体" w:hAnsi="宋体" w:cs="宋体" w:hint="eastAsia"/>
          <w:sz w:val="24"/>
        </w:rPr>
        <w:t>自交易</w:t>
      </w:r>
      <w:proofErr w:type="gramEnd"/>
      <w:r>
        <w:rPr>
          <w:rFonts w:ascii="宋体" w:eastAsia="宋体" w:hAnsi="宋体" w:cs="宋体" w:hint="eastAsia"/>
          <w:sz w:val="24"/>
        </w:rPr>
        <w:t>基准日至资产交割日的过渡期内，金融企业应继续负责转让资产的管理和维护，避免出现管理真空，丧失诉讼时效等相关法律权利。</w:t>
      </w:r>
    </w:p>
    <w:p w14:paraId="082DD1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过渡期内由于金融企业原因造成债权诉讼时效丧失所形成的损失，应由金融企业承担。签订资产转让协议后，金融企业对不良资产进行处置或签署委托处置代理协议的方案，应征得受让资产管理公司同意。</w:t>
      </w:r>
    </w:p>
    <w:p w14:paraId="60DCE1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金融企业应按照国家有关规定，对资产转让成交价格与账面价值的差额进行核销，并按规定进行税前扣除。</w:t>
      </w:r>
    </w:p>
    <w:p w14:paraId="14D20C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第四章 转让管理</w:t>
      </w:r>
    </w:p>
    <w:p w14:paraId="593607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金融企业应建立健全不良资产批量转让管理制度，设立或确定专门的审核机构，完善授权机制，明确股东大会、董事会、经营管理层的职责。</w:t>
      </w:r>
    </w:p>
    <w:p w14:paraId="08CAAF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资产管理公司应制定不良资产收购管理制度，设立收购业务审议决策机构，建立科学的决策机制，有效防范经营风险。</w:t>
      </w:r>
    </w:p>
    <w:p w14:paraId="62BC11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金融企业和资产管理公司负责不良资产批量转让或收购的有关部门应遵循岗位分离、人员独立、职能制衡的原则。</w:t>
      </w:r>
    </w:p>
    <w:p w14:paraId="63FDFE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金融企业根据本办法规定，按照公司章程和内部管理权限，履行批量转让不良资产的内部审批程序，自主批量转让不良资产。</w:t>
      </w:r>
    </w:p>
    <w:p w14:paraId="2208E0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金融企业应在每批次不良资产转让工作结束后（即金融企业向受让资产管理公司完成档案移交）30个工作日内，向同级财政部门和银监会或属地银监局报告转让方案及处置结果，其中中央管理的金融企业报告财政部和银监会，地方管理的金融企业报告同级财政部门和属地银监局。同一报价日发生的批量转让行为作为一个批次。</w:t>
      </w:r>
    </w:p>
    <w:p w14:paraId="499AEC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金融企业应于每年2月20日前向同级财政部门和银监会或属地银监局报送上年度批量转让不良资产情况报告。省级财政部门和银监局于每年3月30日前分别将辖区内金融企业上年度批量转让不良资产汇总情况报财政部和银监会。</w:t>
      </w:r>
    </w:p>
    <w:p w14:paraId="576E85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金融企业和资产管理公司的相关人员与债务人、担保人、受托中介机构等存在直接或间接利益关系的，或经认定对不复资产形成有直接责任的，在不良资产转让和收购工作中应予以回避。</w:t>
      </w:r>
    </w:p>
    <w:p w14:paraId="45FF55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金融企业应在法律法规允许的范围内及时披露资产转让的有关信息，同时充分披露参与不良资产转让关联方的相关信息，提高转让工作的透明度。</w:t>
      </w:r>
    </w:p>
    <w:p w14:paraId="6F8C17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上市金融企业应严格遵守证券交易所有关信息披露的规定，及时充分披露不良资产成因与处置结果等信息，以强化市场约束机制。</w:t>
      </w:r>
    </w:p>
    <w:p w14:paraId="6C735A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金融企业应做好不良资产批量转让工作的内部检查和审计，认</w:t>
      </w:r>
      <w:r>
        <w:rPr>
          <w:rFonts w:ascii="宋体" w:eastAsia="宋体" w:hAnsi="宋体" w:cs="宋体" w:hint="eastAsia"/>
          <w:sz w:val="24"/>
        </w:rPr>
        <w:lastRenderedPageBreak/>
        <w:t>真分析不良资产的形成原因，及时纠正存在的问题，总结经验教训，提出改进措施，强化信贷管理和风险防控。</w:t>
      </w:r>
    </w:p>
    <w:p w14:paraId="205540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金融企业应严格遵守国家法律法规，严禁以下违法违规行为：</w:t>
      </w:r>
    </w:p>
    <w:p w14:paraId="01AAE8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w:t>
      </w:r>
      <w:proofErr w:type="gramStart"/>
      <w:r>
        <w:rPr>
          <w:rFonts w:ascii="宋体" w:eastAsia="宋体" w:hAnsi="宋体" w:cs="宋体" w:hint="eastAsia"/>
          <w:sz w:val="24"/>
        </w:rPr>
        <w:t>自交易</w:t>
      </w:r>
      <w:proofErr w:type="gramEnd"/>
      <w:r>
        <w:rPr>
          <w:rFonts w:ascii="宋体" w:eastAsia="宋体" w:hAnsi="宋体" w:cs="宋体" w:hint="eastAsia"/>
          <w:sz w:val="24"/>
        </w:rPr>
        <w:t>基准日至资产交割日期间，擅自放弃与批量转让资产相关的权益；</w:t>
      </w:r>
    </w:p>
    <w:p w14:paraId="14B0DC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（二）违反规定程序擅自转让不良资产；</w:t>
      </w:r>
    </w:p>
    <w:p w14:paraId="601A55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（三）与债务人串通，转移资产，逃废债务；</w:t>
      </w:r>
    </w:p>
    <w:p w14:paraId="6D619C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（四）抽调、隐匿原始不良资产档案资料，编造、伪造档案资料或其他数据、资料；</w:t>
      </w:r>
    </w:p>
    <w:p w14:paraId="54B839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（五）其他违法违规的行为。</w:t>
      </w:r>
    </w:p>
    <w:p w14:paraId="3A9254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金融企业和资产管理公司应建立健全责任追究制度，对违反相关法律、法规的行为进行责任认定，视情节轻重和损失大小对相关责任人进行处罚；违反党纪、政纪的，移交纪检、监察部门处理；涉嫌犯罪的，移交司法机关处理。</w:t>
      </w:r>
    </w:p>
    <w:p w14:paraId="1AAE1C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财政部和银监会依照相关法律法规，对金融企业的不良资产批量转让工作和资产管理公司的资产收购工作进行监督和管理，具体办法由财政部和银监会另行制定。对检查中发现的问题，责令有关单位或部门进行整改，并追究相关人员责任。</w:t>
      </w:r>
    </w:p>
    <w:p w14:paraId="2483A9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附则</w:t>
      </w:r>
    </w:p>
    <w:p w14:paraId="6A19D5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金融企业应依据本办法制定内部管理办法，并报告同级财政部门和银监会或属地银监局。</w:t>
      </w:r>
    </w:p>
    <w:p w14:paraId="7C25BC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各省、自治区、直辖市人民政府依法设立或授权的资产管理或经营公司的资质认可条件，由银监会另行制定。</w:t>
      </w:r>
    </w:p>
    <w:p w14:paraId="4EBACF95"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第三十七条 本办法自印发之日起施行。</w:t>
      </w:r>
      <w:r>
        <w:rPr>
          <w:rFonts w:ascii="宋体" w:eastAsia="宋体" w:hAnsi="宋体" w:cs="宋体" w:hint="eastAsia"/>
          <w:sz w:val="24"/>
        </w:rPr>
        <w:tab/>
      </w:r>
    </w:p>
    <w:p w14:paraId="6FBA5846"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79.《中国银监会关于整治银行业金融机构不规范经营的通知》</w:t>
      </w:r>
    </w:p>
    <w:p w14:paraId="5AD96A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61E1CC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文号：银监发〔2012〕3号</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2E6C48AA"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局，各政策性银行、国有商业银行、股份制商业银行，邮政储蓄银行：</w:t>
      </w:r>
    </w:p>
    <w:p w14:paraId="0B2C7E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为有效服务实体经济，纠正部分银行业金融机构发放贷款时附加不合理条件和收费管理不规范等问题，银监会决定在银行业系统全面开展“不规范经营”专项治理工作、，现就有关事项通知如下：</w:t>
      </w:r>
    </w:p>
    <w:p w14:paraId="44F029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一、银行业金融机构要认真遵守信贷管理各项规定和业务流程，按照国家利率管理相关规定进行贷款定价，并严格遵守下列规定。</w:t>
      </w:r>
    </w:p>
    <w:p w14:paraId="4C829D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（一）不得以贷转存。银行信贷业务要坚持实贷实付和受托支付原则，将贷款资金足额直接支付给借款人的交易对手，不得强制设定条款或协商约定将部分贷款转为存款。</w:t>
      </w:r>
    </w:p>
    <w:p w14:paraId="49D8D4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（二）不得存贷挂钩。银行业金融机构贷款业务和存款业务应严格分离，不得以存款作为审批和发放贷款的前提条件。</w:t>
      </w:r>
    </w:p>
    <w:p w14:paraId="1E5C60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（三）不得以贷收费。银行业金融机构不得借发放贷款或以其他方式提供融资之机，要求客户接受不合理中间业务或其他金融服务而收取费用。</w:t>
      </w:r>
    </w:p>
    <w:p w14:paraId="58E1A0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（四）不得浮利分费。银行业金融机构要</w:t>
      </w:r>
      <w:proofErr w:type="gramStart"/>
      <w:r>
        <w:rPr>
          <w:rFonts w:ascii="宋体" w:eastAsia="宋体" w:hAnsi="宋体" w:cs="宋体" w:hint="eastAsia"/>
          <w:sz w:val="24"/>
        </w:rPr>
        <w:t>遵循利费分离</w:t>
      </w:r>
      <w:proofErr w:type="gramEnd"/>
      <w:r>
        <w:rPr>
          <w:rFonts w:ascii="宋体" w:eastAsia="宋体" w:hAnsi="宋体" w:cs="宋体" w:hint="eastAsia"/>
          <w:sz w:val="24"/>
        </w:rPr>
        <w:t>原则，严格区分收息和收费业务，不得将利息、分解为费用收取，严禁变相提高利率。</w:t>
      </w:r>
    </w:p>
    <w:p w14:paraId="62D5EF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（五）不得借贷搭售。银行业金融机构不得在发放贷款或以其他方式提供融资时强制捆绑、搭售理财、保险、基金等金融产品。</w:t>
      </w:r>
    </w:p>
    <w:p w14:paraId="444F7F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（六）不得一浮到顶。银行业金融机构的贷款定价应充分反映资金成本、风险成本和管理成本，不得</w:t>
      </w:r>
      <w:proofErr w:type="gramStart"/>
      <w:r>
        <w:rPr>
          <w:rFonts w:ascii="宋体" w:eastAsia="宋体" w:hAnsi="宋体" w:cs="宋体" w:hint="eastAsia"/>
          <w:sz w:val="24"/>
        </w:rPr>
        <w:t>笼统将</w:t>
      </w:r>
      <w:proofErr w:type="gramEnd"/>
      <w:r>
        <w:rPr>
          <w:rFonts w:ascii="宋体" w:eastAsia="宋体" w:hAnsi="宋体" w:cs="宋体" w:hint="eastAsia"/>
          <w:sz w:val="24"/>
        </w:rPr>
        <w:t>贷款利率上浮至最高限额。</w:t>
      </w:r>
    </w:p>
    <w:p w14:paraId="38D51C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（七）不得转嫁成本。银行业金融机构应依法承担贷款业务及其他服务中产生的尽职调查、押品评枯等相关成本，不得将经营成本以费用形式转嫁给客户。</w:t>
      </w:r>
    </w:p>
    <w:p w14:paraId="62BDAE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二、银行业金融机构要严格遵守国家价格主管部门和监管机构关于金融服务收费的各项政策规定，对现行收费服务价目进行全面梳理检查，及时自查自纠，并严格遵守以下原则。</w:t>
      </w:r>
    </w:p>
    <w:p w14:paraId="21DE09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（一）合</w:t>
      </w:r>
      <w:proofErr w:type="gramStart"/>
      <w:r>
        <w:rPr>
          <w:rFonts w:ascii="宋体" w:eastAsia="宋体" w:hAnsi="宋体" w:cs="宋体" w:hint="eastAsia"/>
          <w:sz w:val="24"/>
        </w:rPr>
        <w:t>规</w:t>
      </w:r>
      <w:proofErr w:type="gramEnd"/>
      <w:r>
        <w:rPr>
          <w:rFonts w:ascii="宋体" w:eastAsia="宋体" w:hAnsi="宋体" w:cs="宋体" w:hint="eastAsia"/>
          <w:sz w:val="24"/>
        </w:rPr>
        <w:t>收费。服务收费应科学合理，服从统一定价和名录管理原则。银行业金融机构应制定收费价目名录，同一收费项目必须使用统一收费项目名称、内容描述、客户界定等要素，并由法人机构统一制定价格，任何分支机构不得自行制定和调整收费项目名称等要素。，对实行政府指导价的收费项目，严格对照相关规定据实收费，并公布收费价目名录和相关依据；对实行市场调节价的收费项目，应在每次制定或调整价格前向社会公示，充分征询消费者意见后纳入收费价目名录并上网公布，严格按照公布的收费价目名录收费。</w:t>
      </w:r>
    </w:p>
    <w:p w14:paraId="5E2AC8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（二）以质定价。服务收费应合乎质价相符原则，不得对未给客户提供实质性服务、未给客户带来实质性收益、未给客户提升实质性效率的产品和服务收取费用。</w:t>
      </w:r>
    </w:p>
    <w:p w14:paraId="2A5123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（三）公开透明。服务价格应遵循公开透明原则，各项服务必须“明码标价”，充分履行告知义务，使客户明确了解服务内容、方式、功能、效果，以及对应的收费标准，确保客户了解充分信息、，自主选择。</w:t>
      </w:r>
    </w:p>
    <w:p w14:paraId="05D486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减费让利。银行业金融机构应切实履行社会责任，对特定对象坚持服务优惠和减费让利原则，明确界定小微企业、三农、弱势群体、社会公益等领域相关金融服务的优惠对象范围，公布优惠政策、优惠方式和具体优惠额度，切实体现扶小助弱的商业道德。</w:t>
      </w:r>
    </w:p>
    <w:p w14:paraId="453EF7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三、银行业金融机构要组织本系统在一季度集中开展以“规范贷款行为、科学合理收费”为主题的不规范经营问题专项治理活动。</w:t>
      </w:r>
    </w:p>
    <w:p w14:paraId="1BA62D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（一）加强源头治理。各银行业金融机构要从年度经营计划和绩效考核办法的制定入手，整治不切实际的快增长、高指标问题，校正经营导向，从源头上杜绝各级机构、网点及员工的不规范经营冲动。</w:t>
      </w:r>
    </w:p>
    <w:p w14:paraId="513981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（二）加强程序治理。各银行业金融机构要全面梳理业务流程和相关内部管制制度，严格区分贷款融资和各项收费业务的不同营销、定价程序、，对贷款融</w:t>
      </w:r>
      <w:r>
        <w:rPr>
          <w:rFonts w:ascii="宋体" w:eastAsia="宋体" w:hAnsi="宋体" w:cs="宋体" w:hint="eastAsia"/>
          <w:sz w:val="24"/>
        </w:rPr>
        <w:lastRenderedPageBreak/>
        <w:t>资，要从风险管理角度出发，对受理、审批、签约、放款、贷后管理等环节进行严格把关，防止层层附加条件；对其他服务收费业务，要从产品开发、功能设计、收益测算等环节进行充分论证和询价公示，防止自定价目和层层加价。</w:t>
      </w:r>
    </w:p>
    <w:p w14:paraId="263830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（三）加强行为治理。银行业金融机构要对从事具体经营活动的分支机构高管和一线员工进行商业道德和社会责任教育，切实做到不同</w:t>
      </w:r>
      <w:proofErr w:type="gramStart"/>
      <w:r>
        <w:rPr>
          <w:rFonts w:ascii="宋体" w:eastAsia="宋体" w:hAnsi="宋体" w:cs="宋体" w:hint="eastAsia"/>
          <w:sz w:val="24"/>
        </w:rPr>
        <w:t>业务拒面分离</w:t>
      </w:r>
      <w:proofErr w:type="gramEnd"/>
      <w:r>
        <w:rPr>
          <w:rFonts w:ascii="宋体" w:eastAsia="宋体" w:hAnsi="宋体" w:cs="宋体" w:hint="eastAsia"/>
          <w:sz w:val="24"/>
        </w:rPr>
        <w:t>、人员独立，不得误导、挤压和要挟客户，端正经营思想，规范经营行为；银行业金融机构还应建立公开、完善的违规收费举报和投诉处理机制，及时掌握分支机构违规收费行为，及时查处纠正、，</w:t>
      </w:r>
    </w:p>
    <w:p w14:paraId="5496C1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四、银行业监督管理部门要在督促银行业金融机构自查整改的基础上，集中精力、集中时间、集中人员以多种方式进行核查监督。</w:t>
      </w:r>
    </w:p>
    <w:p w14:paraId="368740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（一）指导机构自查、，银监会各监管部门和各级派出机构要督促指导银行业金融机构按本通知要求，迅速组织自查自纠，及时清理纠正不当贷款业务和收费项目，并于2012 年3 月底前审查各银行业金融机构自查报告，核评其自查整改情况。</w:t>
      </w:r>
    </w:p>
    <w:p w14:paraId="7DBD6B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（二）实施监管检查。银监</w:t>
      </w:r>
      <w:proofErr w:type="gramStart"/>
      <w:r>
        <w:rPr>
          <w:rFonts w:ascii="宋体" w:eastAsia="宋体" w:hAnsi="宋体" w:cs="宋体" w:hint="eastAsia"/>
          <w:sz w:val="24"/>
        </w:rPr>
        <w:t>会各级</w:t>
      </w:r>
      <w:proofErr w:type="gramEnd"/>
      <w:r>
        <w:rPr>
          <w:rFonts w:ascii="宋体" w:eastAsia="宋体" w:hAnsi="宋体" w:cs="宋体" w:hint="eastAsia"/>
          <w:sz w:val="24"/>
        </w:rPr>
        <w:t>派出机构要将整治不规范贷款和不规范收费问题纳入当前工作安排，组织现场抽查。对检查发现的违规行为依法严格处罚，并将检查和处罚结果在全辖范围内通报。</w:t>
      </w:r>
    </w:p>
    <w:p w14:paraId="66C5A8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（三）联合媒体访查。银监</w:t>
      </w:r>
      <w:proofErr w:type="gramStart"/>
      <w:r>
        <w:rPr>
          <w:rFonts w:ascii="宋体" w:eastAsia="宋体" w:hAnsi="宋体" w:cs="宋体" w:hint="eastAsia"/>
          <w:sz w:val="24"/>
        </w:rPr>
        <w:t>会各级</w:t>
      </w:r>
      <w:proofErr w:type="gramEnd"/>
      <w:r>
        <w:rPr>
          <w:rFonts w:ascii="宋体" w:eastAsia="宋体" w:hAnsi="宋体" w:cs="宋体" w:hint="eastAsia"/>
          <w:sz w:val="24"/>
        </w:rPr>
        <w:t>派出机构要有组织、有计划地联合当地主要媒体，对银行网点和相关客户进行明察暗访，并对严重违规案例公开曝光，通过引入舆论监督推动银行业不断规范经营行为，改善金融服务质量。</w:t>
      </w:r>
    </w:p>
    <w:p w14:paraId="47DAC9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中国银行业监督管理委员会</w:t>
      </w:r>
    </w:p>
    <w:p w14:paraId="2F6353BA"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二O一二年一月二十日</w:t>
      </w:r>
    </w:p>
    <w:p w14:paraId="108FE4C2"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80.《企业内部控制规范体系实施中相关问题解释第1号》</w:t>
      </w:r>
      <w:r>
        <w:rPr>
          <w:rFonts w:ascii="宋体" w:eastAsia="宋体" w:hAnsi="宋体" w:cs="宋体" w:hint="eastAsia"/>
          <w:b/>
          <w:bCs/>
          <w:sz w:val="24"/>
        </w:rPr>
        <w:tab/>
      </w:r>
    </w:p>
    <w:p w14:paraId="7B47A650" w14:textId="77777777" w:rsidR="00F50CD8" w:rsidRDefault="00000000">
      <w:pPr>
        <w:spacing w:afterLines="50" w:after="156" w:line="360" w:lineRule="auto"/>
        <w:ind w:firstLineChars="200" w:firstLine="480"/>
        <w:rPr>
          <w:rFonts w:ascii="宋体" w:eastAsia="宋体" w:hAnsi="宋体" w:cs="宋体" w:hint="eastAsia"/>
          <w:b/>
          <w:bCs/>
          <w:sz w:val="24"/>
        </w:rPr>
      </w:pPr>
      <w:r>
        <w:rPr>
          <w:rFonts w:ascii="宋体" w:eastAsia="宋体" w:hAnsi="宋体" w:cs="宋体" w:hint="eastAsia"/>
          <w:sz w:val="24"/>
        </w:rPr>
        <w:t>发文机构：财政部</w:t>
      </w:r>
      <w:r>
        <w:rPr>
          <w:rFonts w:ascii="宋体" w:eastAsia="宋体" w:hAnsi="宋体" w:cs="宋体" w:hint="eastAsia"/>
          <w:b/>
          <w:bCs/>
          <w:sz w:val="24"/>
        </w:rPr>
        <w:tab/>
        <w:t xml:space="preserve">                           </w:t>
      </w:r>
    </w:p>
    <w:p w14:paraId="06C441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文号：财会〔2012〕3号</w:t>
      </w:r>
      <w:r>
        <w:rPr>
          <w:rFonts w:ascii="宋体" w:eastAsia="宋体" w:hAnsi="宋体" w:cs="宋体" w:hint="eastAsia"/>
          <w:sz w:val="24"/>
        </w:rPr>
        <w:tab/>
      </w:r>
    </w:p>
    <w:p w14:paraId="3223D1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根据财政部等五部委的要求，《企业内部控制基本规范》（财会[2008]7号）及其配套指引已于2011年1月1日起在境内外同时上市的69家公司实施。同时，财政部、证监会又选择了200多家在境内主板上市的公司进行试点。实施一年总体进展顺利，但也存在一定问题。为推动《企业内部控制基本规范》及其配套指引的顺利实施，现对有关问题解释如下：</w:t>
      </w:r>
    </w:p>
    <w:p w14:paraId="23286E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1.如何把握企业内部控制规范体系的强制性与指导性的关系？</w:t>
      </w:r>
    </w:p>
    <w:p w14:paraId="612B64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答：在实施试点中，一些企业反映，《企业内部控制基本规范》及其配套指引的规定是否需要逐条执行。</w:t>
      </w:r>
    </w:p>
    <w:p w14:paraId="58C21B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基本规范》是内部控制建设与实施应该遵循的基本原则和总体要求，具有强制性，纳入实施范围的企业应当遵照执行。《企业内部控制配套指引》（财会[2010]11号，包括18个应用指引、1个评价指引和1个审计指引）是对《企业内部控制基本规范》相关规定的进一步补充和说明，具有指导性和示范性，纳入实施范围的企业可以结合所在行业要求和企业自身特点，参照配套指引的规定开展内部控制建设与实施工作。</w:t>
      </w:r>
    </w:p>
    <w:p w14:paraId="29AC01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2.已经完全按照境外监管机构要求建设与实施内部控制的境内外同时上市的公司，是否需要执行我国的企业内部控制规范体系？</w:t>
      </w:r>
    </w:p>
    <w:p w14:paraId="46D2D1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答：目前，许多国家和地区对公众公司内部控制都有相关的规定和要求。我国企业内部控制规范体系在充分借鉴国际上先进经验和做法的同时，更多地适应了我国国情，尤其是充分考虑了我国目前法律法规体系、公司治理结构、企业管理体制、风险管控实务等具体情况，提出了内部控制的目标、原则、要素等，且不局限于财务报告内部控制，更多突出全面内部控制的要求。因此，境内外同时上市的公司应当在满足境外监管机构要求的基础上，对照我国企业内部控制规范体系，特别是应当围绕《企业内部控制基本规范》提出的内部控制五目标，对相关控制措施进行适当调整或补充完善。</w:t>
      </w:r>
    </w:p>
    <w:p w14:paraId="20C153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3.企业按照企业内部控制规范体系建设与实施内部控制，是否还需要遵守我国行业主管部门和市场监管部门对内部控制的有关要求？</w:t>
      </w:r>
    </w:p>
    <w:p w14:paraId="33B3D8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答：《企业内部控制基本规范》及其配套指引是对不同行业、各类企业提出的一般性要求，具有普适性。行业主管或监管部门对所辖企业的内部控制管理规定，是不同行业内部控制的特殊要求，也是《企业内部控制基本规范》的重要补充。企业应当按照《企业内部控制基本规范》及其配套指引规定和行业管理、市场监管的要求，建设与实施内部控制。</w:t>
      </w:r>
    </w:p>
    <w:p w14:paraId="15794F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4.如何协调好内部控制与风险管理的关系？</w:t>
      </w:r>
    </w:p>
    <w:p w14:paraId="69F465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答：《企业内部控制基本规范》及其配套指引，充分吸收了全面风险管理的理念和方法，强调了内部控制与风险管理的统一。内部控制的目标就是防范和控制风险，促进企业实现发展战略，风险管理的目标也是促进企业实现发展战略，二者都要求将风险控制在可承受范围之内。因此，内部控制与风险管理二者不是对立的，而是协调统一的整体。</w:t>
      </w:r>
    </w:p>
    <w:p w14:paraId="5FE475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实际工作中，一些企业的内部控制和风险管理工作由不同机构负责。对此，企业可以对有关机构和业务进行整合，从工作内容、目标、要求以及具体工作执行的方法、程序等方面，将内部控制建设和风险管理工作有机结合起来，避免职能交叉、资源浪费、重复劳动，降低企业管理成本，提高工作效率和效果。</w:t>
      </w:r>
    </w:p>
    <w:p w14:paraId="5A89B8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5.对于《企业内部控制配套指引》尚未规范的领域，应如何处理？</w:t>
      </w:r>
    </w:p>
    <w:p w14:paraId="70773E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答：由于企业所面临的客观环境和自身的经营管理活动比较复杂，目前的《企业内部控制配套指引》仅对企业常见的、一般性生产经营过程的主要方面和环节进行了规范。在建设与实施内部控制的过程中，对于《企业内部控制配套指引》尚未规范的业务领域，企业应当遵循《企业内部控制基本规范》的原则和要求，按照内部控制建设与实施的基本原理和一般方法，从企业经营目标出发，识别和评估相关风险，梳理关键业务流程，根据风险评估的结果，制定和执行相应控制措施。</w:t>
      </w:r>
    </w:p>
    <w:p w14:paraId="29B0D2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6.如何权衡内部控制的实施成本与预期效益？</w:t>
      </w:r>
    </w:p>
    <w:p w14:paraId="7F7920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答：企业按照《企业内部控制基本规范》及其配套指引的要求建设与实施内</w:t>
      </w:r>
      <w:r>
        <w:rPr>
          <w:rFonts w:ascii="宋体" w:eastAsia="宋体" w:hAnsi="宋体" w:cs="宋体" w:hint="eastAsia"/>
          <w:sz w:val="24"/>
        </w:rPr>
        <w:lastRenderedPageBreak/>
        <w:t>部控制，必然需要支付一定的成本，可能会发生内部控制制度和流程的设计与实施费用、聘请专业机构提供咨询服务费用、建立融入内部控制要求的信息系统费用、聘请会计师事务所开展内部控制审计费用，等等。建设与实施内部控制应当从提高企业长期效益出发，从促进企业可持续发展出发，将内部控制作为一项常规性工作，贯穿于企业管理之中，加大投入。同时，应当按照重要性原则，关注重要业务事项和高风险领域，抓住关键风险控制点。集团性企业可以采取分类试点、逐步推广的方式，选择下属不同类型的企业试点，形成范本，减少重复建设。</w:t>
      </w:r>
    </w:p>
    <w:p w14:paraId="64CFDF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聘请会计师事务所开展内部控制审计是建设与实施内部控制的重要环节，是检验内部控制有效性的重要手段和有力保证。内部控制审计费用是企业实施内部控制规范体系应当承担的成本，企业应安排相应经费确保审计工作的及时、有效开展。内部控制审计是一项区别于财务报告审计的独立业务，企业应就该项业务与会计师事务所签订单独的业务约定书。同时，企业也应权衡审计成本与审计效益，在业务约定书中明确有关费用标准，并对会计师事务所审计资源的投入和审计质量提出明确要求。</w:t>
      </w:r>
    </w:p>
    <w:p w14:paraId="15CC7B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7.如何协调好内部控制与其他管理体系的关系？</w:t>
      </w:r>
    </w:p>
    <w:p w14:paraId="609B6F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答：内部控制贯穿于整个企业管理，与其他管理体系相辅相成、密不可分，是企业管理的重要组成部分。企业现有管理体系的设计、运行以及审核认证需要遵循已经发布的国家标准或行业标准。这些标准与企业内部控制规范体系的原则和要求并不矛盾。在实际工作中，个别企业的内部控制体系建设与管理体系运行发生冲突，原因可能是企业采用的方式方法出现了偏差，如简单照搬内部控制应用指引的规定，没有考虑企业的实际情况，为控制而控制，导致控制设计不合理，出现控制过度或控制冗余；也可能是企业经营管理部门对内部控制的重要性认识不足，不愿意受到更多的牵制和监督，从而以影响经营效率和目标为借口，拒绝必要的内部控制；等等。对此，企业应当立足管理现状，全面梳理各项管理制度和管理体系，从管理体制、机制以及落实各级权利责任等方面，将内部控制的要求融入各项管理体系中，形成内部控制的长效机制，使内部控制真正为经营管理服务；应当从总体目标出发，通过培训教育提高企业经营管理人员对内部控制的理解和认识，将内部控制的要求纳入绩效考核体系以加强执行；可以利用信息技</w:t>
      </w:r>
      <w:r>
        <w:rPr>
          <w:rFonts w:ascii="宋体" w:eastAsia="宋体" w:hAnsi="宋体" w:cs="宋体" w:hint="eastAsia"/>
          <w:sz w:val="24"/>
        </w:rPr>
        <w:lastRenderedPageBreak/>
        <w:t>术固化业务流程，提高业务处理效率和信息共享水平，从而尽可能减少内部控制与其他经营管理体系的冲突。</w:t>
      </w:r>
    </w:p>
    <w:p w14:paraId="460DD6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8.企业如何确定内部控制缺陷的认定标准？</w:t>
      </w:r>
    </w:p>
    <w:p w14:paraId="1BE13D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答：查找并纠正企业内部控制设计和运行中的缺陷，是开展企业内部控制评价的一项重要工作，是不断完善企业内部控制的重要手段。由于企业所处行业、经营规模、发展阶段、风险偏好等存在差异，《企业内部控制基本规范》及其配套指引没有对内部控制缺陷的认定标准进行统一规定。企业可以根据《企业内部基本规范》及其配套指引，结合企业规模、行业特征、风险水平等因素，研究确定适合本企业的内部控制重大缺陷、重要缺陷和一般缺陷的具体认定标准。企业确定的内部控制缺陷标准应当从定性和定量的角度综合考虑，并保持相对稳定。通过不断的实践，总结经验，形成一套行之有效的内部控制缺陷认定方法。</w:t>
      </w:r>
    </w:p>
    <w:p w14:paraId="2B031E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在开展内部控制监督检查中，对发现的内部控制缺陷，应当及时分析缺陷性质和产生原因，并提出整改方案，采取适当形式向董事会、监事会或者管理层报告。对于重大缺陷，企业应当在内部控制评价报告中进行披露。</w:t>
      </w:r>
    </w:p>
    <w:p w14:paraId="31A555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财政部将会同证监会、审计署、银监会、保监会等有关部门，根据首次执行和试点情况，分行业、分类型总结企业的内部控制缺陷认定标准，供参考。</w:t>
      </w:r>
    </w:p>
    <w:p w14:paraId="2EDA96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9.实施《企业内部控制基本规范》及其配套指引的企业，是否需要设置专门的内部控制机构？</w:t>
      </w:r>
    </w:p>
    <w:p w14:paraId="12C05F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答：根据《企业内部控制基本规范》的规定，企业董事会负责内部控制的建立健全和有效实施。为便于董事会履行好企业内部控制规范体系的设计、建立、运行与改进方面的职责，董事会应当指定专门委员会负责指导内部控制建设与实施工作。一般情况下企业应当成立专门机构负责组织协调内部控制的建立实施及日常工作。</w:t>
      </w:r>
    </w:p>
    <w:p w14:paraId="7923E2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少数企业受制于岗位编制、专业人员等条件限制，目前尚不具备成立专门的内部控制管理机构的，可暂将内部控制管理职能划归现有机构。随着企业内部控制建设的持续深入和相关条件的不断成熟，企业应考虑成立专门机构，保证有足够的资源支持和协调内部控制工作的开展，确保内部控制工作的相对独立性。</w:t>
      </w:r>
    </w:p>
    <w:p w14:paraId="70AB2F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10.如何编制和披露企业内部控制评价报告？</w:t>
      </w:r>
    </w:p>
    <w:p w14:paraId="724281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评价是企业董事会对内部控制有效性进行全面评价、形成评价结论、出具评价报告的过程。开展内部控制评价，可以及时发现和纠正企业内部控制建设与实施中存在的问题，并持续自我完善。企业可以独立开展内部控制评价工作，也可以委托不承担本企业内部控制审计的中介机构协助开展内部控制评价工作。</w:t>
      </w:r>
    </w:p>
    <w:p w14:paraId="7C72C8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根据《企业内部控制基本规范》、《企业内部控制评价指引》的要求，我们制定了企业内部控制评价报告的格式，供企业编制评价报告时参考，企业也可以根据实际情况对具体的报告方式作适当调整，但有关内容原则上应体现在年度报告中。</w:t>
      </w:r>
    </w:p>
    <w:p w14:paraId="5A89D6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w:t>
      </w:r>
    </w:p>
    <w:p w14:paraId="74F274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XX公司20xx年度内部控制评价报告</w:t>
      </w:r>
    </w:p>
    <w:p w14:paraId="1473BD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xx公司全体股东：</w:t>
      </w:r>
    </w:p>
    <w:p w14:paraId="373DE7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根据《企业内部控制基本规范》及其配套指引的规定和要求，结合本公司（以下简称公司）内部控制制度和评价办法，在内部控制日常监督和专项监督的基础上，我们对公司内部控制的有效性进行了自我评价。</w:t>
      </w:r>
    </w:p>
    <w:p w14:paraId="5CEEE3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一、董事会声明</w:t>
      </w:r>
    </w:p>
    <w:p w14:paraId="53880F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公司董事会及全体董事保证本报告内容不存在任何虚假记载、误导性陈述或重大遗漏，并对报告内容的真实性、准确性和完整性承担个别及连带责任。</w:t>
      </w:r>
    </w:p>
    <w:p w14:paraId="25CB90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建立健全并有效实施内部控制是公司董事会的责任；监事会对董事会建立与实施内部控制进行监督；经理</w:t>
      </w:r>
      <w:proofErr w:type="gramStart"/>
      <w:r>
        <w:rPr>
          <w:rFonts w:ascii="宋体" w:eastAsia="宋体" w:hAnsi="宋体" w:cs="宋体" w:hint="eastAsia"/>
          <w:sz w:val="24"/>
        </w:rPr>
        <w:t>层负责</w:t>
      </w:r>
      <w:proofErr w:type="gramEnd"/>
      <w:r>
        <w:rPr>
          <w:rFonts w:ascii="宋体" w:eastAsia="宋体" w:hAnsi="宋体" w:cs="宋体" w:hint="eastAsia"/>
          <w:sz w:val="24"/>
        </w:rPr>
        <w:t>组织领导公司内部控制的日常运行。</w:t>
      </w:r>
    </w:p>
    <w:p w14:paraId="0D73DE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公司内部控制的目标是：[一般包括合理保证经营合法合</w:t>
      </w:r>
      <w:proofErr w:type="gramStart"/>
      <w:r>
        <w:rPr>
          <w:rFonts w:ascii="宋体" w:eastAsia="宋体" w:hAnsi="宋体" w:cs="宋体" w:hint="eastAsia"/>
          <w:sz w:val="24"/>
        </w:rPr>
        <w:t>规</w:t>
      </w:r>
      <w:proofErr w:type="gramEnd"/>
      <w:r>
        <w:rPr>
          <w:rFonts w:ascii="宋体" w:eastAsia="宋体" w:hAnsi="宋体" w:cs="宋体" w:hint="eastAsia"/>
          <w:sz w:val="24"/>
        </w:rPr>
        <w:t>、资产安全、财务报告及相关信息真实完整，提高经营效率和效果，促进实现发展战略]。由于内部控制存在固有局限性，故仅能对实现上述目标提供合理保证。</w:t>
      </w:r>
    </w:p>
    <w:p w14:paraId="31246C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二、内部控制评价工作的总体情况</w:t>
      </w:r>
    </w:p>
    <w:p w14:paraId="5D51B8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公司董事会授权内部审计机构[或其他专门机构]负责内部控制评价的具体组织实施工作，对纳入评价范围的高风险领域和单位进行评价[描述评价工作的组织领导体制，一般包括评价工作组织结构图、主要负责人及汇报途径等]。</w:t>
      </w:r>
    </w:p>
    <w:p w14:paraId="232717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公司[是/否]聘请了专业机构[中介机构名称]提供内部控制咨询服务；公司[是/否]聘请了专业机构[中介机构名称]协助开展内部控制评价工作；公司[是/否]聘请会计师事务所[会计师事务所名称]对公司内部控制进行独立审计。</w:t>
      </w:r>
    </w:p>
    <w:p w14:paraId="2DCAA6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三、内部控制评价的范围</w:t>
      </w:r>
    </w:p>
    <w:p w14:paraId="5261EE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内部控制评价的范围涵盖了公司及其所属单位的主要业务和事项[列明评价范围占公司总资产比例或占公司收入比例等]，重点关注下列高风险领域：</w:t>
      </w:r>
    </w:p>
    <w:p w14:paraId="11FE6C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[列示公司根据风险评估结果确定的内部控制前“十大”主要风险]</w:t>
      </w:r>
    </w:p>
    <w:p w14:paraId="68A508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纳入评价范围的单位包括：</w:t>
      </w:r>
    </w:p>
    <w:p w14:paraId="1E32B9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[无需罗列单位名称，而是描述纳入评价范围单位的行业性质、层级等]</w:t>
      </w:r>
    </w:p>
    <w:p w14:paraId="1B0941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纳入评价范围的业务和事项包括（根据实际情况调整，未尽事项可以充实）：</w:t>
      </w:r>
    </w:p>
    <w:p w14:paraId="4D16C2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（一）组织架构</w:t>
      </w:r>
    </w:p>
    <w:p w14:paraId="7D3090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（二）发展战略</w:t>
      </w:r>
    </w:p>
    <w:p w14:paraId="4B18DD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（三）人力资源</w:t>
      </w:r>
    </w:p>
    <w:p w14:paraId="13F0A4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（四）社会责任</w:t>
      </w:r>
    </w:p>
    <w:p w14:paraId="11D194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（五）企业文化</w:t>
      </w:r>
    </w:p>
    <w:p w14:paraId="3041C5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（六）资金活动</w:t>
      </w:r>
    </w:p>
    <w:p w14:paraId="66512D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（七）采购业务</w:t>
      </w:r>
    </w:p>
    <w:p w14:paraId="534926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（八）资产管理</w:t>
      </w:r>
    </w:p>
    <w:p w14:paraId="385DF1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（九）销售业务</w:t>
      </w:r>
    </w:p>
    <w:p w14:paraId="06FBF5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（十）研究与开发</w:t>
      </w:r>
    </w:p>
    <w:p w14:paraId="0B1512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（十一）工程项目</w:t>
      </w:r>
    </w:p>
    <w:p w14:paraId="42618D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（十二）担保业务</w:t>
      </w:r>
    </w:p>
    <w:p w14:paraId="337C7F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（十三）业务外包</w:t>
      </w:r>
    </w:p>
    <w:p w14:paraId="4A24A1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（十四）财务报告</w:t>
      </w:r>
    </w:p>
    <w:p w14:paraId="7A508C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（十五）全面预算</w:t>
      </w:r>
    </w:p>
    <w:p w14:paraId="7F1EE7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（十六）合同管理</w:t>
      </w:r>
    </w:p>
    <w:p w14:paraId="5FB25F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（十七）内部信息传递</w:t>
      </w:r>
    </w:p>
    <w:p w14:paraId="5906BD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（十八）信息系统</w:t>
      </w:r>
    </w:p>
    <w:p w14:paraId="72A803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上述业务和事项的内部控制涵盖了公司经营管理的主要方面，不存在重大遗漏。</w:t>
      </w:r>
    </w:p>
    <w:p w14:paraId="329625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（如存在重大遗漏）公司本年度未能对以下构成内部控制重要方面的单位或业务（事项）进行内部控制评价：</w:t>
      </w:r>
    </w:p>
    <w:p w14:paraId="453174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[逐条说明未纳入评价范围的重要单位或业务（事项），包括单位或业务（事项）描述、未纳入的原因、对内部控制评价报告真实完整性产生的重大影响等]</w:t>
      </w:r>
    </w:p>
    <w:p w14:paraId="155449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四、内部控制评价的程序和方法</w:t>
      </w:r>
    </w:p>
    <w:p w14:paraId="5D96E3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内部控制评价工作严格遵循基本规范、评价指引及公司内部控制评价办法规定的程序执行[描述公司开展内部控制检查评价工作的基本流程]。</w:t>
      </w:r>
    </w:p>
    <w:p w14:paraId="00A50B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评价过程中，我们采用了（个别访谈、调查问题、专题讨论、穿行测试、实地查验、抽样和比较分析）等适当方法，广泛收集公司内部控制设计和运行是否有效的证据，如实填写评价工作底稿，分析、识别内部控制缺陷[说明评价方法的适当性及证据的充分性]。</w:t>
      </w:r>
    </w:p>
    <w:p w14:paraId="56C038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五、内部控制缺陷及其认定</w:t>
      </w:r>
    </w:p>
    <w:p w14:paraId="273A49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公司董事会根据基本规范、评价指引对重大缺陷、重要缺陷和一般缺陷的认定要求，结合公司规模、行业特征、风险偏好和风险承受度等因素，研究确定了</w:t>
      </w:r>
      <w:r>
        <w:rPr>
          <w:rFonts w:ascii="宋体" w:eastAsia="宋体" w:hAnsi="宋体" w:cs="宋体" w:hint="eastAsia"/>
          <w:sz w:val="24"/>
        </w:rPr>
        <w:lastRenderedPageBreak/>
        <w:t>适用本公司的内部控制缺陷具体认定标准，并与以前年度保持了一致[描述公司内部控制缺陷的定性及定量标准]，或</w:t>
      </w:r>
      <w:proofErr w:type="gramStart"/>
      <w:r>
        <w:rPr>
          <w:rFonts w:ascii="宋体" w:eastAsia="宋体" w:hAnsi="宋体" w:cs="宋体" w:hint="eastAsia"/>
          <w:sz w:val="24"/>
        </w:rPr>
        <w:t>作出</w:t>
      </w:r>
      <w:proofErr w:type="gramEnd"/>
      <w:r>
        <w:rPr>
          <w:rFonts w:ascii="宋体" w:eastAsia="宋体" w:hAnsi="宋体" w:cs="宋体" w:hint="eastAsia"/>
          <w:sz w:val="24"/>
        </w:rPr>
        <w:t>了调整[描述具体调整标准及原因]。</w:t>
      </w:r>
    </w:p>
    <w:p w14:paraId="021691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根据上述认定标准，结合日常监督和专项监督情况，我们发现报告期内存在[数量]</w:t>
      </w:r>
      <w:proofErr w:type="gramStart"/>
      <w:r>
        <w:rPr>
          <w:rFonts w:ascii="宋体" w:eastAsia="宋体" w:hAnsi="宋体" w:cs="宋体" w:hint="eastAsia"/>
          <w:sz w:val="24"/>
        </w:rPr>
        <w:t>个</w:t>
      </w:r>
      <w:proofErr w:type="gramEnd"/>
      <w:r>
        <w:rPr>
          <w:rFonts w:ascii="宋体" w:eastAsia="宋体" w:hAnsi="宋体" w:cs="宋体" w:hint="eastAsia"/>
          <w:sz w:val="24"/>
        </w:rPr>
        <w:t>缺陷，其中重大缺陷[数量]</w:t>
      </w:r>
      <w:proofErr w:type="gramStart"/>
      <w:r>
        <w:rPr>
          <w:rFonts w:ascii="宋体" w:eastAsia="宋体" w:hAnsi="宋体" w:cs="宋体" w:hint="eastAsia"/>
          <w:sz w:val="24"/>
        </w:rPr>
        <w:t>个</w:t>
      </w:r>
      <w:proofErr w:type="gramEnd"/>
      <w:r>
        <w:rPr>
          <w:rFonts w:ascii="宋体" w:eastAsia="宋体" w:hAnsi="宋体" w:cs="宋体" w:hint="eastAsia"/>
          <w:sz w:val="24"/>
        </w:rPr>
        <w:t>，重要缺陷[数量]</w:t>
      </w:r>
      <w:proofErr w:type="gramStart"/>
      <w:r>
        <w:rPr>
          <w:rFonts w:ascii="宋体" w:eastAsia="宋体" w:hAnsi="宋体" w:cs="宋体" w:hint="eastAsia"/>
          <w:sz w:val="24"/>
        </w:rPr>
        <w:t>个</w:t>
      </w:r>
      <w:proofErr w:type="gramEnd"/>
      <w:r>
        <w:rPr>
          <w:rFonts w:ascii="宋体" w:eastAsia="宋体" w:hAnsi="宋体" w:cs="宋体" w:hint="eastAsia"/>
          <w:sz w:val="24"/>
        </w:rPr>
        <w:t>。重大缺陷分别为：[对重大缺陷进行描述，并说明其对实现相关控制目标的影响程度]。</w:t>
      </w:r>
    </w:p>
    <w:p w14:paraId="36CF23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六、内部控制缺陷的整改情况</w:t>
      </w:r>
    </w:p>
    <w:p w14:paraId="439CA0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针对报告期内发现的内部控制缺陷（含上一期间未完成整改的内部控制缺陷），公司采取了相应的整改措施[描述整改措施的具体内容和实际效果]。对于整改完成的重大缺陷，公司有足够的测试样本显示，与重大缺陷[描述该重大缺陷]相关的内部控制设计且运行有效（运行有效的结论需提供90天内有效运行的证据）。</w:t>
      </w:r>
    </w:p>
    <w:p w14:paraId="6ABAAE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经过整改，公司在报告</w:t>
      </w:r>
      <w:proofErr w:type="gramStart"/>
      <w:r>
        <w:rPr>
          <w:rFonts w:ascii="宋体" w:eastAsia="宋体" w:hAnsi="宋体" w:cs="宋体" w:hint="eastAsia"/>
          <w:sz w:val="24"/>
        </w:rPr>
        <w:t>期末仍</w:t>
      </w:r>
      <w:proofErr w:type="gramEnd"/>
      <w:r>
        <w:rPr>
          <w:rFonts w:ascii="宋体" w:eastAsia="宋体" w:hAnsi="宋体" w:cs="宋体" w:hint="eastAsia"/>
          <w:sz w:val="24"/>
        </w:rPr>
        <w:t>存在[数量]</w:t>
      </w:r>
      <w:proofErr w:type="gramStart"/>
      <w:r>
        <w:rPr>
          <w:rFonts w:ascii="宋体" w:eastAsia="宋体" w:hAnsi="宋体" w:cs="宋体" w:hint="eastAsia"/>
          <w:sz w:val="24"/>
        </w:rPr>
        <w:t>个</w:t>
      </w:r>
      <w:proofErr w:type="gramEnd"/>
      <w:r>
        <w:rPr>
          <w:rFonts w:ascii="宋体" w:eastAsia="宋体" w:hAnsi="宋体" w:cs="宋体" w:hint="eastAsia"/>
          <w:sz w:val="24"/>
        </w:rPr>
        <w:t>缺陷，其中重大缺陷[数量]</w:t>
      </w:r>
      <w:proofErr w:type="gramStart"/>
      <w:r>
        <w:rPr>
          <w:rFonts w:ascii="宋体" w:eastAsia="宋体" w:hAnsi="宋体" w:cs="宋体" w:hint="eastAsia"/>
          <w:sz w:val="24"/>
        </w:rPr>
        <w:t>个</w:t>
      </w:r>
      <w:proofErr w:type="gramEnd"/>
      <w:r>
        <w:rPr>
          <w:rFonts w:ascii="宋体" w:eastAsia="宋体" w:hAnsi="宋体" w:cs="宋体" w:hint="eastAsia"/>
          <w:sz w:val="24"/>
        </w:rPr>
        <w:t>，重要缺陷[数量]</w:t>
      </w:r>
      <w:proofErr w:type="gramStart"/>
      <w:r>
        <w:rPr>
          <w:rFonts w:ascii="宋体" w:eastAsia="宋体" w:hAnsi="宋体" w:cs="宋体" w:hint="eastAsia"/>
          <w:sz w:val="24"/>
        </w:rPr>
        <w:t>个</w:t>
      </w:r>
      <w:proofErr w:type="gramEnd"/>
      <w:r>
        <w:rPr>
          <w:rFonts w:ascii="宋体" w:eastAsia="宋体" w:hAnsi="宋体" w:cs="宋体" w:hint="eastAsia"/>
          <w:sz w:val="24"/>
        </w:rPr>
        <w:t>。重大缺陷分别为：[对重大缺陷进行描述]。</w:t>
      </w:r>
    </w:p>
    <w:p w14:paraId="16CA11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针对报告期末未完成整改的重大缺陷，公司拟进一步采取相应措施加以整改[描述整改措施的具体内容及预期达到的效果]。</w:t>
      </w:r>
    </w:p>
    <w:p w14:paraId="61180C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七、内部控制有效性的结论</w:t>
      </w:r>
    </w:p>
    <w:p w14:paraId="72B5BF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公司已经根据基本规范、评价指引及其他相关法律法规的要求，对公司截至20xx年12月31日的内部控制设计与运行的有效性进行了自我评价。</w:t>
      </w:r>
    </w:p>
    <w:p w14:paraId="417DFA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存在重大缺陷的情形）报告期内，公司在内部控制设计与运行方面存在尚未完成整改的重大缺陷[描述该缺陷的性质及其对实现相关控制目标的影响程度]。由于存在上述缺陷，可能会给公司未来生产经营带来相关风险[描述该风险]。</w:t>
      </w:r>
    </w:p>
    <w:p w14:paraId="190050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（不存在重大缺陷的情形）报告期内，公司对纳入评价范围的业务与事项均已建立了内部控制，并得以有效执行，达到了公司内部控制的目标，不存在重大缺陷。</w:t>
      </w:r>
    </w:p>
    <w:p w14:paraId="3C25C0F1"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自内部</w:t>
      </w:r>
      <w:proofErr w:type="gramEnd"/>
      <w:r>
        <w:rPr>
          <w:rFonts w:ascii="宋体" w:eastAsia="宋体" w:hAnsi="宋体" w:cs="宋体" w:hint="eastAsia"/>
          <w:sz w:val="24"/>
        </w:rPr>
        <w:t>控制评价报告基准日至内部控制评价报告发出日之间[是/否]发生对评价结论产生实质性影响的内部控制的重大变化。[如存在，描述该事项对评价</w:t>
      </w:r>
      <w:r>
        <w:rPr>
          <w:rFonts w:ascii="宋体" w:eastAsia="宋体" w:hAnsi="宋体" w:cs="宋体" w:hint="eastAsia"/>
          <w:sz w:val="24"/>
        </w:rPr>
        <w:lastRenderedPageBreak/>
        <w:t>结论的影响及董事会拟采取的应对措施]。</w:t>
      </w:r>
    </w:p>
    <w:p w14:paraId="0F67C1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我们注意到，内部控制应当与公司经营规模、业务范围、竞争状况和风险水平等相适应，并随着情况的变化及时加以调整。[简要描述下一年度内部控制工作计划]未来期间，公司将继续完善内部控制制度，规范内部控制制度执行，强化内部控制监督检查，促进公司健康、可持续发展。</w:t>
      </w:r>
    </w:p>
    <w:p w14:paraId="1A7477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董事长：[签名]</w:t>
      </w:r>
    </w:p>
    <w:p w14:paraId="011FCB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XX公司</w:t>
      </w:r>
    </w:p>
    <w:p w14:paraId="3BD7EBB9"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20xx年xx月xx日</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657AFEC8"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81.《中国银监会关于完善银行业金融机构客户投诉处理机制切实做好金融消费者保护工作的通知》</w:t>
      </w:r>
      <w:r>
        <w:rPr>
          <w:rFonts w:ascii="宋体" w:eastAsia="宋体" w:hAnsi="宋体" w:cs="宋体" w:hint="eastAsia"/>
          <w:b/>
          <w:bCs/>
          <w:sz w:val="24"/>
        </w:rPr>
        <w:tab/>
      </w:r>
    </w:p>
    <w:p w14:paraId="3A8D3D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577D91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文号：银监发〔2012〕13号</w:t>
      </w:r>
      <w:r>
        <w:rPr>
          <w:rFonts w:ascii="宋体" w:eastAsia="宋体" w:hAnsi="宋体" w:cs="宋体" w:hint="eastAsia"/>
          <w:sz w:val="24"/>
        </w:rPr>
        <w:tab/>
      </w:r>
    </w:p>
    <w:p w14:paraId="0753E194"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局，各政策性银行、国有商业银行、股份制商业银行、金融资产管理公司，邮政储蓄银行，各省级农村信用联社，银监会直接监管的信托公司、企业集团财务公司、金融租赁公司：</w:t>
      </w:r>
    </w:p>
    <w:p w14:paraId="3801B2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为保护金融消费者合法权益，有效化解社会矛盾，促进银行业提高服务水平，根据《银行业监督管理法》和《商业银行法》相关规定，现就有关事项通知如下：</w:t>
      </w:r>
    </w:p>
    <w:p w14:paraId="341FFF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银行业金融机构应当牢固树立公平对待金融消费者的观念，并将其融入公司治理和企业文化建设当中，建立健全金融消费者保护机制。银行业金融机构董事会应当将关注和维护金融消费者的合法权益作为重要职责之一，并确保高级管理</w:t>
      </w:r>
      <w:proofErr w:type="gramStart"/>
      <w:r>
        <w:rPr>
          <w:rFonts w:ascii="宋体" w:eastAsia="宋体" w:hAnsi="宋体" w:cs="宋体" w:hint="eastAsia"/>
          <w:sz w:val="24"/>
        </w:rPr>
        <w:t>层有效</w:t>
      </w:r>
      <w:proofErr w:type="gramEnd"/>
      <w:r>
        <w:rPr>
          <w:rFonts w:ascii="宋体" w:eastAsia="宋体" w:hAnsi="宋体" w:cs="宋体" w:hint="eastAsia"/>
          <w:sz w:val="24"/>
        </w:rPr>
        <w:t>履行相应职责。总行和各级分支机构应当确定一名高级管理人员负责维护金融消费者合法权益工作。</w:t>
      </w:r>
    </w:p>
    <w:p w14:paraId="4AA002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二、银行业金融机构应当完善客户投诉处理机制，制定投诉处理工作流程，落实岗位责任，及时妥善解决客户投诉事项，积极预防合</w:t>
      </w:r>
      <w:proofErr w:type="gramStart"/>
      <w:r>
        <w:rPr>
          <w:rFonts w:ascii="宋体" w:eastAsia="宋体" w:hAnsi="宋体" w:cs="宋体" w:hint="eastAsia"/>
          <w:sz w:val="24"/>
        </w:rPr>
        <w:t>规</w:t>
      </w:r>
      <w:proofErr w:type="gramEnd"/>
      <w:r>
        <w:rPr>
          <w:rFonts w:ascii="宋体" w:eastAsia="宋体" w:hAnsi="宋体" w:cs="宋体" w:hint="eastAsia"/>
          <w:sz w:val="24"/>
        </w:rPr>
        <w:t>风险和声誉风险。</w:t>
      </w:r>
    </w:p>
    <w:p w14:paraId="778768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三、银行业金融机构应当设立或指定投诉处理部门，负责指导、协调、处理客户投诉事项。</w:t>
      </w:r>
    </w:p>
    <w:p w14:paraId="20D210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四、投诉处理工作人员应当充分了解法律、行政法规、规章和银监会有关监管规定，熟悉金融产品与金融服务情况，掌握本机构有关规章制度与业务流程，具备相应的工作能力，公平、友善对待金融消费者。</w:t>
      </w:r>
    </w:p>
    <w:p w14:paraId="35DCC4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五、银行业金融机构应当加强营业网点现场投诉处理能力建设，规范营业网点现场投诉处理程序，明确投诉处理工作人员的岗位职责，严格执行首问负责制，有效提升现场投诉处理能力。</w:t>
      </w:r>
    </w:p>
    <w:p w14:paraId="716E05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六、银行业金融机构应当为客户投诉提供必要的便利。在各营业网点和官方网站的醒目位置公布电话、网络、信函等投诉处理渠道。投诉电话可以单独设立，</w:t>
      </w:r>
      <w:r>
        <w:rPr>
          <w:rFonts w:ascii="宋体" w:eastAsia="宋体" w:hAnsi="宋体" w:cs="宋体" w:hint="eastAsia"/>
          <w:sz w:val="24"/>
        </w:rPr>
        <w:lastRenderedPageBreak/>
        <w:t>也可以与客户服务热线对接；与客户服务热线对接的，在客户服务热线中应有明显清晰的提示。</w:t>
      </w:r>
    </w:p>
    <w:p w14:paraId="24CD78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七、银行业金融机构应当及时受理各项投诉并登记，受理后应当通过短信、电话、电子邮件或信函等方式告知客户受理情况、处理时限和联系方式。</w:t>
      </w:r>
    </w:p>
    <w:p w14:paraId="799DE5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银行业金融机构对客户投诉事项，应当认真调查核实并及时将处理结果以上述方式告知。发现有关金融产品或服务确有问题的，应立即采取措施予以补救或纠正。银行业金融机构给金融消费者造成损失的，应根据有关法律规定或合同约定向金融消费者进行赔偿或补偿。</w:t>
      </w:r>
    </w:p>
    <w:p w14:paraId="398A3A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投诉处理应当高效快速。处理时限原则上不得超过十五个工作日。情况复杂或有特殊原因的，可以适当延长处理时限，但最长不得超过六十个工作日，并应当以短信、邮件、信函等方式告知客户延长时限及理由。</w:t>
      </w:r>
    </w:p>
    <w:p w14:paraId="06F2D0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十、对银监会及其派出机构转办的投诉事项，应当严格按照转办要求处理，并及时向交办机构报告处理结果。</w:t>
      </w:r>
    </w:p>
    <w:p w14:paraId="2C39CC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银行业金融机构应当实行客户投诉源头治理，定期分析研究客户投诉、咨询的热点问题，及时查找薄弱环节和风险隐患，从运营机制、操作流程、管理制度等体制机制方面予以重点改进，切实维护金融消费者的合法权益。</w:t>
      </w:r>
    </w:p>
    <w:p w14:paraId="406871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十二、银行业金融机构要加强对各分支机构客户投诉处理工作的管理，将投诉处理工作纳入经营绩效考评和内控评价体系，及时研究解决投诉处理工作中存在的问题，确保客户投诉处理机制的有效性。</w:t>
      </w:r>
    </w:p>
    <w:p w14:paraId="01E16F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十三、银行业金融机构应当充分发挥法律合</w:t>
      </w:r>
      <w:proofErr w:type="gramStart"/>
      <w:r>
        <w:rPr>
          <w:rFonts w:ascii="宋体" w:eastAsia="宋体" w:hAnsi="宋体" w:cs="宋体" w:hint="eastAsia"/>
          <w:sz w:val="24"/>
        </w:rPr>
        <w:t>规</w:t>
      </w:r>
      <w:proofErr w:type="gramEnd"/>
      <w:r>
        <w:rPr>
          <w:rFonts w:ascii="宋体" w:eastAsia="宋体" w:hAnsi="宋体" w:cs="宋体" w:hint="eastAsia"/>
          <w:sz w:val="24"/>
        </w:rPr>
        <w:t>部门在客户投诉处理和维护金融消费者合法权益工作中的作用，加强合</w:t>
      </w:r>
      <w:proofErr w:type="gramStart"/>
      <w:r>
        <w:rPr>
          <w:rFonts w:ascii="宋体" w:eastAsia="宋体" w:hAnsi="宋体" w:cs="宋体" w:hint="eastAsia"/>
          <w:sz w:val="24"/>
        </w:rPr>
        <w:t>规</w:t>
      </w:r>
      <w:proofErr w:type="gramEnd"/>
      <w:r>
        <w:rPr>
          <w:rFonts w:ascii="宋体" w:eastAsia="宋体" w:hAnsi="宋体" w:cs="宋体" w:hint="eastAsia"/>
          <w:sz w:val="24"/>
        </w:rPr>
        <w:t>风险的有效识别和管理，确保依法合</w:t>
      </w:r>
      <w:proofErr w:type="gramStart"/>
      <w:r>
        <w:rPr>
          <w:rFonts w:ascii="宋体" w:eastAsia="宋体" w:hAnsi="宋体" w:cs="宋体" w:hint="eastAsia"/>
          <w:sz w:val="24"/>
        </w:rPr>
        <w:t>规</w:t>
      </w:r>
      <w:proofErr w:type="gramEnd"/>
      <w:r>
        <w:rPr>
          <w:rFonts w:ascii="宋体" w:eastAsia="宋体" w:hAnsi="宋体" w:cs="宋体" w:hint="eastAsia"/>
          <w:sz w:val="24"/>
        </w:rPr>
        <w:t>经营，切实维护金融消费者的合法权益。</w:t>
      </w:r>
    </w:p>
    <w:p w14:paraId="4089FD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十四、银行业金融机构应当加强员工维护金融消费者合法权益的教育培训工作，切实提高服务意识和服务水平。</w:t>
      </w:r>
    </w:p>
    <w:p w14:paraId="08D40F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十五、银行业金融机构接到大规模投诉，或者投诉事项重大，涉及众多金融消费者利益，可能引发群体性事件的，应当及时向银监会或其派出机构报告。</w:t>
      </w:r>
    </w:p>
    <w:p w14:paraId="4A67C9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十六、银行业金融机构及其各级分支机构应当做好金融消费者投诉统计、分析工作，并每半年形成报告，于每年1月30日和7月30日前报送银监会或其派出机构。</w:t>
      </w:r>
    </w:p>
    <w:p w14:paraId="0AB3FB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及其分支机构应当于2012年7月20日前将客户投诉管理办法、投诉渠道、投诉处理部门及其负责人和联系人的名单报送银监会或其派出机构。此后如客户投诉管理办法、投诉渠道有变动，变动情况应在半年报告中予以反映；如投诉处理部门及其负责人和联系人的名单有变动，应及时将变动情况报告银监会或其派出机构。</w:t>
      </w:r>
    </w:p>
    <w:p w14:paraId="35C470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十七、银监会及其派出机构要加强对银行业金融机构客户投诉处理工作的监督检查，敦促其完善机制、落实责任、推进工作。</w:t>
      </w:r>
    </w:p>
    <w:p w14:paraId="4C1D13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十八、对于涉及金融消费者权益保护的热点、难点问题，银监会及其派出机构可以向有关金融机构发出监管建议，并要求其在一定期限内采取预防或纠正措施；发现违法违规行为的，应当依法予以查处。</w:t>
      </w:r>
    </w:p>
    <w:p w14:paraId="1285D5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十九、对于一定时期内，信访投诉数量较高、处理不当或拖延问题较突出的银行业金融机构，应当在全</w:t>
      </w:r>
      <w:proofErr w:type="gramStart"/>
      <w:r>
        <w:rPr>
          <w:rFonts w:ascii="宋体" w:eastAsia="宋体" w:hAnsi="宋体" w:cs="宋体" w:hint="eastAsia"/>
          <w:sz w:val="24"/>
        </w:rPr>
        <w:t>辖予以</w:t>
      </w:r>
      <w:proofErr w:type="gramEnd"/>
      <w:r>
        <w:rPr>
          <w:rFonts w:ascii="宋体" w:eastAsia="宋体" w:hAnsi="宋体" w:cs="宋体" w:hint="eastAsia"/>
          <w:sz w:val="24"/>
        </w:rPr>
        <w:t>通报，并可作为准入和监管评级的参考依据。</w:t>
      </w:r>
    </w:p>
    <w:p w14:paraId="33665303"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请各银监</w:t>
      </w:r>
      <w:proofErr w:type="gramEnd"/>
      <w:r>
        <w:rPr>
          <w:rFonts w:ascii="宋体" w:eastAsia="宋体" w:hAnsi="宋体" w:cs="宋体" w:hint="eastAsia"/>
          <w:sz w:val="24"/>
        </w:rPr>
        <w:t>局将本通知转发至辖内银行业金融机构，并督促其遵照执行。</w:t>
      </w:r>
      <w:proofErr w:type="gramStart"/>
      <w:r>
        <w:rPr>
          <w:rFonts w:ascii="宋体" w:eastAsia="宋体" w:hAnsi="宋体" w:cs="宋体" w:hint="eastAsia"/>
          <w:sz w:val="24"/>
        </w:rPr>
        <w:t>各银监</w:t>
      </w:r>
      <w:proofErr w:type="gramEnd"/>
      <w:r>
        <w:rPr>
          <w:rFonts w:ascii="宋体" w:eastAsia="宋体" w:hAnsi="宋体" w:cs="宋体" w:hint="eastAsia"/>
          <w:sz w:val="24"/>
        </w:rPr>
        <w:t>局和银行业金融机构在执行中遇有问题，请及时向银监会报告。</w:t>
      </w:r>
    </w:p>
    <w:p w14:paraId="778B6444"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二</w:t>
      </w:r>
      <w:proofErr w:type="gramStart"/>
      <w:r>
        <w:rPr>
          <w:rFonts w:ascii="宋体" w:eastAsia="宋体" w:hAnsi="宋体" w:cs="宋体" w:hint="eastAsia"/>
          <w:sz w:val="24"/>
        </w:rPr>
        <w:t>０</w:t>
      </w:r>
      <w:proofErr w:type="gramEnd"/>
      <w:r>
        <w:rPr>
          <w:rFonts w:ascii="宋体" w:eastAsia="宋体" w:hAnsi="宋体" w:cs="宋体" w:hint="eastAsia"/>
          <w:sz w:val="24"/>
        </w:rPr>
        <w:t>一二年三月二十三日</w:t>
      </w:r>
    </w:p>
    <w:p w14:paraId="39927E2A" w14:textId="77777777" w:rsidR="00F50CD8" w:rsidRDefault="00000000">
      <w:pPr>
        <w:pStyle w:val="1"/>
        <w:spacing w:afterLines="50" w:after="156" w:line="360" w:lineRule="auto"/>
        <w:ind w:firstLineChars="200" w:firstLine="482"/>
        <w:rPr>
          <w:rStyle w:val="10"/>
          <w:rFonts w:ascii="宋体" w:eastAsia="宋体" w:hAnsi="宋体" w:cs="宋体" w:hint="eastAsia"/>
          <w:b/>
        </w:rPr>
      </w:pPr>
      <w:r>
        <w:rPr>
          <w:rStyle w:val="10"/>
          <w:rFonts w:ascii="宋体" w:eastAsia="宋体" w:hAnsi="宋体" w:cs="宋体" w:hint="eastAsia"/>
          <w:b/>
        </w:rPr>
        <w:lastRenderedPageBreak/>
        <w:t>82.《</w:t>
      </w:r>
      <w:r>
        <w:rPr>
          <w:rStyle w:val="a7"/>
          <w:rFonts w:ascii="宋体" w:eastAsia="宋体" w:hAnsi="宋体" w:cs="宋体" w:hint="eastAsia"/>
          <w:b/>
          <w:color w:val="333333"/>
          <w:szCs w:val="24"/>
          <w:shd w:val="clear" w:color="auto" w:fill="FFFFFF"/>
        </w:rPr>
        <w:t>金融机构涉刑案件管理办法</w:t>
      </w:r>
      <w:r>
        <w:rPr>
          <w:rStyle w:val="10"/>
          <w:rFonts w:ascii="宋体" w:eastAsia="宋体" w:hAnsi="宋体" w:cs="宋体" w:hint="eastAsia"/>
          <w:b/>
        </w:rPr>
        <w:t>》</w:t>
      </w:r>
    </w:p>
    <w:p w14:paraId="43FED5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发文机构：国家金融监督管理总局</w:t>
      </w:r>
    </w:p>
    <w:p w14:paraId="2257D4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文号：金</w:t>
      </w:r>
      <w:proofErr w:type="gramStart"/>
      <w:r>
        <w:rPr>
          <w:rFonts w:ascii="宋体" w:eastAsia="宋体" w:hAnsi="宋体" w:cs="宋体" w:hint="eastAsia"/>
          <w:sz w:val="24"/>
        </w:rPr>
        <w:t>规</w:t>
      </w:r>
      <w:proofErr w:type="gramEnd"/>
      <w:r>
        <w:rPr>
          <w:rFonts w:ascii="宋体" w:eastAsia="宋体" w:hAnsi="宋体" w:cs="宋体" w:hint="eastAsia"/>
          <w:sz w:val="24"/>
        </w:rPr>
        <w:t>〔2024〕12号</w:t>
      </w:r>
    </w:p>
    <w:p w14:paraId="1E894B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142CC1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为进一步规范和加强金融</w:t>
      </w:r>
      <w:proofErr w:type="gramStart"/>
      <w:r>
        <w:rPr>
          <w:rFonts w:ascii="宋体" w:eastAsia="宋体" w:hAnsi="宋体" w:cs="宋体" w:hint="eastAsia"/>
          <w:sz w:val="24"/>
        </w:rPr>
        <w:t>机构涉刑案件</w:t>
      </w:r>
      <w:proofErr w:type="gramEnd"/>
      <w:r>
        <w:rPr>
          <w:rFonts w:ascii="宋体" w:eastAsia="宋体" w:hAnsi="宋体" w:cs="宋体" w:hint="eastAsia"/>
          <w:sz w:val="24"/>
        </w:rPr>
        <w:t>（以下简称案件）管理工作，建立责任明确、协调高效的工作机制，依法、及时、稳妥处置案件，依据《中华人民共和国银行业监督管理法》、《中华人民共和国商业银行法》、《中华人民共和国保险法》等法律法规，制定本办法。</w:t>
      </w:r>
    </w:p>
    <w:p w14:paraId="13F8B1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办法所称金融机构是指在中华人民共和国境内设立的金融控股公司、政策性银行、商业银行、农村合作银行、农村信用合作社、农村资金互助社、贷款公司、金融资产管理公司、企业集团财务公司、金融租赁公司、汽车金融公司、消费金融公司、货币经纪公司、信托公司、理财公司、金融资产投资公司、人身保险公司、财产保险公司、保险资产管理公司、保险集团（控股）公司、再保险公司、政策性保险公司、相互保险组织、保险专业代理机构、保险经纪人。</w:t>
      </w:r>
    </w:p>
    <w:p w14:paraId="46C137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外国银行代表处、外国保险机构代表机构、保险公估人等金融监管总局及其派出机构监管的其他机构适用本办法。</w:t>
      </w:r>
    </w:p>
    <w:p w14:paraId="7D8AA1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本办法所称案件管理工作包括案件信息报送、案件处置和监督管理等。</w:t>
      </w:r>
    </w:p>
    <w:p w14:paraId="4A62FD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案件管理工作坚持机构为主、属地监管、分级负责、依法处置原则。</w:t>
      </w:r>
    </w:p>
    <w:p w14:paraId="52A1FD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金融机构承担案件管理的主体责任，应当建立与本机构资产规模、业务复杂程度和内控管理要求相适应的案件管理体系，制定并有效执行本机构的案件管理制度，负责本机构案件信息报送、案件处置等工作。</w:t>
      </w:r>
    </w:p>
    <w:p w14:paraId="2B7847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金融监管总局负责指导、督促派出机构和金融机构的案件管理工作，负责金融监管总局直接监管的金融机构法人总部案件的管理工作，负责案件管理相关监管制度和信息化建设等工作。</w:t>
      </w:r>
    </w:p>
    <w:p w14:paraId="4061D7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金融监管总局可以提级查处派出机构管辖的案件，也可以授权或者指定派出</w:t>
      </w:r>
      <w:r>
        <w:rPr>
          <w:rFonts w:ascii="宋体" w:eastAsia="宋体" w:hAnsi="宋体" w:cs="宋体" w:hint="eastAsia"/>
          <w:sz w:val="24"/>
        </w:rPr>
        <w:lastRenderedPageBreak/>
        <w:t>机构查处金融监管总局管辖的案件。</w:t>
      </w:r>
    </w:p>
    <w:p w14:paraId="048660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金融监管总局各级派出机构按照属地监管原则，负责辖区内案件管理工作，并承担上级监管部门授权或者指定的相关工作，必要时可以提级查处下级派出机构管辖的案件。</w:t>
      </w:r>
    </w:p>
    <w:p w14:paraId="3235EC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案件定义</w:t>
      </w:r>
    </w:p>
    <w:p w14:paraId="59B77B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案件是指金融机构从业人员在业务经营过程中，利用职务便利实施侵犯所在机构或者客户合法权益的行为，已由公安、司法、监察等机关立案查处的刑事案件。</w:t>
      </w:r>
    </w:p>
    <w:p w14:paraId="6EFC42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金融机构从业人员违规使用金融机构重要空白凭证、印章、营业场所等，套取所在机构信用参与非法集资等非法金融活动，已由公安、司法、监察等机关立案查处的刑事案件，按照案件管理。</w:t>
      </w:r>
    </w:p>
    <w:p w14:paraId="5E934F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案件风险事件是指可能演化为案件，但尚未达到案件确认标准的有关事件。下列情形属于案件风险事件：</w:t>
      </w:r>
    </w:p>
    <w:p w14:paraId="546D41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（一）金融机构从业人员在业务经营过程中，涉嫌利用职务便利实施侵犯所在机构或者客户合法权益的行为，金融机构向公安、司法、监察等机关报案，但尚未立案的；</w:t>
      </w:r>
    </w:p>
    <w:p w14:paraId="7E837E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（二）金融机构从业人员被公安、司法、监察等机关立案调查，但无法确定其违法犯罪行为是否与经营业务有关的。</w:t>
      </w:r>
    </w:p>
    <w:p w14:paraId="1591BF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有下列情形之一的案件，属于重大案件：</w:t>
      </w:r>
    </w:p>
    <w:p w14:paraId="136D1F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（一）涉案业务余额等值人民币一亿元（含）以上的；</w:t>
      </w:r>
    </w:p>
    <w:p w14:paraId="5C6E42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（二）自案件确认后至案件审结期间任一时点，风险敞口金额（指涉案金额扣除已回收的现金或者等同现金的资产）等值人民币五千万元（含）以上，且占案发法人机构净资产百分之十（含）以上的；</w:t>
      </w:r>
    </w:p>
    <w:p w14:paraId="0CFDEB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（三）性质恶劣、引发重大负面舆情、造成挤兑或者集中退保以及可能诱发区域性系统性风险等具有重大社会不良影响的；</w:t>
      </w:r>
    </w:p>
    <w:p w14:paraId="044754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（四）金融监管总局及其派出机构认定的其他属于重大案件的情形。</w:t>
      </w:r>
    </w:p>
    <w:p w14:paraId="3F9371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自查发现案件是指金融机构在日常经办业务或者经营管理中，通过风险排查、业务检查、内审监督、纪检监察、巡视巡察以及本机构受理的投诉举报等内部途径，主动发现线索、主动报案并及时向金融监管总局案件管理部门或者属地派出机构报送案件报告的案件。</w:t>
      </w:r>
    </w:p>
    <w:p w14:paraId="166315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金融机构通过外部转办的投诉举报、外部审计、监管检查、舆情监测、外部巡视巡察等渠道发现的案件，不属于自查发现案件。</w:t>
      </w:r>
    </w:p>
    <w:p w14:paraId="722C27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信息报送</w:t>
      </w:r>
    </w:p>
    <w:p w14:paraId="2306BD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案发机构在知悉或者应当知悉案件发生后，应当于五个工作日内分别向属地派出机构和法人总部报告。派出机构收到报告后，应当审核报告内容，于五个工作日内完成案件确认报告。</w:t>
      </w:r>
    </w:p>
    <w:p w14:paraId="549603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金融监管总局直接监管的金融机构在知悉或者应当知悉法人总部案件发生后，应当于五个工作日内向金融监管总局案件管理部门报告，并抄送机构监管部门。</w:t>
      </w:r>
    </w:p>
    <w:p w14:paraId="1A0017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金融机构分支机构发生重大案件的，金融机构法人总部在收到其分支机构案件报告后，应当审核报告内容，于五个工作日内向金融监管总局或者属地派出机构报告。</w:t>
      </w:r>
    </w:p>
    <w:p w14:paraId="1097A3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金融机构应当综合考虑相关人员作案时的身份和业务经办机构等因素，按照实质重于形式的原则，将与案件联系最紧密的机构确定为案件报送主体。</w:t>
      </w:r>
    </w:p>
    <w:p w14:paraId="245902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金融机构内部发生多起案件，且案件之间无关联的，应当分别报送案件。单一案件涉及多家金融机构的，各金融机构应当分别报送案件。单一案件涉及金融机构内部多家机构，且由同一派出机构监管的，可以由较高层级案发机构合并报送案件。</w:t>
      </w:r>
    </w:p>
    <w:p w14:paraId="05D2EA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涉案人员先后在同一金融机构内部不同机构任职，办案机关通报信息明确任职机构的，由任职机构报送案件；未明确任职机构的，由符合案件定</w:t>
      </w:r>
      <w:r>
        <w:rPr>
          <w:rFonts w:ascii="宋体" w:eastAsia="宋体" w:hAnsi="宋体" w:cs="宋体" w:hint="eastAsia"/>
          <w:sz w:val="24"/>
        </w:rPr>
        <w:lastRenderedPageBreak/>
        <w:t>义的最后任职机构报送案件。涉案机构由不同派出机构监管的，案件报送机构的属地派出机构负责牵头案件处置，其他派出机构对辖区内涉案机构的违法违规行为进行查处，并及时将查处情况通报牵头部门。</w:t>
      </w:r>
    </w:p>
    <w:p w14:paraId="0774B8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派出机构在案件处置过程中发现辖区外金融机构案件线索的，应当按照监管权限，及时向金融监管总局或者属地派出机构移交。</w:t>
      </w:r>
    </w:p>
    <w:p w14:paraId="23DF05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案件应当当年报告、当年统计，按照监管部门案件确认时间纳入年度统计。案件性质、涉案金额等依据公安、司法、监察等机关的立案信息确定。不能知悉相关信息的，案发机构初步核查后，按照监管权限，由金融监管总局或者属地派出机构认定。</w:t>
      </w:r>
    </w:p>
    <w:p w14:paraId="3DDAEC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案件处置过程中，涉案金额、涉案机构、涉案人员以及涉案罪名等发生重大变化的，金融机构应当及时报送案件续报。</w:t>
      </w:r>
    </w:p>
    <w:p w14:paraId="12B5BD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对于公安、司法、监察等机关依法撤案，不予移送检察机关起诉，检察机关不予起诉，审判机关依法终止审理、不予追究刑事责任、判决无罪或者经监管部门核查不符合案件定义的，金融机构应当及时撤销案件。</w:t>
      </w:r>
    </w:p>
    <w:p w14:paraId="613E3F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对于已撤销的案件，相关金融机构和人员存在违法违规行为的，应当依法查处。</w:t>
      </w:r>
    </w:p>
    <w:p w14:paraId="2C1610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案件风险事件报告、续报报送要求与案件一致。金融机构在报送案件风险事件报告后，应当及时开展核查，持续关注事件进展，符合案件定义的，及时报送案件报告；明确不符合案件定义的，及时撤销案件风险事件。</w:t>
      </w:r>
    </w:p>
    <w:p w14:paraId="657FF4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对于已撤销的案件风险事件，相关金融机构和人员存在违法违规行为的，应当依法查处。</w:t>
      </w:r>
    </w:p>
    <w:p w14:paraId="78C6EA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机构处置</w:t>
      </w:r>
    </w:p>
    <w:p w14:paraId="02255B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金融机构对案件处置工作</w:t>
      </w:r>
      <w:proofErr w:type="gramStart"/>
      <w:r>
        <w:rPr>
          <w:rFonts w:ascii="宋体" w:eastAsia="宋体" w:hAnsi="宋体" w:cs="宋体" w:hint="eastAsia"/>
          <w:sz w:val="24"/>
        </w:rPr>
        <w:t>负主体</w:t>
      </w:r>
      <w:proofErr w:type="gramEnd"/>
      <w:r>
        <w:rPr>
          <w:rFonts w:ascii="宋体" w:eastAsia="宋体" w:hAnsi="宋体" w:cs="宋体" w:hint="eastAsia"/>
          <w:sz w:val="24"/>
        </w:rPr>
        <w:t>责任，主要承担以下职责：</w:t>
      </w:r>
    </w:p>
    <w:p w14:paraId="6E4035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（一）按规定报送案件、案件风险事件等案件信息；</w:t>
      </w:r>
    </w:p>
    <w:p w14:paraId="3057CB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（二）开展涉案业务调查，按规定报送调查报告；</w:t>
      </w:r>
    </w:p>
    <w:p w14:paraId="332D5B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（三）对案件责任人员进行责任认定并开展追责问责；</w:t>
      </w:r>
    </w:p>
    <w:p w14:paraId="6E138B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（四）排查并弥补内部管理漏洞；</w:t>
      </w:r>
    </w:p>
    <w:p w14:paraId="7EE755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（五）对造成重大社会不良影响的重大案件，及时向地方政府报告案件情况；</w:t>
      </w:r>
    </w:p>
    <w:p w14:paraId="0BD905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（六）按规定报送案件审结报告；</w:t>
      </w:r>
    </w:p>
    <w:p w14:paraId="1FAEF8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（七）对案件进行通报，重大案件应当开展全员警示教育。</w:t>
      </w:r>
    </w:p>
    <w:p w14:paraId="167F55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金融机构应当成立调查组开展涉案业务调查工作。金融机构发生重大案件或者法人总部直接管理人员涉案的，调查组组长由法人总部负责人担任；分支机构发生非重大案件的，调查组组长由其上级机构负责人或者相关部门主要负责人担任。</w:t>
      </w:r>
    </w:p>
    <w:p w14:paraId="2E05F9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农村合作金融机构发生重大案件的，调查组组长由省级机构负责人或者其管理行负责人担任；不属于省级机构或者管理行管理的农村合作金融机构，按照本条第一款规定执行。</w:t>
      </w:r>
    </w:p>
    <w:p w14:paraId="363249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涉案业务调查相关工作主要包括：</w:t>
      </w:r>
    </w:p>
    <w:p w14:paraId="424B60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（一）对涉案人员经办业务进行排查，制定处置方案；</w:t>
      </w:r>
    </w:p>
    <w:p w14:paraId="60CE09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（二）查清基本案情，确定案件性质，总结案发原因，查找内控管理存在的问题；</w:t>
      </w:r>
    </w:p>
    <w:p w14:paraId="5B52D3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（三）最大限度挽回损失，依法维护机构和客户权益；</w:t>
      </w:r>
    </w:p>
    <w:p w14:paraId="138D7E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（四）提出自查发现案件的认定意见和理由；</w:t>
      </w:r>
    </w:p>
    <w:p w14:paraId="364B80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（五）做好舆情管理和流动性风险管理，必要时争取地方政府支持，维护案发机构正常经营秩序；</w:t>
      </w:r>
    </w:p>
    <w:p w14:paraId="098F60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（六）积极配合公安、司法、监察等机关侦办案件。</w:t>
      </w:r>
    </w:p>
    <w:p w14:paraId="5C6335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金融机构应当在报送案件报告后六个月内向金融监管总局案件管理部门或者属地派出机构报送调查报告。不能按期报送的，应当书面申请延期，每次延期时间不超过六个月。</w:t>
      </w:r>
    </w:p>
    <w:p w14:paraId="64FBA9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第二十四条　金融机构应当制定与本机构资产规模和业务复杂程度相适应的案件问</w:t>
      </w:r>
      <w:proofErr w:type="gramStart"/>
      <w:r>
        <w:rPr>
          <w:rFonts w:ascii="宋体" w:eastAsia="宋体" w:hAnsi="宋体" w:cs="宋体" w:hint="eastAsia"/>
          <w:sz w:val="24"/>
        </w:rPr>
        <w:t>责制度</w:t>
      </w:r>
      <w:proofErr w:type="gramEnd"/>
      <w:r>
        <w:rPr>
          <w:rFonts w:ascii="宋体" w:eastAsia="宋体" w:hAnsi="宋体" w:cs="宋体" w:hint="eastAsia"/>
          <w:sz w:val="24"/>
        </w:rPr>
        <w:t>或者在问</w:t>
      </w:r>
      <w:proofErr w:type="gramStart"/>
      <w:r>
        <w:rPr>
          <w:rFonts w:ascii="宋体" w:eastAsia="宋体" w:hAnsi="宋体" w:cs="宋体" w:hint="eastAsia"/>
          <w:sz w:val="24"/>
        </w:rPr>
        <w:t>责</w:t>
      </w:r>
      <w:proofErr w:type="gramEnd"/>
      <w:r>
        <w:rPr>
          <w:rFonts w:ascii="宋体" w:eastAsia="宋体" w:hAnsi="宋体" w:cs="宋体" w:hint="eastAsia"/>
          <w:sz w:val="24"/>
        </w:rPr>
        <w:t>制度中明确案件问责情形，报送金融监管总局案件管理部门或者属地派出机构。</w:t>
      </w:r>
    </w:p>
    <w:p w14:paraId="25B209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国有金融机构应当按照国有企业管理人员处分相关规定，加强对履行组织、领导、管理、监督等职责人员的教育、管理、监督，严格依规对案件责任人员开展追责问责。</w:t>
      </w:r>
    </w:p>
    <w:p w14:paraId="3A2B82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金融机构应当分级开展案件追责问</w:t>
      </w:r>
      <w:proofErr w:type="gramStart"/>
      <w:r>
        <w:rPr>
          <w:rFonts w:ascii="宋体" w:eastAsia="宋体" w:hAnsi="宋体" w:cs="宋体" w:hint="eastAsia"/>
          <w:sz w:val="24"/>
        </w:rPr>
        <w:t>责</w:t>
      </w:r>
      <w:proofErr w:type="gramEnd"/>
      <w:r>
        <w:rPr>
          <w:rFonts w:ascii="宋体" w:eastAsia="宋体" w:hAnsi="宋体" w:cs="宋体" w:hint="eastAsia"/>
          <w:sz w:val="24"/>
        </w:rPr>
        <w:t>工作。金融机构发生重大案件或者法人总部直接管理人员涉案的，追责问</w:t>
      </w:r>
      <w:proofErr w:type="gramStart"/>
      <w:r>
        <w:rPr>
          <w:rFonts w:ascii="宋体" w:eastAsia="宋体" w:hAnsi="宋体" w:cs="宋体" w:hint="eastAsia"/>
          <w:sz w:val="24"/>
        </w:rPr>
        <w:t>责</w:t>
      </w:r>
      <w:proofErr w:type="gramEnd"/>
      <w:r>
        <w:rPr>
          <w:rFonts w:ascii="宋体" w:eastAsia="宋体" w:hAnsi="宋体" w:cs="宋体" w:hint="eastAsia"/>
          <w:sz w:val="24"/>
        </w:rPr>
        <w:t>工作由法人总部牵头开展，其余案件追责问</w:t>
      </w:r>
      <w:proofErr w:type="gramStart"/>
      <w:r>
        <w:rPr>
          <w:rFonts w:ascii="宋体" w:eastAsia="宋体" w:hAnsi="宋体" w:cs="宋体" w:hint="eastAsia"/>
          <w:sz w:val="24"/>
        </w:rPr>
        <w:t>责</w:t>
      </w:r>
      <w:proofErr w:type="gramEnd"/>
      <w:r>
        <w:rPr>
          <w:rFonts w:ascii="宋体" w:eastAsia="宋体" w:hAnsi="宋体" w:cs="宋体" w:hint="eastAsia"/>
          <w:sz w:val="24"/>
        </w:rPr>
        <w:t>工作由案发机构的上级机构牵头开展。</w:t>
      </w:r>
    </w:p>
    <w:p w14:paraId="323C49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农村合作金融机构发生重大案件或者法人总部负责人涉案的，由省级机构或者管理</w:t>
      </w:r>
      <w:proofErr w:type="gramStart"/>
      <w:r>
        <w:rPr>
          <w:rFonts w:ascii="宋体" w:eastAsia="宋体" w:hAnsi="宋体" w:cs="宋体" w:hint="eastAsia"/>
          <w:sz w:val="24"/>
        </w:rPr>
        <w:t>行依据</w:t>
      </w:r>
      <w:proofErr w:type="gramEnd"/>
      <w:r>
        <w:rPr>
          <w:rFonts w:ascii="宋体" w:eastAsia="宋体" w:hAnsi="宋体" w:cs="宋体" w:hint="eastAsia"/>
          <w:sz w:val="24"/>
        </w:rPr>
        <w:t>干部管理权限对案发机构法人总部相关负责人开展追责问责，其余案件追责问责由案发机构法人总部负责；不属于省级机构或者管理行管理的农村合作金融机构，按照本条第一款规定执行。</w:t>
      </w:r>
    </w:p>
    <w:p w14:paraId="4DE015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金融机构应当追究案发机构案件责任人员的责任，并对其上一级机构相关条</w:t>
      </w:r>
      <w:proofErr w:type="gramStart"/>
      <w:r>
        <w:rPr>
          <w:rFonts w:ascii="宋体" w:eastAsia="宋体" w:hAnsi="宋体" w:cs="宋体" w:hint="eastAsia"/>
          <w:sz w:val="24"/>
        </w:rPr>
        <w:t>线部门</w:t>
      </w:r>
      <w:proofErr w:type="gramEnd"/>
      <w:r>
        <w:rPr>
          <w:rFonts w:ascii="宋体" w:eastAsia="宋体" w:hAnsi="宋体" w:cs="宋体" w:hint="eastAsia"/>
          <w:sz w:val="24"/>
        </w:rPr>
        <w:t>负责人、机构分管负责人、机构主要负责人以及其他案件责任人员进行责任认定，对存在案件责任的应当</w:t>
      </w:r>
      <w:proofErr w:type="gramStart"/>
      <w:r>
        <w:rPr>
          <w:rFonts w:ascii="宋体" w:eastAsia="宋体" w:hAnsi="宋体" w:cs="宋体" w:hint="eastAsia"/>
          <w:sz w:val="24"/>
        </w:rPr>
        <w:t>予以问</w:t>
      </w:r>
      <w:proofErr w:type="gramEnd"/>
      <w:r>
        <w:rPr>
          <w:rFonts w:ascii="宋体" w:eastAsia="宋体" w:hAnsi="宋体" w:cs="宋体" w:hint="eastAsia"/>
          <w:sz w:val="24"/>
        </w:rPr>
        <w:t>责。</w:t>
      </w:r>
    </w:p>
    <w:p w14:paraId="28945C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发生重大案件的，金融机构除对案发机构及其上一级机构案件责任人员进行责任认定外，还应当对其上一级机构的上级机构相关条</w:t>
      </w:r>
      <w:proofErr w:type="gramStart"/>
      <w:r>
        <w:rPr>
          <w:rFonts w:ascii="宋体" w:eastAsia="宋体" w:hAnsi="宋体" w:cs="宋体" w:hint="eastAsia"/>
          <w:sz w:val="24"/>
        </w:rPr>
        <w:t>线部门</w:t>
      </w:r>
      <w:proofErr w:type="gramEnd"/>
      <w:r>
        <w:rPr>
          <w:rFonts w:ascii="宋体" w:eastAsia="宋体" w:hAnsi="宋体" w:cs="宋体" w:hint="eastAsia"/>
          <w:sz w:val="24"/>
        </w:rPr>
        <w:t>负责人、机构分管负责人、机构主要负责人等进行责任认定，对存在案件责任的应当</w:t>
      </w:r>
      <w:proofErr w:type="gramStart"/>
      <w:r>
        <w:rPr>
          <w:rFonts w:ascii="宋体" w:eastAsia="宋体" w:hAnsi="宋体" w:cs="宋体" w:hint="eastAsia"/>
          <w:sz w:val="24"/>
        </w:rPr>
        <w:t>予以问</w:t>
      </w:r>
      <w:proofErr w:type="gramEnd"/>
      <w:r>
        <w:rPr>
          <w:rFonts w:ascii="宋体" w:eastAsia="宋体" w:hAnsi="宋体" w:cs="宋体" w:hint="eastAsia"/>
          <w:sz w:val="24"/>
        </w:rPr>
        <w:t>责。</w:t>
      </w:r>
    </w:p>
    <w:p w14:paraId="5EAC9C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认定为自查发现案件的，金融机构对主动作为、发现案件的案件责任人员，可以结合其在自查发现案件中起到的作用，适当</w:t>
      </w:r>
      <w:proofErr w:type="gramStart"/>
      <w:r>
        <w:rPr>
          <w:rFonts w:ascii="宋体" w:eastAsia="宋体" w:hAnsi="宋体" w:cs="宋体" w:hint="eastAsia"/>
          <w:sz w:val="24"/>
        </w:rPr>
        <w:t>减轻问</w:t>
      </w:r>
      <w:proofErr w:type="gramEnd"/>
      <w:r>
        <w:rPr>
          <w:rFonts w:ascii="宋体" w:eastAsia="宋体" w:hAnsi="宋体" w:cs="宋体" w:hint="eastAsia"/>
          <w:sz w:val="24"/>
        </w:rPr>
        <w:t>责。</w:t>
      </w:r>
    </w:p>
    <w:p w14:paraId="1EFB93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金融机构应当针对案件制定整改方案，建立</w:t>
      </w:r>
      <w:proofErr w:type="gramStart"/>
      <w:r>
        <w:rPr>
          <w:rFonts w:ascii="宋体" w:eastAsia="宋体" w:hAnsi="宋体" w:cs="宋体" w:hint="eastAsia"/>
          <w:sz w:val="24"/>
        </w:rPr>
        <w:t>整改台</w:t>
      </w:r>
      <w:proofErr w:type="gramEnd"/>
      <w:r>
        <w:rPr>
          <w:rFonts w:ascii="宋体" w:eastAsia="宋体" w:hAnsi="宋体" w:cs="宋体" w:hint="eastAsia"/>
          <w:sz w:val="24"/>
        </w:rPr>
        <w:t>账，明确整改措施，确定整改期限，落实整改责任。整改完成后，向属地派出机构报告整改落实情况；金融监管总局直接监管的金融机构法人总部向金融监管总局机构监管部门报告总部案件整改落实情况，抄送金融监管总局案件管理部门。</w:t>
      </w:r>
    </w:p>
    <w:p w14:paraId="346471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金融机构应当在报送案件报告后一年内查清违法违规事实、完成案件追责问责，向金融监管总局案件管理部门或者属地派出机构报送审结报告。</w:t>
      </w:r>
      <w:r>
        <w:rPr>
          <w:rFonts w:ascii="宋体" w:eastAsia="宋体" w:hAnsi="宋体" w:cs="宋体" w:hint="eastAsia"/>
          <w:sz w:val="24"/>
        </w:rPr>
        <w:lastRenderedPageBreak/>
        <w:t>不能按期报送的，应当书面申请延期，每次延期时间不超过六个月。金融机构申请延期报送调查报告的，审结报告报送时限自动顺延。</w:t>
      </w:r>
    </w:p>
    <w:p w14:paraId="0C56E1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金融机构应当及时向金融监管总局或者属地派出机构报送案件司法判决文书。</w:t>
      </w:r>
    </w:p>
    <w:p w14:paraId="7C078C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案件处置工作结束后，应当保存有关档案资料。</w:t>
      </w:r>
    </w:p>
    <w:p w14:paraId="48AB98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监管处置</w:t>
      </w:r>
    </w:p>
    <w:p w14:paraId="79F697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金融监管总局案件管理部门或者属地派出机构应当指导、督促案发机构做好案件处置。主要承担以下职责：</w:t>
      </w:r>
    </w:p>
    <w:p w14:paraId="042B61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（一）指导、督促金融机构开展涉案业务调查，及时掌握案件调查和侦办情况，审核相关案件报告；</w:t>
      </w:r>
    </w:p>
    <w:p w14:paraId="0F59A1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（二）指导、督促金融机构开展追责问责和问题整改；</w:t>
      </w:r>
    </w:p>
    <w:p w14:paraId="7C94F5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（三）开展案件调查，对金融机构和案件责任人员的违法违规行为依法采取相应监管措施或者实施行政处罚；</w:t>
      </w:r>
    </w:p>
    <w:p w14:paraId="79A2C4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（四）对案件是否属于自查发现</w:t>
      </w:r>
      <w:proofErr w:type="gramStart"/>
      <w:r>
        <w:rPr>
          <w:rFonts w:ascii="宋体" w:eastAsia="宋体" w:hAnsi="宋体" w:cs="宋体" w:hint="eastAsia"/>
          <w:sz w:val="24"/>
        </w:rPr>
        <w:t>作出</w:t>
      </w:r>
      <w:proofErr w:type="gramEnd"/>
      <w:r>
        <w:rPr>
          <w:rFonts w:ascii="宋体" w:eastAsia="宋体" w:hAnsi="宋体" w:cs="宋体" w:hint="eastAsia"/>
          <w:sz w:val="24"/>
        </w:rPr>
        <w:t>结论；</w:t>
      </w:r>
    </w:p>
    <w:p w14:paraId="744D88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（五）必要时向地方政府报告重大案件情况；</w:t>
      </w:r>
    </w:p>
    <w:p w14:paraId="5D8819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w:t>
      </w:r>
      <w:proofErr w:type="gramStart"/>
      <w:r>
        <w:rPr>
          <w:rFonts w:ascii="宋体" w:eastAsia="宋体" w:hAnsi="宋体" w:cs="宋体" w:hint="eastAsia"/>
          <w:sz w:val="24"/>
        </w:rPr>
        <w:t>视风险</w:t>
      </w:r>
      <w:proofErr w:type="gramEnd"/>
      <w:r>
        <w:rPr>
          <w:rFonts w:ascii="宋体" w:eastAsia="宋体" w:hAnsi="宋体" w:cs="宋体" w:hint="eastAsia"/>
          <w:sz w:val="24"/>
        </w:rPr>
        <w:t>情况组织辖区内金融机构对同类业务进行排查。</w:t>
      </w:r>
    </w:p>
    <w:p w14:paraId="4948B7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金融监管总局及其派出机构应当对重大案件实施现场督导或者非现场督导，对案情复杂、金额巨大、涉及面广的重大案件，原则上应当实施现场督导。</w:t>
      </w:r>
    </w:p>
    <w:p w14:paraId="05A8E0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各金融监管局应当加强对辖区内重大案件处置工作的指导，必要时提级查处或者指定异地派出机构查处重大案件。</w:t>
      </w:r>
    </w:p>
    <w:p w14:paraId="3AC767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金融监管总局及其派出机构应当重点关注各级机构负责人案件，督促案发机构深入分析案发原因、强化制度流程管控、加强关键人员管理、以案为鉴开展警示教育。</w:t>
      </w:r>
    </w:p>
    <w:p w14:paraId="0ECB7B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金融监管总局及其派出机构应当按照监管权限，综合考虑案件</w:t>
      </w:r>
      <w:r>
        <w:rPr>
          <w:rFonts w:ascii="宋体" w:eastAsia="宋体" w:hAnsi="宋体" w:cs="宋体" w:hint="eastAsia"/>
          <w:sz w:val="24"/>
        </w:rPr>
        <w:lastRenderedPageBreak/>
        <w:t>涉及违法违规行为的事实、性质、情节、危害后果以及主观过错等因素，对相关金融机构和案件责任人员依法采取监管措施或者实施行政处罚。</w:t>
      </w:r>
    </w:p>
    <w:p w14:paraId="2F4B18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监管总局及其派出机构应当严格依据法律、行政法规、监管规定以及行政处罚裁量权的有关要求实施行政处罚。对自查发现案件实施行政处罚时，应当考虑自查发现情节，依据相关裁量原则，可以依法对相关金融机构和案件责任人员从轻、减轻或者不予行政处罚。</w:t>
      </w:r>
    </w:p>
    <w:p w14:paraId="6EE99C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案件业务涉及多家金融机构的，金融监管总局及其派出机构应当按照穿透原则，依法对相关金融机构和责任人员的违法违规行为进行查处。</w:t>
      </w:r>
    </w:p>
    <w:p w14:paraId="133062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金融监管总局及其派出机构应当加强与公安、司法、监察等机关的沟通对接，推动案件信息共享、协同办案。</w:t>
      </w:r>
    </w:p>
    <w:p w14:paraId="42444F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金融监管总局及其派出机构应当及时对典型案件编发案情通报、风险提示，向金融机构通报作案手法和风险点、提出监管意见。</w:t>
      </w:r>
    </w:p>
    <w:p w14:paraId="51BDA2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各金融监管局发布的案情通报、风险提示应当抄送金融监管总局案件管理部门和机构监管部门。</w:t>
      </w:r>
    </w:p>
    <w:p w14:paraId="7301CA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金融监管总局及其派出机构应当严格审核金融机构审结报告，及时高效推动案件处置，在金融机构报送审结报告后六个月内完成监管审结。不能按期审结的，应当书面申请延期，每次延期时间不超过六个月。</w:t>
      </w:r>
    </w:p>
    <w:p w14:paraId="26C408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对报送案件报告后两年内未审结的案件，金融监管总局及其派出机构应当视情节依法对案发机构采取监管约谈、责令限期整改、下发监管意见书等监管措施，督促案发机构及时审结案件。</w:t>
      </w:r>
    </w:p>
    <w:p w14:paraId="497FF2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w:t>
      </w:r>
      <w:proofErr w:type="gramStart"/>
      <w:r>
        <w:rPr>
          <w:rFonts w:ascii="宋体" w:eastAsia="宋体" w:hAnsi="宋体" w:cs="宋体" w:hint="eastAsia"/>
          <w:sz w:val="24"/>
        </w:rPr>
        <w:t>作出</w:t>
      </w:r>
      <w:proofErr w:type="gramEnd"/>
      <w:r>
        <w:rPr>
          <w:rFonts w:ascii="宋体" w:eastAsia="宋体" w:hAnsi="宋体" w:cs="宋体" w:hint="eastAsia"/>
          <w:sz w:val="24"/>
        </w:rPr>
        <w:t>不予立案调查决定或者经立案调查决定不予行政处罚的案件，应当在审结报告中明确，并说明理由。</w:t>
      </w:r>
    </w:p>
    <w:p w14:paraId="4C909C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案件处置工作结束后，应当保存有关档案资料。</w:t>
      </w:r>
    </w:p>
    <w:p w14:paraId="62C137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监督管理</w:t>
      </w:r>
    </w:p>
    <w:p w14:paraId="297E3A6E" w14:textId="77777777" w:rsidR="00F50CD8" w:rsidRDefault="00F50CD8">
      <w:pPr>
        <w:spacing w:afterLines="50" w:after="156" w:line="360" w:lineRule="auto"/>
        <w:ind w:firstLineChars="200" w:firstLine="480"/>
        <w:rPr>
          <w:rFonts w:ascii="宋体" w:eastAsia="宋体" w:hAnsi="宋体" w:cs="宋体" w:hint="eastAsia"/>
          <w:sz w:val="24"/>
        </w:rPr>
      </w:pPr>
    </w:p>
    <w:p w14:paraId="6A9445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第三十七条　金融监管总局及其派出机构在对金融机构进行监管评级评估、市场准入、现场检查计划制定时，应当体现差异化监管原则，综合参考案件发生、处置以及自查发现案件等情况。</w:t>
      </w:r>
    </w:p>
    <w:p w14:paraId="554030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金融机构应当按照本办法开展案件管理工作。违反本办法的，由金融监管总局或者属地派出机构依据《中华人民共和国银行业监督管理法》、《中华人民共和国商业银行法》、《中华人民共和国保险法》等法律法规，采取相应监管措施或者实施行政处罚。</w:t>
      </w:r>
    </w:p>
    <w:p w14:paraId="1A82C7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派出机构违反本办法，不及时报告辖区内案件、未按规定处置案件的，由上级监管部门责令其改正；造成重大不良后果或者影响的，依据相关追责问责和纪律处分规定，追究相关单位和人员的责任。</w:t>
      </w:r>
    </w:p>
    <w:p w14:paraId="26338E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金融机构、金融监管总局及其派出机构应当保守案件管理过程中获悉的国家秘密、商业秘密和个人隐私。对违反保密规定，造成重大不良影响的，应当依法处理。</w:t>
      </w:r>
    </w:p>
    <w:p w14:paraId="22E0E7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附　　则</w:t>
      </w:r>
    </w:p>
    <w:p w14:paraId="29296C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本办法所称“从业人员”是指按照《中华人民共和国劳动合同法》规定，违法犯罪行为发生时，与金融机构签订劳动合同的在岗人员，金融机构董（理）事会成员、监事会成员及高级管理人员，签订代理合同的个人保险代理人以及金融机构聘用或者与劳务派遣机构签订协议从事辅助性金融服务的其他人员。</w:t>
      </w:r>
    </w:p>
    <w:p w14:paraId="353274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本办法所称“案件责任人员”是指在违法违规行为发生时，负有责任的金融机构从业人员，包括相关违法违规行为的实施人或者参与人，以及对案件发生负有管理、领导、监督等责任的人员。</w:t>
      </w:r>
    </w:p>
    <w:p w14:paraId="6BB8EF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本办法所称“违法违规行为”是指违反法律、行政法规、规章和规范性文件中有关银行业保险业监督管理规定的行为。</w:t>
      </w:r>
    </w:p>
    <w:p w14:paraId="30C0B0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金融机构涉嫌单位犯罪的，适用本办法。</w:t>
      </w:r>
    </w:p>
    <w:p w14:paraId="6B4183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金融机构组织架构和层级不适用本办法相关要求，案件涉及国家秘密或者有</w:t>
      </w:r>
      <w:r>
        <w:rPr>
          <w:rFonts w:ascii="宋体" w:eastAsia="宋体" w:hAnsi="宋体" w:cs="宋体" w:hint="eastAsia"/>
          <w:sz w:val="24"/>
        </w:rPr>
        <w:lastRenderedPageBreak/>
        <w:t>关部门对案件具有特殊规定的，金融机构可以提出申请，由金融监管总局案件管理部门或者属地派出机构根据实际情况决定案件管理形式。</w:t>
      </w:r>
    </w:p>
    <w:p w14:paraId="4B4DC9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本办法由金融监管总局负责解释。金融监管总局派出机构可以依据本办法制定实施细则。</w:t>
      </w:r>
    </w:p>
    <w:p w14:paraId="024ACC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本办法自印发之日起施行。</w:t>
      </w:r>
    </w:p>
    <w:p w14:paraId="0A8E39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本办法生效后，《银行保险机构涉刑案件管理办法（试行）》（银保监发〔2020〕20号）、《中国银监会办公厅关于落实案件防控工作有关要求的通知》（银监办发〔2012〕127号）、《银行业金融机构案防工作评估办法》（银监办发〔2013〕258号）、《银行业金融机构案件风险排查管理办法》（银监办发〔2014〕247号）、《中国银保监会办公厅关于银行保险机构涉刑案件信息报送管理有关事项的通知》（银保监办发〔2020〕55号）、《银行保险机构重大案件督导实施细则（试行）》（银保监办发〔2021〕99号）、《农村中小金融机构案件责任追究指导意见》（银监办发〔2009〕38号）、《保险机构案件责任追究指导意见》（保监发〔2010〕12号）同时废止。</w:t>
      </w:r>
    </w:p>
    <w:p w14:paraId="0D35C6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附件：报告模板（略，详情请登录金融监管总局网站）</w:t>
      </w:r>
    </w:p>
    <w:p w14:paraId="63084813" w14:textId="77777777" w:rsidR="00F50CD8" w:rsidRDefault="00F50CD8">
      <w:pPr>
        <w:spacing w:afterLines="50" w:after="156" w:line="360" w:lineRule="auto"/>
        <w:ind w:firstLineChars="200" w:firstLine="480"/>
        <w:rPr>
          <w:rFonts w:ascii="宋体" w:eastAsia="宋体" w:hAnsi="宋体" w:cs="宋体" w:hint="eastAsia"/>
          <w:sz w:val="24"/>
        </w:rPr>
      </w:pPr>
    </w:p>
    <w:p w14:paraId="4FC1F179" w14:textId="77777777" w:rsidR="00F50CD8" w:rsidRDefault="00F50CD8">
      <w:pPr>
        <w:spacing w:afterLines="50" w:after="156" w:line="360" w:lineRule="auto"/>
        <w:ind w:firstLineChars="200" w:firstLine="480"/>
        <w:rPr>
          <w:rFonts w:ascii="宋体" w:eastAsia="宋体" w:hAnsi="宋体" w:cs="宋体" w:hint="eastAsia"/>
          <w:sz w:val="24"/>
        </w:rPr>
      </w:pPr>
    </w:p>
    <w:p w14:paraId="5E598978" w14:textId="77777777" w:rsidR="00F50CD8" w:rsidRDefault="00F50CD8">
      <w:pPr>
        <w:spacing w:afterLines="50" w:after="156" w:line="360" w:lineRule="auto"/>
        <w:ind w:firstLineChars="200" w:firstLine="480"/>
        <w:rPr>
          <w:rFonts w:ascii="宋体" w:eastAsia="宋体" w:hAnsi="宋体" w:cs="宋体" w:hint="eastAsia"/>
          <w:sz w:val="24"/>
        </w:rPr>
      </w:pPr>
    </w:p>
    <w:p w14:paraId="2BFBAA9E" w14:textId="77777777" w:rsidR="00F50CD8" w:rsidRDefault="00F50CD8">
      <w:pPr>
        <w:spacing w:afterLines="50" w:after="156" w:line="360" w:lineRule="auto"/>
        <w:ind w:firstLineChars="200" w:firstLine="480"/>
        <w:rPr>
          <w:rFonts w:ascii="宋体" w:eastAsia="宋体" w:hAnsi="宋体" w:cs="宋体" w:hint="eastAsia"/>
          <w:sz w:val="24"/>
        </w:rPr>
      </w:pPr>
    </w:p>
    <w:p w14:paraId="70CD4A0F" w14:textId="77777777" w:rsidR="00F50CD8" w:rsidRDefault="00F50CD8">
      <w:pPr>
        <w:spacing w:afterLines="50" w:after="156" w:line="360" w:lineRule="auto"/>
        <w:ind w:firstLineChars="200" w:firstLine="480"/>
        <w:rPr>
          <w:rFonts w:ascii="宋体" w:eastAsia="宋体" w:hAnsi="宋体" w:cs="宋体" w:hint="eastAsia"/>
          <w:sz w:val="24"/>
        </w:rPr>
      </w:pPr>
    </w:p>
    <w:p w14:paraId="0E9F196A" w14:textId="77777777" w:rsidR="00F50CD8" w:rsidRDefault="00F50CD8">
      <w:pPr>
        <w:spacing w:afterLines="50" w:after="156" w:line="360" w:lineRule="auto"/>
        <w:ind w:firstLineChars="200" w:firstLine="480"/>
        <w:rPr>
          <w:rFonts w:ascii="宋体" w:eastAsia="宋体" w:hAnsi="宋体" w:cs="宋体" w:hint="eastAsia"/>
          <w:sz w:val="24"/>
        </w:rPr>
      </w:pPr>
    </w:p>
    <w:p w14:paraId="089EA3A5" w14:textId="77777777" w:rsidR="00F50CD8" w:rsidRDefault="00F50CD8">
      <w:pPr>
        <w:spacing w:afterLines="50" w:after="156" w:line="360" w:lineRule="auto"/>
        <w:ind w:firstLineChars="200" w:firstLine="480"/>
        <w:rPr>
          <w:rFonts w:ascii="宋体" w:eastAsia="宋体" w:hAnsi="宋体" w:cs="宋体" w:hint="eastAsia"/>
          <w:sz w:val="24"/>
        </w:rPr>
      </w:pPr>
    </w:p>
    <w:p w14:paraId="48F8A3E4" w14:textId="77777777" w:rsidR="00F50CD8" w:rsidRDefault="00F50CD8">
      <w:pPr>
        <w:spacing w:afterLines="50" w:after="156" w:line="360" w:lineRule="auto"/>
        <w:ind w:firstLineChars="200" w:firstLine="480"/>
        <w:rPr>
          <w:rFonts w:ascii="宋体" w:eastAsia="宋体" w:hAnsi="宋体" w:cs="宋体" w:hint="eastAsia"/>
          <w:sz w:val="24"/>
        </w:rPr>
      </w:pPr>
    </w:p>
    <w:p w14:paraId="05B44F74" w14:textId="77777777" w:rsidR="00F50CD8" w:rsidRDefault="00000000">
      <w:pPr>
        <w:pStyle w:val="1"/>
        <w:spacing w:afterLines="50" w:after="156" w:line="360" w:lineRule="auto"/>
        <w:ind w:firstLineChars="200" w:firstLine="482"/>
        <w:rPr>
          <w:rFonts w:ascii="宋体" w:eastAsia="宋体" w:hAnsi="宋体" w:cs="宋体" w:hint="eastAsia"/>
        </w:rPr>
      </w:pPr>
      <w:r>
        <w:rPr>
          <w:rFonts w:ascii="宋体" w:eastAsia="宋体" w:hAnsi="宋体" w:cs="宋体" w:hint="eastAsia"/>
        </w:rPr>
        <w:lastRenderedPageBreak/>
        <w:t>83.《中国银监会办公厅关于深化银行业内控和案防制度执行年活动开展情况的通报》</w:t>
      </w:r>
    </w:p>
    <w:p w14:paraId="7158BE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7496D8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文号：银监办发〔2012〕147号</w:t>
      </w:r>
      <w:r>
        <w:rPr>
          <w:rFonts w:ascii="宋体" w:eastAsia="宋体" w:hAnsi="宋体" w:cs="宋体" w:hint="eastAsia"/>
          <w:sz w:val="24"/>
        </w:rPr>
        <w:tab/>
      </w:r>
    </w:p>
    <w:p w14:paraId="59F3B38B"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局，各政策性银行、国有商业银行、股份制商业银行、金融资产管理公司，邮政储蓄银行，银监会直接监管的信托公司、企业集团财务公司、金融租赁公司：</w:t>
      </w:r>
    </w:p>
    <w:p w14:paraId="753BCB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2011年6月，银监会围绕“夯实内控基础、强化制度执行”，在全国范围组织开展了“深化银行业内控和</w:t>
      </w:r>
      <w:proofErr w:type="gramStart"/>
      <w:r>
        <w:rPr>
          <w:rFonts w:ascii="宋体" w:eastAsia="宋体" w:hAnsi="宋体" w:cs="宋体" w:hint="eastAsia"/>
          <w:sz w:val="24"/>
        </w:rPr>
        <w:t>案防</w:t>
      </w:r>
      <w:proofErr w:type="gramEnd"/>
      <w:r>
        <w:rPr>
          <w:rFonts w:ascii="宋体" w:eastAsia="宋体" w:hAnsi="宋体" w:cs="宋体" w:hint="eastAsia"/>
          <w:sz w:val="24"/>
        </w:rPr>
        <w:t>制度执行年”活动(以下简称“深化执行年”活动)，取得了明显成效，银行业金融</w:t>
      </w:r>
      <w:proofErr w:type="gramStart"/>
      <w:r>
        <w:rPr>
          <w:rFonts w:ascii="宋体" w:eastAsia="宋体" w:hAnsi="宋体" w:cs="宋体" w:hint="eastAsia"/>
          <w:sz w:val="24"/>
        </w:rPr>
        <w:t>机构案防第一</w:t>
      </w:r>
      <w:proofErr w:type="gramEnd"/>
      <w:r>
        <w:rPr>
          <w:rFonts w:ascii="宋体" w:eastAsia="宋体" w:hAnsi="宋体" w:cs="宋体" w:hint="eastAsia"/>
          <w:sz w:val="24"/>
        </w:rPr>
        <w:t>责任人的意识得到强化，内控和</w:t>
      </w:r>
      <w:proofErr w:type="gramStart"/>
      <w:r>
        <w:rPr>
          <w:rFonts w:ascii="宋体" w:eastAsia="宋体" w:hAnsi="宋体" w:cs="宋体" w:hint="eastAsia"/>
          <w:sz w:val="24"/>
        </w:rPr>
        <w:t>案防</w:t>
      </w:r>
      <w:proofErr w:type="gramEnd"/>
      <w:r>
        <w:rPr>
          <w:rFonts w:ascii="宋体" w:eastAsia="宋体" w:hAnsi="宋体" w:cs="宋体" w:hint="eastAsia"/>
          <w:sz w:val="24"/>
        </w:rPr>
        <w:t>制度执行力得到提升。现将活动开展情况通报如下：</w:t>
      </w:r>
    </w:p>
    <w:p w14:paraId="12010F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一、组织开展情况</w:t>
      </w:r>
    </w:p>
    <w:p w14:paraId="4DB7AE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此次活动采取银行业金融机构自查自纠与监管部门督促落实相结合的方式开展，着力发挥银行业金融机构的</w:t>
      </w:r>
      <w:proofErr w:type="gramStart"/>
      <w:r>
        <w:rPr>
          <w:rFonts w:ascii="宋体" w:eastAsia="宋体" w:hAnsi="宋体" w:cs="宋体" w:hint="eastAsia"/>
          <w:sz w:val="24"/>
        </w:rPr>
        <w:t>案防主体</w:t>
      </w:r>
      <w:proofErr w:type="gramEnd"/>
      <w:r>
        <w:rPr>
          <w:rFonts w:ascii="宋体" w:eastAsia="宋体" w:hAnsi="宋体" w:cs="宋体" w:hint="eastAsia"/>
          <w:sz w:val="24"/>
        </w:rPr>
        <w:t>作用。从开展情况来看，绝大多数银行业金融机构能够在属地银监局的督促指导下，紧紧围绕活动重点内容并结合自身风险情况，从制度、流程、工作机制方面入手，积极开展风险排查、落实整改和考核问责。</w:t>
      </w:r>
      <w:proofErr w:type="gramStart"/>
      <w:r>
        <w:rPr>
          <w:rFonts w:ascii="宋体" w:eastAsia="宋体" w:hAnsi="宋体" w:cs="宋体" w:hint="eastAsia"/>
          <w:sz w:val="24"/>
        </w:rPr>
        <w:t>各银监</w:t>
      </w:r>
      <w:proofErr w:type="gramEnd"/>
      <w:r>
        <w:rPr>
          <w:rFonts w:ascii="宋体" w:eastAsia="宋体" w:hAnsi="宋体" w:cs="宋体" w:hint="eastAsia"/>
          <w:sz w:val="24"/>
        </w:rPr>
        <w:t>局按照“重点抽查、分类推进、差别对待”的原则，采取召开座谈会、实地察看、查阅活动工作底稿和内控制度文件等方式加强督导检查，确保各银行业金融机构“深化执行年”活动落实到位。</w:t>
      </w:r>
    </w:p>
    <w:p w14:paraId="1ABA52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二、取得的成效</w:t>
      </w:r>
    </w:p>
    <w:p w14:paraId="7903A7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)部分银行业金融机构案件风险防范取得明显成效</w:t>
      </w:r>
    </w:p>
    <w:p w14:paraId="1C4BDF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成功地化解了一批风险事件。如中信银行郑州分行、民生银行长春分行成功堵截使用虚假身份证开户事件2件和用虚假资料开立账户、变更印鉴卡、冒名办理密码解锁等风险事件共15件；吉林银行成功堵截伪造票据事件2件，防范抢劫事件1件等。二是挖出了部分陈案。吉林、辽宁局以“深化执行年”活动为契机，集中清理借名、假冒名贷款，挖出多年陈案，成效显著。</w:t>
      </w:r>
    </w:p>
    <w:p w14:paraId="25D34B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(二)及时修补内控制度漏洞，</w:t>
      </w:r>
      <w:proofErr w:type="gramStart"/>
      <w:r>
        <w:rPr>
          <w:rFonts w:ascii="宋体" w:eastAsia="宋体" w:hAnsi="宋体" w:cs="宋体" w:hint="eastAsia"/>
          <w:sz w:val="24"/>
        </w:rPr>
        <w:t>前移案防关口</w:t>
      </w:r>
      <w:proofErr w:type="gramEnd"/>
    </w:p>
    <w:p w14:paraId="360AE2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针对大额不良贷款排查发现的问题，各银行业金融机构围绕修订信贷业务制度、完善档案管理、预警信贷风险、强化不良资产全流程管理等方面进行了整改。如农业发展银行、交通银行、招商银行、广发银行修订并完善了相关规章制度，将不良资产管理业务制度化、流程化与标准化；工商银行建立不良资产清收处置周报制度、不良资产(</w:t>
      </w:r>
      <w:proofErr w:type="gramStart"/>
      <w:r>
        <w:rPr>
          <w:rFonts w:ascii="宋体" w:eastAsia="宋体" w:hAnsi="宋体" w:cs="宋体" w:hint="eastAsia"/>
          <w:sz w:val="24"/>
        </w:rPr>
        <w:t>含风险</w:t>
      </w:r>
      <w:proofErr w:type="gramEnd"/>
      <w:r>
        <w:rPr>
          <w:rFonts w:ascii="宋体" w:eastAsia="宋体" w:hAnsi="宋体" w:cs="宋体" w:hint="eastAsia"/>
          <w:sz w:val="24"/>
        </w:rPr>
        <w:t>资产)专管员制度，要求分支行每月上报所有后三类不良贷款以及关注类对公信贷资产的贷后管理报告，逐季上报抵债资产明细表、账龄分析表等。二是针对运营条线内控执行及操作风险防范检查发现的问题，农业银行、建设银行、民生银行重点强化制度执行力过程管理，通过风险提示、交流沟通、非现场检查、专业考核评价等手段，加大对下级机构的监督检查力度。</w:t>
      </w:r>
    </w:p>
    <w:p w14:paraId="5AA1DF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(三)整改问</w:t>
      </w:r>
      <w:proofErr w:type="gramStart"/>
      <w:r>
        <w:rPr>
          <w:rFonts w:ascii="宋体" w:eastAsia="宋体" w:hAnsi="宋体" w:cs="宋体" w:hint="eastAsia"/>
          <w:sz w:val="24"/>
        </w:rPr>
        <w:t>责逐步</w:t>
      </w:r>
      <w:proofErr w:type="gramEnd"/>
      <w:r>
        <w:rPr>
          <w:rFonts w:ascii="宋体" w:eastAsia="宋体" w:hAnsi="宋体" w:cs="宋体" w:hint="eastAsia"/>
          <w:sz w:val="24"/>
        </w:rPr>
        <w:t>规范，操作风险防范能力有所提升</w:t>
      </w:r>
    </w:p>
    <w:p w14:paraId="0EFEF5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一是通过建立操作风险数据档案库等形式，及时掌握风险情况，有的放矢，着力</w:t>
      </w:r>
      <w:proofErr w:type="gramStart"/>
      <w:r>
        <w:rPr>
          <w:rFonts w:ascii="宋体" w:eastAsia="宋体" w:hAnsi="宋体" w:cs="宋体" w:hint="eastAsia"/>
          <w:sz w:val="24"/>
        </w:rPr>
        <w:t>推进案防</w:t>
      </w:r>
      <w:proofErr w:type="gramEnd"/>
      <w:r>
        <w:rPr>
          <w:rFonts w:ascii="宋体" w:eastAsia="宋体" w:hAnsi="宋体" w:cs="宋体" w:hint="eastAsia"/>
          <w:sz w:val="24"/>
        </w:rPr>
        <w:t>预警机制建设。如光大银行将各项内外部检查和自查发现的问题进行汇总、分类，形成“分行风险排查档案库”。二是强化问责力度。华夏银行等将基层机构自查自纠工作底稿不规范、调查问卷填写不完整等情况进行了通报批评，并对员工行为排查发现的违规责任人予以警告、撤职、解除劳动合同、开除等处罚；辽宁省联社对未按规定开展票据业务的县级联社采取了取消票据贴现、转贴现等业务或暂停业务准入资格。</w:t>
      </w:r>
    </w:p>
    <w:p w14:paraId="6616E8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(四)常态化查防机制逐渐成形，内控执行力得以加强</w:t>
      </w:r>
    </w:p>
    <w:p w14:paraId="17F333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建立健全案件风险滚动排查机制。部分银行业金融机构通过深化执行年活动，逐步形成了“支行和部门自查”、“分行条线检查”、“总行监督抽查”等“点、线、面相结合”的检查方式，巩固了“排查—整改—完善—再排查”的滚动检查机制，制度执行力得到进一步提高。二是建立针对各业务条线内控制度执行情况的跟踪、检查、补救机制，将各业务条</w:t>
      </w:r>
      <w:proofErr w:type="gramStart"/>
      <w:r>
        <w:rPr>
          <w:rFonts w:ascii="宋体" w:eastAsia="宋体" w:hAnsi="宋体" w:cs="宋体" w:hint="eastAsia"/>
          <w:sz w:val="24"/>
        </w:rPr>
        <w:t>线发现</w:t>
      </w:r>
      <w:proofErr w:type="gramEnd"/>
      <w:r>
        <w:rPr>
          <w:rFonts w:ascii="宋体" w:eastAsia="宋体" w:hAnsi="宋体" w:cs="宋体" w:hint="eastAsia"/>
          <w:sz w:val="24"/>
        </w:rPr>
        <w:t>的内控不到位或潜在操作风险情况按照系统执行清单要求的检查项和频率组织检查，及时补救，避免风险隐患。</w:t>
      </w:r>
    </w:p>
    <w:p w14:paraId="6804E5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(五)银监局不断探索新方式、新方法，推动自查自纠和有效整改</w:t>
      </w:r>
    </w:p>
    <w:p w14:paraId="1EF18D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北京局、广东局打破监管人员机构分工职责边界，采取法人银行与属地分行交叉抽查的方式，保证现场抽查独立性以及对不同类型银行业金融机构风险的识别能力。上海局、云南局、陕西局对检查发现的问题督促银行业金融机构认真纠错，通过</w:t>
      </w:r>
      <w:proofErr w:type="gramStart"/>
      <w:r>
        <w:rPr>
          <w:rFonts w:ascii="宋体" w:eastAsia="宋体" w:hAnsi="宋体" w:cs="宋体" w:hint="eastAsia"/>
          <w:sz w:val="24"/>
        </w:rPr>
        <w:t>完善案防</w:t>
      </w:r>
      <w:proofErr w:type="gramEnd"/>
      <w:r>
        <w:rPr>
          <w:rFonts w:ascii="宋体" w:eastAsia="宋体" w:hAnsi="宋体" w:cs="宋体" w:hint="eastAsia"/>
          <w:sz w:val="24"/>
        </w:rPr>
        <w:t>工作组织机制、评价机制、联动机制、预警机制、整改机制和教育机制等方式使得整改工作得到严格落实。四川局、宁波局在结合银行业金融机构年度考评办法评分原则的基础上，制定“深化执行年”活动抽查评估方案，对各个检查点量化评分，增强了督导评估的精细化程度。山西局、重庆局将排查、突查、巡查有力结合，实现检查手段上的互补互动，对辖内银行业金融机构进行全覆盖、分层次的督导。</w:t>
      </w:r>
    </w:p>
    <w:p w14:paraId="33E127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三、存在的问题和不足</w:t>
      </w:r>
    </w:p>
    <w:p w14:paraId="5FC4D8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)“深化执行年”活动开展不平衡</w:t>
      </w:r>
    </w:p>
    <w:p w14:paraId="1DC300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部分银行业金融机构上热下冷。较之2010年“执行年活动”，银行业金融机构对活动的重视程度、组织保障虽有所提升，但实际活动开展时仍不乏照抄总行活动指导方案、相关职责和任务要求未落实到具体部门和责任人、工作底稿和记录未留存等情况。二是部分银行业金融机构内部各条线开展活动不平衡。突出表现在业务部门对内控合</w:t>
      </w:r>
      <w:proofErr w:type="gramStart"/>
      <w:r>
        <w:rPr>
          <w:rFonts w:ascii="宋体" w:eastAsia="宋体" w:hAnsi="宋体" w:cs="宋体" w:hint="eastAsia"/>
          <w:sz w:val="24"/>
        </w:rPr>
        <w:t>规</w:t>
      </w:r>
      <w:proofErr w:type="gramEnd"/>
      <w:r>
        <w:rPr>
          <w:rFonts w:ascii="宋体" w:eastAsia="宋体" w:hAnsi="宋体" w:cs="宋体" w:hint="eastAsia"/>
          <w:sz w:val="24"/>
        </w:rPr>
        <w:t>部门安排的内控检查敷衍塞责，往往以组织其它内控管理活动来替代，“深化执行年”活动的工作目标得不到有效落实。</w:t>
      </w:r>
    </w:p>
    <w:p w14:paraId="5CFCA0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(二)信贷领域风险管控有待进一步提高</w:t>
      </w:r>
    </w:p>
    <w:p w14:paraId="62987B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从业务合</w:t>
      </w:r>
      <w:proofErr w:type="gramStart"/>
      <w:r>
        <w:rPr>
          <w:rFonts w:ascii="宋体" w:eastAsia="宋体" w:hAnsi="宋体" w:cs="宋体" w:hint="eastAsia"/>
          <w:sz w:val="24"/>
        </w:rPr>
        <w:t>规</w:t>
      </w:r>
      <w:proofErr w:type="gramEnd"/>
      <w:r>
        <w:rPr>
          <w:rFonts w:ascii="宋体" w:eastAsia="宋体" w:hAnsi="宋体" w:cs="宋体" w:hint="eastAsia"/>
          <w:sz w:val="24"/>
        </w:rPr>
        <w:t>角度来看，发现以下主要问题：一是贷款制度执行力不足。部分城商行信贷营销岗位新手较多，对制度的学习、理解、分析不够，贷前调查和贷后管理不审慎。信贷信息登记存在差错，授信企业原始材料不完备；贷后检查流于形式，检查频率不足、检查报告质量不高。二是抵(质)押有效性不足，抵(质)</w:t>
      </w:r>
      <w:proofErr w:type="gramStart"/>
      <w:r>
        <w:rPr>
          <w:rFonts w:ascii="宋体" w:eastAsia="宋体" w:hAnsi="宋体" w:cs="宋体" w:hint="eastAsia"/>
          <w:sz w:val="24"/>
        </w:rPr>
        <w:t>押物不足</w:t>
      </w:r>
      <w:proofErr w:type="gramEnd"/>
      <w:r>
        <w:rPr>
          <w:rFonts w:ascii="宋体" w:eastAsia="宋体" w:hAnsi="宋体" w:cs="宋体" w:hint="eastAsia"/>
          <w:sz w:val="24"/>
        </w:rPr>
        <w:t>值或未办理抵(质)押登记，缺乏完善的抵押品全流程管理制度，或者制度中未明确抵押品</w:t>
      </w:r>
      <w:proofErr w:type="gramStart"/>
      <w:r>
        <w:rPr>
          <w:rFonts w:ascii="宋体" w:eastAsia="宋体" w:hAnsi="宋体" w:cs="宋体" w:hint="eastAsia"/>
          <w:sz w:val="24"/>
        </w:rPr>
        <w:t>核保核押工作</w:t>
      </w:r>
      <w:proofErr w:type="gramEnd"/>
      <w:r>
        <w:rPr>
          <w:rFonts w:ascii="宋体" w:eastAsia="宋体" w:hAnsi="宋体" w:cs="宋体" w:hint="eastAsia"/>
          <w:sz w:val="24"/>
        </w:rPr>
        <w:t>，对抵押品评估不审慎，抵(质)押</w:t>
      </w:r>
      <w:proofErr w:type="gramStart"/>
      <w:r>
        <w:rPr>
          <w:rFonts w:ascii="宋体" w:eastAsia="宋体" w:hAnsi="宋体" w:cs="宋体" w:hint="eastAsia"/>
          <w:sz w:val="24"/>
        </w:rPr>
        <w:t>品台账登记</w:t>
      </w:r>
      <w:proofErr w:type="gramEnd"/>
      <w:r>
        <w:rPr>
          <w:rFonts w:ascii="宋体" w:eastAsia="宋体" w:hAnsi="宋体" w:cs="宋体" w:hint="eastAsia"/>
          <w:sz w:val="24"/>
        </w:rPr>
        <w:t>不准确，存在错登、漏登等现象，权证保管不符合内控要求。从信用风险角度来看，风险敞口最大的高危行业依次为：政府融资平台、钢铁行业、有色金属、房地产</w:t>
      </w:r>
      <w:r>
        <w:rPr>
          <w:rFonts w:ascii="宋体" w:eastAsia="宋体" w:hAnsi="宋体" w:cs="宋体" w:hint="eastAsia"/>
          <w:sz w:val="24"/>
        </w:rPr>
        <w:lastRenderedPageBreak/>
        <w:t>等。</w:t>
      </w:r>
      <w:proofErr w:type="gramStart"/>
      <w:r>
        <w:rPr>
          <w:rFonts w:ascii="宋体" w:eastAsia="宋体" w:hAnsi="宋体" w:cs="宋体" w:hint="eastAsia"/>
          <w:sz w:val="24"/>
        </w:rPr>
        <w:t>从存在</w:t>
      </w:r>
      <w:proofErr w:type="gramEnd"/>
      <w:r>
        <w:rPr>
          <w:rFonts w:ascii="宋体" w:eastAsia="宋体" w:hAnsi="宋体" w:cs="宋体" w:hint="eastAsia"/>
          <w:sz w:val="24"/>
        </w:rPr>
        <w:t>问题的银行业金融机构分布看，主要集中于省级农村信用联社。究其原因，客观上有其机构多、覆盖面广、员工素质等因素影响，但一定程度上也反映出基层机构信贷基础工作还较为薄弱，问题整改力度亟待加强。</w:t>
      </w:r>
    </w:p>
    <w:p w14:paraId="0ED97C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(三)基层网点内控执行力</w:t>
      </w:r>
      <w:proofErr w:type="gramStart"/>
      <w:r>
        <w:rPr>
          <w:rFonts w:ascii="宋体" w:eastAsia="宋体" w:hAnsi="宋体" w:cs="宋体" w:hint="eastAsia"/>
          <w:sz w:val="24"/>
        </w:rPr>
        <w:t>差尚未</w:t>
      </w:r>
      <w:proofErr w:type="gramEnd"/>
      <w:r>
        <w:rPr>
          <w:rFonts w:ascii="宋体" w:eastAsia="宋体" w:hAnsi="宋体" w:cs="宋体" w:hint="eastAsia"/>
          <w:sz w:val="24"/>
        </w:rPr>
        <w:t>根本扭转</w:t>
      </w:r>
    </w:p>
    <w:p w14:paraId="48980F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由于业绩考核和规模扩张的驱动，基层营业机构过分强调业务的优先性，往往绕着制度规定进行“擦边”操作。同时，由于机构扩张轻快，基层网点人员紧缺，导致运营条线执行内控制度出现简化现象，表现出如下特点：</w:t>
      </w:r>
    </w:p>
    <w:p w14:paraId="0CA93C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一是轮岗制度执行存在较大弹性。银监局在抽查中发现，部分银行业金融机构以强制休假代替正常的岗位轮换，或以年</w:t>
      </w:r>
      <w:proofErr w:type="gramStart"/>
      <w:r>
        <w:rPr>
          <w:rFonts w:ascii="宋体" w:eastAsia="宋体" w:hAnsi="宋体" w:cs="宋体" w:hint="eastAsia"/>
          <w:sz w:val="24"/>
        </w:rPr>
        <w:t>休形式</w:t>
      </w:r>
      <w:proofErr w:type="gramEnd"/>
      <w:r>
        <w:rPr>
          <w:rFonts w:ascii="宋体" w:eastAsia="宋体" w:hAnsi="宋体" w:cs="宋体" w:hint="eastAsia"/>
          <w:sz w:val="24"/>
        </w:rPr>
        <w:t>代替强制休假；轮岗不及时，未按既定轮岗方案规定时限进行轮岗；大部分银行业金融机构只注重对会计部门重要岗位进行岗位轮换，对支行长岗位轮换力度不大。二是强制休假人员返岗手续不完善，</w:t>
      </w:r>
      <w:proofErr w:type="gramStart"/>
      <w:r>
        <w:rPr>
          <w:rFonts w:ascii="宋体" w:eastAsia="宋体" w:hAnsi="宋体" w:cs="宋体" w:hint="eastAsia"/>
          <w:sz w:val="24"/>
        </w:rPr>
        <w:t>强休人员</w:t>
      </w:r>
      <w:proofErr w:type="gramEnd"/>
      <w:r>
        <w:rPr>
          <w:rFonts w:ascii="宋体" w:eastAsia="宋体" w:hAnsi="宋体" w:cs="宋体" w:hint="eastAsia"/>
          <w:sz w:val="24"/>
        </w:rPr>
        <w:t>在相关部门出具检查结论书之前即获返岗；三是银企、银</w:t>
      </w:r>
      <w:proofErr w:type="gramStart"/>
      <w:r>
        <w:rPr>
          <w:rFonts w:ascii="宋体" w:eastAsia="宋体" w:hAnsi="宋体" w:cs="宋体" w:hint="eastAsia"/>
          <w:sz w:val="24"/>
        </w:rPr>
        <w:t>银</w:t>
      </w:r>
      <w:proofErr w:type="gramEnd"/>
      <w:r>
        <w:rPr>
          <w:rFonts w:ascii="宋体" w:eastAsia="宋体" w:hAnsi="宋体" w:cs="宋体" w:hint="eastAsia"/>
          <w:sz w:val="24"/>
        </w:rPr>
        <w:t>以及银行内部对账暴露部分问题隐患。如部分银行业金融机构内部对账不全面(内部对账登记薄个别要素填写不完整、与业务部门对账中有遗漏、对账回执上虽有业务人员签字但未注明对账结果等)、对账操作不规范(如业务条线未建立完整</w:t>
      </w:r>
      <w:proofErr w:type="gramStart"/>
      <w:r>
        <w:rPr>
          <w:rFonts w:ascii="宋体" w:eastAsia="宋体" w:hAnsi="宋体" w:cs="宋体" w:hint="eastAsia"/>
          <w:sz w:val="24"/>
        </w:rPr>
        <w:t>业务台</w:t>
      </w:r>
      <w:proofErr w:type="gramEnd"/>
      <w:r>
        <w:rPr>
          <w:rFonts w:ascii="宋体" w:eastAsia="宋体" w:hAnsi="宋体" w:cs="宋体" w:hint="eastAsia"/>
          <w:sz w:val="24"/>
        </w:rPr>
        <w:t>账或台账不规范、未及时将对账回执签字确认后返还会计部门等)。四是印章、密押、凭证管理不到位。如部分农村信用社、邮储银行基层阿点存在个别柜</w:t>
      </w:r>
      <w:proofErr w:type="gramStart"/>
      <w:r>
        <w:rPr>
          <w:rFonts w:ascii="宋体" w:eastAsia="宋体" w:hAnsi="宋体" w:cs="宋体" w:hint="eastAsia"/>
          <w:sz w:val="24"/>
        </w:rPr>
        <w:t>员离柜后重要</w:t>
      </w:r>
      <w:proofErr w:type="gramEnd"/>
      <w:r>
        <w:rPr>
          <w:rFonts w:ascii="宋体" w:eastAsia="宋体" w:hAnsi="宋体" w:cs="宋体" w:hint="eastAsia"/>
          <w:sz w:val="24"/>
        </w:rPr>
        <w:t>物品未入柜上</w:t>
      </w:r>
      <w:proofErr w:type="gramStart"/>
      <w:r>
        <w:rPr>
          <w:rFonts w:ascii="宋体" w:eastAsia="宋体" w:hAnsi="宋体" w:cs="宋体" w:hint="eastAsia"/>
          <w:sz w:val="24"/>
        </w:rPr>
        <w:t>锁且业务</w:t>
      </w:r>
      <w:proofErr w:type="gramEnd"/>
      <w:r>
        <w:rPr>
          <w:rFonts w:ascii="宋体" w:eastAsia="宋体" w:hAnsi="宋体" w:cs="宋体" w:hint="eastAsia"/>
          <w:sz w:val="24"/>
        </w:rPr>
        <w:t>系统未退屏等问题。</w:t>
      </w:r>
    </w:p>
    <w:p w14:paraId="5390C4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(四)柜台业务暗藏操作风险隐患</w:t>
      </w:r>
    </w:p>
    <w:p w14:paraId="73D7D0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分级授权制度方面：一是人员兼岗、混岗。如综合柜员兼职普通柜员临柜办理业务、非储蓄人员办理储蓄业务。二是未严格执行业务授权和智能令牌管理规定。主要表现为综合柜员实行非现场授权，事后未经核实；综合柜员未执行三级权限管理，将令牌交由普通柜员自己管理授权办理业务；网点柜员、综合柜员令牌移交未按规定进行书面登记交接。</w:t>
      </w:r>
    </w:p>
    <w:p w14:paraId="395D79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账户管理方面：一是账户信息变更或备案不及时，账户名称与单位印鉴名称不一致。二是临时存款账户超过期限未销户，为已过期的临时存款账户办理业务。三是对账制度执行不到位，部分银行业金融机构对账率和对账频率未达到规定要</w:t>
      </w:r>
      <w:r>
        <w:rPr>
          <w:rFonts w:ascii="宋体" w:eastAsia="宋体" w:hAnsi="宋体" w:cs="宋体" w:hint="eastAsia"/>
          <w:sz w:val="24"/>
        </w:rPr>
        <w:lastRenderedPageBreak/>
        <w:t>求。</w:t>
      </w:r>
    </w:p>
    <w:p w14:paraId="51FC91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大额资金汇划方面：一是存在大额支付漏查证的情况。二是未执行与客户两个以上主管实行热线联系查证制度，</w:t>
      </w:r>
      <w:proofErr w:type="gramStart"/>
      <w:r>
        <w:rPr>
          <w:rFonts w:ascii="宋体" w:eastAsia="宋体" w:hAnsi="宋体" w:cs="宋体" w:hint="eastAsia"/>
          <w:sz w:val="24"/>
        </w:rPr>
        <w:t>且双热线</w:t>
      </w:r>
      <w:proofErr w:type="gramEnd"/>
      <w:r>
        <w:rPr>
          <w:rFonts w:ascii="宋体" w:eastAsia="宋体" w:hAnsi="宋体" w:cs="宋体" w:hint="eastAsia"/>
          <w:sz w:val="24"/>
        </w:rPr>
        <w:t>查证记载要素不全、内容不规范。</w:t>
      </w:r>
    </w:p>
    <w:p w14:paraId="6176E7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(五)票据业务存在案件风险</w:t>
      </w:r>
    </w:p>
    <w:p w14:paraId="29A187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银行承兑汇票挂失环节的案件风险巨大。四川局通过督导排查、舆情搜集发现省内外发生多起不法分子利用法院对汇票挂失公示催告程序的形式审查、汇票持有人疏于关注“中国法院网”汇票挂失信息及法院判决未充分考虑汇票到期因素等漏洞，以恶意挂失手段骗取汇票资金的案件风险。二是票据业务办理不合</w:t>
      </w:r>
      <w:proofErr w:type="gramStart"/>
      <w:r>
        <w:rPr>
          <w:rFonts w:ascii="宋体" w:eastAsia="宋体" w:hAnsi="宋体" w:cs="宋体" w:hint="eastAsia"/>
          <w:sz w:val="24"/>
        </w:rPr>
        <w:t>规</w:t>
      </w:r>
      <w:proofErr w:type="gramEnd"/>
      <w:r>
        <w:rPr>
          <w:rFonts w:ascii="宋体" w:eastAsia="宋体" w:hAnsi="宋体" w:cs="宋体" w:hint="eastAsia"/>
          <w:sz w:val="24"/>
        </w:rPr>
        <w:t>暗藏风险隐患的辽宁、河南局在督查中发现部分农村金融机构、城商行未配置票据真伪查验设备、承兑人超过制度规定范围、会计核算不准确、科目归属错误、信贷管理系统数据录入错误、贴现协议不规范等严重违规操作行为。</w:t>
      </w:r>
    </w:p>
    <w:p w14:paraId="34E280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(六)内审稽核部门效力发挥有限</w:t>
      </w:r>
    </w:p>
    <w:p w14:paraId="707462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个别中小银行业金融机构、农村信用社内部审计工作多以手工账目基础审计为主，无信息科技等手段辅助进行内审监控，侧重于依赖审计者个人的经验判断，造成内部审计工作随意性鞍大、审计成本较高、审计效率低下。二是审计成果利用率低，内</w:t>
      </w:r>
      <w:proofErr w:type="gramStart"/>
      <w:r>
        <w:rPr>
          <w:rFonts w:ascii="宋体" w:eastAsia="宋体" w:hAnsi="宋体" w:cs="宋体" w:hint="eastAsia"/>
          <w:sz w:val="24"/>
        </w:rPr>
        <w:t>审对于</w:t>
      </w:r>
      <w:proofErr w:type="gramEnd"/>
      <w:r>
        <w:rPr>
          <w:rFonts w:ascii="宋体" w:eastAsia="宋体" w:hAnsi="宋体" w:cs="宋体" w:hint="eastAsia"/>
          <w:sz w:val="24"/>
        </w:rPr>
        <w:t>督促被审计单位弥补漏洞、风险预警的作用未能发挥。三是重要岗位离岗审计缺乏制度刚性，部分银行业金融机构对分支行行长的离岗审计流于形式，内审稽核投入力量不足。</w:t>
      </w:r>
    </w:p>
    <w:p w14:paraId="3BFE8D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四、认真做好下一步工作</w:t>
      </w:r>
    </w:p>
    <w:p w14:paraId="2F943C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为了巩固“深化执行年”活动成效，银行业金融机构应以建立健全“防范为先、处置及时、整改有效”为核心</w:t>
      </w:r>
      <w:proofErr w:type="gramStart"/>
      <w:r>
        <w:rPr>
          <w:rFonts w:ascii="宋体" w:eastAsia="宋体" w:hAnsi="宋体" w:cs="宋体" w:hint="eastAsia"/>
          <w:sz w:val="24"/>
        </w:rPr>
        <w:t>的案防长效</w:t>
      </w:r>
      <w:proofErr w:type="gramEnd"/>
      <w:r>
        <w:rPr>
          <w:rFonts w:ascii="宋体" w:eastAsia="宋体" w:hAnsi="宋体" w:cs="宋体" w:hint="eastAsia"/>
          <w:sz w:val="24"/>
        </w:rPr>
        <w:t>机制为目标，切实做好如下工作：</w:t>
      </w:r>
    </w:p>
    <w:p w14:paraId="64D890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应以贯彻执行《关于落实案件防控工作有关要求的通知》(银监办发〔2012〕127号)为契机，抓实防范操作风险“十三条”的落实工作。二是探索操作风险与案件防控的新方法、新手段，将案件风险防范内化于业务经营条线。加快操作风险管理体系建设，准确识别与评估风险的分布区域、发生频率及变化趋势，及时发现重大风险隐患，提出应对举措，实现事前防范。三是规范</w:t>
      </w:r>
      <w:proofErr w:type="gramStart"/>
      <w:r>
        <w:rPr>
          <w:rFonts w:ascii="宋体" w:eastAsia="宋体" w:hAnsi="宋体" w:cs="宋体" w:hint="eastAsia"/>
          <w:sz w:val="24"/>
        </w:rPr>
        <w:t>违规问</w:t>
      </w:r>
      <w:proofErr w:type="gramEnd"/>
      <w:r>
        <w:rPr>
          <w:rFonts w:ascii="宋体" w:eastAsia="宋体" w:hAnsi="宋体" w:cs="宋体" w:hint="eastAsia"/>
          <w:sz w:val="24"/>
        </w:rPr>
        <w:t>责与整改。建立违规问题发现、核查、问责、整改的系统化管理，防止违规问题</w:t>
      </w:r>
      <w:r>
        <w:rPr>
          <w:rFonts w:ascii="宋体" w:eastAsia="宋体" w:hAnsi="宋体" w:cs="宋体" w:hint="eastAsia"/>
          <w:sz w:val="24"/>
        </w:rPr>
        <w:lastRenderedPageBreak/>
        <w:t>向案件转化。四是加大对屡查屡犯问题的处罚力度。通过建立问题整改责任制和</w:t>
      </w:r>
      <w:proofErr w:type="gramStart"/>
      <w:r>
        <w:rPr>
          <w:rFonts w:ascii="宋体" w:eastAsia="宋体" w:hAnsi="宋体" w:cs="宋体" w:hint="eastAsia"/>
          <w:sz w:val="24"/>
        </w:rPr>
        <w:t>违规问责工作</w:t>
      </w:r>
      <w:proofErr w:type="gramEnd"/>
      <w:r>
        <w:rPr>
          <w:rFonts w:ascii="宋体" w:eastAsia="宋体" w:hAnsi="宋体" w:cs="宋体" w:hint="eastAsia"/>
          <w:sz w:val="24"/>
        </w:rPr>
        <w:t>再监督机制，确保整改到位、追究到位的</w:t>
      </w:r>
    </w:p>
    <w:p w14:paraId="633CFC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各级监管部门应</w:t>
      </w:r>
      <w:proofErr w:type="gramStart"/>
      <w:r>
        <w:rPr>
          <w:rFonts w:ascii="宋体" w:eastAsia="宋体" w:hAnsi="宋体" w:cs="宋体" w:hint="eastAsia"/>
          <w:sz w:val="24"/>
        </w:rPr>
        <w:t>围绕案防</w:t>
      </w:r>
      <w:proofErr w:type="gramEnd"/>
      <w:r>
        <w:rPr>
          <w:rFonts w:ascii="宋体" w:eastAsia="宋体" w:hAnsi="宋体" w:cs="宋体" w:hint="eastAsia"/>
          <w:sz w:val="24"/>
        </w:rPr>
        <w:t>长效机制建设目标，加强以下几个方面的工作：一是探索强化监管联动机制，提升政策传导质效。</w:t>
      </w:r>
      <w:proofErr w:type="gramStart"/>
      <w:r>
        <w:rPr>
          <w:rFonts w:ascii="宋体" w:eastAsia="宋体" w:hAnsi="宋体" w:cs="宋体" w:hint="eastAsia"/>
          <w:sz w:val="24"/>
        </w:rPr>
        <w:t>通过案防</w:t>
      </w:r>
      <w:proofErr w:type="gramEnd"/>
      <w:r>
        <w:rPr>
          <w:rFonts w:ascii="宋体" w:eastAsia="宋体" w:hAnsi="宋体" w:cs="宋体" w:hint="eastAsia"/>
          <w:sz w:val="24"/>
        </w:rPr>
        <w:t>部门与机构监管部门形成的合力，</w:t>
      </w:r>
      <w:proofErr w:type="gramStart"/>
      <w:r>
        <w:rPr>
          <w:rFonts w:ascii="宋体" w:eastAsia="宋体" w:hAnsi="宋体" w:cs="宋体" w:hint="eastAsia"/>
          <w:sz w:val="24"/>
        </w:rPr>
        <w:t>实现案防压力</w:t>
      </w:r>
      <w:proofErr w:type="gramEnd"/>
      <w:r>
        <w:rPr>
          <w:rFonts w:ascii="宋体" w:eastAsia="宋体" w:hAnsi="宋体" w:cs="宋体" w:hint="eastAsia"/>
          <w:sz w:val="24"/>
        </w:rPr>
        <w:t>传导，督促银行业金融机构强化内生动力建设，防止同类案件屡纠屡犯。二是积极</w:t>
      </w:r>
      <w:proofErr w:type="gramStart"/>
      <w:r>
        <w:rPr>
          <w:rFonts w:ascii="宋体" w:eastAsia="宋体" w:hAnsi="宋体" w:cs="宋体" w:hint="eastAsia"/>
          <w:sz w:val="24"/>
        </w:rPr>
        <w:t>运用案防考核</w:t>
      </w:r>
      <w:proofErr w:type="gramEnd"/>
      <w:r>
        <w:rPr>
          <w:rFonts w:ascii="宋体" w:eastAsia="宋体" w:hAnsi="宋体" w:cs="宋体" w:hint="eastAsia"/>
          <w:sz w:val="24"/>
        </w:rPr>
        <w:t>结果。对发案、未发案、</w:t>
      </w:r>
      <w:proofErr w:type="gramStart"/>
      <w:r>
        <w:rPr>
          <w:rFonts w:ascii="宋体" w:eastAsia="宋体" w:hAnsi="宋体" w:cs="宋体" w:hint="eastAsia"/>
          <w:sz w:val="24"/>
        </w:rPr>
        <w:t>案防工作</w:t>
      </w:r>
      <w:proofErr w:type="gramEnd"/>
      <w:r>
        <w:rPr>
          <w:rFonts w:ascii="宋体" w:eastAsia="宋体" w:hAnsi="宋体" w:cs="宋体" w:hint="eastAsia"/>
          <w:sz w:val="24"/>
        </w:rPr>
        <w:t>开展较好及工作落实不到位的银行业金融机构实行差异化监管政策，在市场准入、现场检查、非现场监管等方面采取差异化的监管手段，进一步督促银行业金融机构完善内控体系、加强内审稽核功能及合</w:t>
      </w:r>
      <w:proofErr w:type="gramStart"/>
      <w:r>
        <w:rPr>
          <w:rFonts w:ascii="宋体" w:eastAsia="宋体" w:hAnsi="宋体" w:cs="宋体" w:hint="eastAsia"/>
          <w:sz w:val="24"/>
        </w:rPr>
        <w:t>规</w:t>
      </w:r>
      <w:proofErr w:type="gramEnd"/>
      <w:r>
        <w:rPr>
          <w:rFonts w:ascii="宋体" w:eastAsia="宋体" w:hAnsi="宋体" w:cs="宋体" w:hint="eastAsia"/>
          <w:sz w:val="24"/>
        </w:rPr>
        <w:t>文化建设。</w:t>
      </w:r>
    </w:p>
    <w:p w14:paraId="35A85A96"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请各银监</w:t>
      </w:r>
      <w:proofErr w:type="gramEnd"/>
      <w:r>
        <w:rPr>
          <w:rFonts w:ascii="宋体" w:eastAsia="宋体" w:hAnsi="宋体" w:cs="宋体" w:hint="eastAsia"/>
          <w:sz w:val="24"/>
        </w:rPr>
        <w:t>局将本通报转发至辖内银</w:t>
      </w:r>
      <w:proofErr w:type="gramStart"/>
      <w:r>
        <w:rPr>
          <w:rFonts w:ascii="宋体" w:eastAsia="宋体" w:hAnsi="宋体" w:cs="宋体" w:hint="eastAsia"/>
          <w:sz w:val="24"/>
        </w:rPr>
        <w:t>监分局</w:t>
      </w:r>
      <w:proofErr w:type="gramEnd"/>
      <w:r>
        <w:rPr>
          <w:rFonts w:ascii="宋体" w:eastAsia="宋体" w:hAnsi="宋体" w:cs="宋体" w:hint="eastAsia"/>
          <w:sz w:val="24"/>
        </w:rPr>
        <w:t>和银行业金融机构。</w:t>
      </w:r>
    </w:p>
    <w:p w14:paraId="16A7F7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中国银行业监督管理委员会办公厅</w:t>
      </w:r>
    </w:p>
    <w:p w14:paraId="44DFD562"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二</w:t>
      </w:r>
      <w:proofErr w:type="gramStart"/>
      <w:r>
        <w:rPr>
          <w:rFonts w:ascii="宋体" w:eastAsia="宋体" w:hAnsi="宋体" w:cs="宋体" w:hint="eastAsia"/>
          <w:sz w:val="24"/>
        </w:rPr>
        <w:t>０</w:t>
      </w:r>
      <w:proofErr w:type="gramEnd"/>
      <w:r>
        <w:rPr>
          <w:rFonts w:ascii="宋体" w:eastAsia="宋体" w:hAnsi="宋体" w:cs="宋体" w:hint="eastAsia"/>
          <w:sz w:val="24"/>
        </w:rPr>
        <w:t>一二年五月十五日</w:t>
      </w:r>
    </w:p>
    <w:p w14:paraId="5A09DB9B"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84.《中国银监会办公厅关于严禁银行业金融机构及其从业人员参与民间融资活动的通知》</w:t>
      </w:r>
      <w:r>
        <w:rPr>
          <w:rFonts w:ascii="宋体" w:eastAsia="宋体" w:hAnsi="宋体" w:cs="宋体" w:hint="eastAsia"/>
          <w:b/>
          <w:bCs/>
          <w:sz w:val="24"/>
        </w:rPr>
        <w:tab/>
      </w:r>
    </w:p>
    <w:p w14:paraId="473A9C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2E8C26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文号：银监办发〔2012〕160号</w:t>
      </w:r>
      <w:r>
        <w:rPr>
          <w:rFonts w:ascii="宋体" w:eastAsia="宋体" w:hAnsi="宋体" w:cs="宋体" w:hint="eastAsia"/>
          <w:sz w:val="24"/>
        </w:rPr>
        <w:tab/>
      </w:r>
    </w:p>
    <w:p w14:paraId="51A40FA9"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局，各政策性银行、国有商业银行、股份制商业银行，邮政储蓄银行，银监会直接监管的信托公司、企业集团财务公司、金融租赁公司：</w:t>
      </w:r>
    </w:p>
    <w:p w14:paraId="1DF998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近期，少数银行业金融机构及其从业人员参与民间借贷、违规担保和非法集资活动的风险较为突出，在社会上引起很大反响，对银行业金融机构的形象造成不利影响，给相关机构资产安全带来较大风险。为规范银行业金融机构及其从业人员行为，有效防范民间借贷、违规担保和非法集资引发的风险向银行体系转移，现就有关事项通知如下：</w:t>
      </w:r>
    </w:p>
    <w:p w14:paraId="0B6B3C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一、合</w:t>
      </w:r>
      <w:proofErr w:type="gramStart"/>
      <w:r>
        <w:rPr>
          <w:rFonts w:ascii="宋体" w:eastAsia="宋体" w:hAnsi="宋体" w:cs="宋体" w:hint="eastAsia"/>
          <w:sz w:val="24"/>
        </w:rPr>
        <w:t>规</w:t>
      </w:r>
      <w:proofErr w:type="gramEnd"/>
      <w:r>
        <w:rPr>
          <w:rFonts w:ascii="宋体" w:eastAsia="宋体" w:hAnsi="宋体" w:cs="宋体" w:hint="eastAsia"/>
          <w:sz w:val="24"/>
        </w:rPr>
        <w:t>经营，不得直接或变相参与民间借贷、违规担保和非法集资活动</w:t>
      </w:r>
    </w:p>
    <w:p w14:paraId="2BEF1E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银行业金融机构及从其从业人员应依法合</w:t>
      </w:r>
      <w:proofErr w:type="gramStart"/>
      <w:r>
        <w:rPr>
          <w:rFonts w:ascii="宋体" w:eastAsia="宋体" w:hAnsi="宋体" w:cs="宋体" w:hint="eastAsia"/>
          <w:sz w:val="24"/>
        </w:rPr>
        <w:t>规</w:t>
      </w:r>
      <w:proofErr w:type="gramEnd"/>
      <w:r>
        <w:rPr>
          <w:rFonts w:ascii="宋体" w:eastAsia="宋体" w:hAnsi="宋体" w:cs="宋体" w:hint="eastAsia"/>
          <w:sz w:val="24"/>
        </w:rPr>
        <w:t>开展业务活动，不得从事民间借贷、违规担保和非法集资活动。一是不得以变相提高存款利率或向存款经办人和关系人支付费用或佣金等方式违规吸储。二是不得以各种形式参加非法集资活动。三是不得介绍机构和个人参与高利贷或向机构和个人发放高利贷。四是不得借银行名义或利用银行员工身份私自代客投资理财。五是不得利用银行员工或银行客户的个人账户为他人过渡资金，不得借用银行客户的个人账户为银行员工过渡资金。六是不得自办或参与经营典当行、小额贷款公司、担保公司等机构。七是不得向他人提供与自己经济实力不符的个人担保，不得向民间借贷资金提供担保。八是不得允许非本行员工以各种方式进入银行业金融机构办公或营业场所开展民间借贷、违规担保和非法集资活动。</w:t>
      </w:r>
    </w:p>
    <w:p w14:paraId="0F7988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二、严格责任追究，逐级落实管理责任制</w:t>
      </w:r>
    </w:p>
    <w:p w14:paraId="4485D1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是内部员工参与民间借贷、违规担保和非法集资活动的管理和处置主体，要采取切实有效措施加大管理和问责力度。一是要持续加强员工思想教育，引导员工树立正确的世界观、人生观和价值观，增强法制惠识，知晓行为后果。二是要进一步梳理完善银行业金融机构前、中、后台的各项内部管理</w:t>
      </w:r>
      <w:r>
        <w:rPr>
          <w:rFonts w:ascii="宋体" w:eastAsia="宋体" w:hAnsi="宋体" w:cs="宋体" w:hint="eastAsia"/>
          <w:sz w:val="24"/>
        </w:rPr>
        <w:lastRenderedPageBreak/>
        <w:t>制度，加强对员工行为的监督管理，特别是要关注员工“八小时”以外的行为。三是要建立和落实管理责任制，银行业金融机构要一级抓一级，层层抓落实，</w:t>
      </w:r>
      <w:proofErr w:type="gramStart"/>
      <w:r>
        <w:rPr>
          <w:rFonts w:ascii="宋体" w:eastAsia="宋体" w:hAnsi="宋体" w:cs="宋体" w:hint="eastAsia"/>
          <w:sz w:val="24"/>
        </w:rPr>
        <w:t>凡措施</w:t>
      </w:r>
      <w:proofErr w:type="gramEnd"/>
      <w:r>
        <w:rPr>
          <w:rFonts w:ascii="宋体" w:eastAsia="宋体" w:hAnsi="宋体" w:cs="宋体" w:hint="eastAsia"/>
          <w:sz w:val="24"/>
        </w:rPr>
        <w:t>不力、出现重大事件的要及时调整其负责人，并严格责任追究。四是要集中力量对内部员工参与民间融资活动的行为进行风险排查，对发现的问题及时采取措施进行整改，对违规人员要依法依规从严处理。对于前段发现的违规行为，各银行业金融机构要于2012年5月30日前处理完毕，并集中逐件报送查处情况。</w:t>
      </w:r>
    </w:p>
    <w:p w14:paraId="5CC3BF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三、加强监督检查，促进银行业金融机构及其从业人员规范经营行为</w:t>
      </w:r>
    </w:p>
    <w:p w14:paraId="5C9EDE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督促银行业金融机构建立健全内部管理的各项规章制度、操作流程和业务系统，制定科学的业绩考核和激励约束机制，有效规范银行业金融机构及其员工的经营行为。二是加大查处力度，对现场检查发现的违规问题及通过群众来信、来访等方式举报核实的违规问题，要依法从严处罚，对于发现银行业金融机构高管人员违规参与非法融资活动的，一律取消其高级管理人员任职资格。三是严格报告制度。对于银行业金融机构内部员工参与民间融资活动的，要按照《重大突发事件报告制度》(银监发〔2011〕84号)规定及时逐级上报，逐项建立事件档案，逐级督办处理结果。四是建立信息沟通和共享机制。对典型案例要在银行业系统及时通报或通过媒体曝光，始终保持打击违规行为的高压态势，提示其他银行业金融机构关注同类风险，维护市场秩序和银行业体系的安全稳健。</w:t>
      </w:r>
    </w:p>
    <w:p w14:paraId="55DCA3DD"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请各银监</w:t>
      </w:r>
      <w:proofErr w:type="gramEnd"/>
      <w:r>
        <w:rPr>
          <w:rFonts w:ascii="宋体" w:eastAsia="宋体" w:hAnsi="宋体" w:cs="宋体" w:hint="eastAsia"/>
          <w:sz w:val="24"/>
        </w:rPr>
        <w:t>局速将本通知转发至辖内银</w:t>
      </w:r>
      <w:proofErr w:type="gramStart"/>
      <w:r>
        <w:rPr>
          <w:rFonts w:ascii="宋体" w:eastAsia="宋体" w:hAnsi="宋体" w:cs="宋体" w:hint="eastAsia"/>
          <w:sz w:val="24"/>
        </w:rPr>
        <w:t>监分局</w:t>
      </w:r>
      <w:proofErr w:type="gramEnd"/>
      <w:r>
        <w:rPr>
          <w:rFonts w:ascii="宋体" w:eastAsia="宋体" w:hAnsi="宋体" w:cs="宋体" w:hint="eastAsia"/>
          <w:sz w:val="24"/>
        </w:rPr>
        <w:t>及银行业金融机构。</w:t>
      </w:r>
    </w:p>
    <w:p w14:paraId="0C8731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中国银行业监督管理委员会</w:t>
      </w:r>
    </w:p>
    <w:p w14:paraId="3994EB62"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二</w:t>
      </w:r>
      <w:proofErr w:type="gramStart"/>
      <w:r>
        <w:rPr>
          <w:rFonts w:ascii="宋体" w:eastAsia="宋体" w:hAnsi="宋体" w:cs="宋体" w:hint="eastAsia"/>
          <w:sz w:val="24"/>
        </w:rPr>
        <w:t>０</w:t>
      </w:r>
      <w:proofErr w:type="gramEnd"/>
      <w:r>
        <w:rPr>
          <w:rFonts w:ascii="宋体" w:eastAsia="宋体" w:hAnsi="宋体" w:cs="宋体" w:hint="eastAsia"/>
          <w:sz w:val="24"/>
        </w:rPr>
        <w:t>一二年五月二十三日</w:t>
      </w:r>
    </w:p>
    <w:p w14:paraId="2116E4D9"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85.《企业内部控制规范体系实施中相关问题解释第2号》</w:t>
      </w:r>
    </w:p>
    <w:p w14:paraId="06560E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发文机构：财政部</w:t>
      </w:r>
      <w:r>
        <w:rPr>
          <w:rFonts w:ascii="宋体" w:eastAsia="宋体" w:hAnsi="宋体" w:cs="宋体" w:hint="eastAsia"/>
          <w:b/>
          <w:bCs/>
          <w:sz w:val="24"/>
        </w:rPr>
        <w:tab/>
        <w:t xml:space="preserve">                       </w:t>
      </w:r>
      <w:r>
        <w:rPr>
          <w:rFonts w:ascii="宋体" w:eastAsia="宋体" w:hAnsi="宋体" w:cs="宋体" w:hint="eastAsia"/>
          <w:sz w:val="24"/>
        </w:rPr>
        <w:t>文号：财会〔2012〕18号</w:t>
      </w:r>
      <w:r>
        <w:rPr>
          <w:rFonts w:ascii="宋体" w:eastAsia="宋体" w:hAnsi="宋体" w:cs="宋体" w:hint="eastAsia"/>
          <w:sz w:val="24"/>
        </w:rPr>
        <w:tab/>
      </w:r>
    </w:p>
    <w:p w14:paraId="2E879F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内部控制规范体系正式实施一年多来，总体平稳，但在具体实施过程中，部分企业还存在理解认识上的不到位和实际执行上的偏差。为了稳步推进企业内部控制规范体系贯彻实施，经研究，现就有关问题解释如下：</w:t>
      </w:r>
    </w:p>
    <w:p w14:paraId="240C04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1.企业应如何正确把握内部控制的组织实施工作？</w:t>
      </w:r>
    </w:p>
    <w:p w14:paraId="7C0528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答：企业在开始实施内部控制时，应当按照《企业内部控制基本规范》（财会〔2008〕7号）（以下简称基本规范）确定的内部控制目标、要素、原则和具体要求开展工作，强化组织领导，夯实内部控制基础。董事会负责内部控制的建立健全和有效实施，监事会对董事会建立与实施内部控制进行监督，经理</w:t>
      </w:r>
      <w:proofErr w:type="gramStart"/>
      <w:r>
        <w:rPr>
          <w:rFonts w:ascii="宋体" w:eastAsia="宋体" w:hAnsi="宋体" w:cs="宋体" w:hint="eastAsia"/>
          <w:sz w:val="24"/>
        </w:rPr>
        <w:t>层负责</w:t>
      </w:r>
      <w:proofErr w:type="gramEnd"/>
      <w:r>
        <w:rPr>
          <w:rFonts w:ascii="宋体" w:eastAsia="宋体" w:hAnsi="宋体" w:cs="宋体" w:hint="eastAsia"/>
          <w:sz w:val="24"/>
        </w:rPr>
        <w:t>组织领导企业内部控制的日常运行，全体员工广泛参与内部控制的具体实施。企业的内部控制部门应结合实际，制定内部控制体系建设的分阶段目标，围绕内部控制的五个要素扎实开展工作，深入宣传、认真执行、严格监督、严肃考核，保证企业经营管理合法合</w:t>
      </w:r>
      <w:proofErr w:type="gramStart"/>
      <w:r>
        <w:rPr>
          <w:rFonts w:ascii="宋体" w:eastAsia="宋体" w:hAnsi="宋体" w:cs="宋体" w:hint="eastAsia"/>
          <w:sz w:val="24"/>
        </w:rPr>
        <w:t>规</w:t>
      </w:r>
      <w:proofErr w:type="gramEnd"/>
      <w:r>
        <w:rPr>
          <w:rFonts w:ascii="宋体" w:eastAsia="宋体" w:hAnsi="宋体" w:cs="宋体" w:hint="eastAsia"/>
          <w:sz w:val="24"/>
        </w:rPr>
        <w:t>、资产安全、财务报告及相关信息真实完整，提高经营效率和效果，规避生产经营风险。随着实施工作的不断深入，企业应当加强内部控制全员、全面、全过程管理，进一步推动管理创新，不断提升管理水平，有效防控经营风险，保证实现价值目标，最终促进企业实现发展战略。</w:t>
      </w:r>
    </w:p>
    <w:p w14:paraId="6CE596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结合所在行业要求和自身特点，按照基本规范的要求，参照《企业内部控制配套指引》（财会〔2010〕11号）（以下简称配套指引）的规定开展内部控制实施工作。目前配套指引针对企业一般性的业务和重点环节制定了原则性的要求，未涵盖行业特点突出的具体业务。在实施过程中，企业应当全面执行基本规范，以配套指引为参考，结合行业管理要求，从自身经营管理的实际出发，识别和评估相关风险，加强对关键和重点业务的控制，保持信息沟通的顺畅，对实施效果做好监督评价，努力构建一套符合实际、业务规范、控制合理、管理有效的内部控制体系。</w:t>
      </w:r>
    </w:p>
    <w:p w14:paraId="3EBC84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2.不同的企业应如何把握好内部控制实施工作的进度和重点？</w:t>
      </w:r>
    </w:p>
    <w:p w14:paraId="612171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答：对于即将启动或刚刚启动内部控制实施工作的上市公司、国有企业和集团企业，应按照相关业务主管部门、监管部门等的要求加快推动，并根据企业实际全面实施；对于已经在部分下属分公司和子公司建立了较为完善的内部控制体系的企业，应当总结和借鉴已经开展内部控制建设的分公司和子公司的经验和做法，将其推广至全公司范围；对于已经在全公司范围内建立起覆盖全过程、各层级内部控制体系的企业，应将工作重心放在内部控制的持续改进上，充分运用内部控制自我评价的方法和手段，按照有关要求对实施情况进行常规、持续的监督检查，查找实施中的缺陷与不足，促进内部控制的持续改进和不断优化。</w:t>
      </w:r>
    </w:p>
    <w:p w14:paraId="5AFFE8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非上市的企业或企业集团，应从实际情况出发，根据下属公司的经营性质、业务规模等特点制定切实可行的内部控制实施方案，分类分步推进，全面启动内部控制建设与实施工作。企业集团也可以根据业务板块、管理特点等，先在部分企业建立起较为完善的内部控制体系，再逐步建立覆盖企业集团的内部控制体系，体现集团管控的要求。</w:t>
      </w:r>
    </w:p>
    <w:p w14:paraId="26949F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3.企业应如何改善内部控制专业人才缺乏的状况？</w:t>
      </w:r>
    </w:p>
    <w:p w14:paraId="2EB132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答：为解决企业内部控制专业人才紧缺状况，企业可以抽调财会、审计和生产管理等业务骨干开展内部控制管理工作，同时应当有计划地培养内部控制专业人才。一是通过参加政府部门、中介机构、企业内部举办的培训学习等，促使内控人员掌握相关知识；二是让从事内部控制的专业人员，在工作实践中不断探索学习，以内部控制基础理论、基本规范及配套指引为指针，借鉴其他企业的经验，结合实际，自我学习、自我积累，探索创新，不断提升个人的业务能力和企业的内控管理水平；三是在聘请中介机构开展内部控制咨询、审计服务时，充分利用中介机构的专业力量，通过业务沟通交流和参与实际运作来锻炼培养企业专业人才队伍。</w:t>
      </w:r>
    </w:p>
    <w:p w14:paraId="5EF7DC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领导要高度重视内部控制专业人才队伍建设，在强调全员参与内部控制的基础上，采取多种措施，建立激励机制，鼓励从事内部控制的专业人员岗位成才。对于为企业内部控制建设做出贡献的专业人员应当给予奖励，以调动内部控制专业人才队伍的工作积极性。</w:t>
      </w:r>
    </w:p>
    <w:p w14:paraId="65D829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4.集团性企业应如何确定内部控制评价的范围？</w:t>
      </w:r>
    </w:p>
    <w:p w14:paraId="30AD22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答：集团性企业在确认内部控制评价范围时，应当遵循全面性、重要性、客观性原则，在对集团总部及下属不同业务类型、不同规模的企业进行全面、客观评价的基础上，关注重要业务单位、重大事项和高风险业务。</w:t>
      </w:r>
    </w:p>
    <w:p w14:paraId="7D22F5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要业务单位一般以资产、收入、利润等作为判定标准。包括集团总部、资产占合并资产总额比例较高的分公司和子公司，营业收入占合并营业收入比例较高的分公司和子公司以及利润占合并利润比例较高的分公司和子公司等。</w:t>
      </w:r>
    </w:p>
    <w:p w14:paraId="412D7F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重大事项一般是指重大投资决策项目，兼并重组、资产调整、产权转让项目，期权、期货等金融衍生业务，融资、担保项目，重大的生产经营安排，重要设备和技术引进，采购大宗物资和购买服务，重大工程建设项目，年度预算内大额度资金调动和使用，以及其他大额度资金运作事项等。</w:t>
      </w:r>
    </w:p>
    <w:p w14:paraId="0990BB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高风险业务一般是指经过风险评估后确定为较高或高风险的业务，也包括特殊行业及特殊业务，国家法律、法规有特殊管制或监管要求的业务等。</w:t>
      </w:r>
    </w:p>
    <w:p w14:paraId="10679E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5.企业在选择中介机构协助开展内部控制体系建设与实施工作时，应重点考虑哪些因素？</w:t>
      </w:r>
    </w:p>
    <w:p w14:paraId="722FF9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答：企业建设与实施内部控制，应当按照基本规范及配套指引的要求，原则上要立足于行业特点和企业实际，倡导自上而下、自主开展内部控制建设与实施工作。</w:t>
      </w:r>
    </w:p>
    <w:p w14:paraId="359528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如果企业确有需要选择中介机构协助开展工作，可重点考虑以下几个因素：一是中介机构的专业性，如内控咨询团队的专业知识及项目管理经验等；二是服务内容与企业需求的匹配程度，如实施方案是否符合企业实际情况等；三是团队的配置水平，如人员数量是否适当、团队的整体知识结构、过去的成功案例情况及客户评价等；四是服务报价合理性等，企业对收费明显偏离合理性的中介机构，应防范服务质量风险。</w:t>
      </w:r>
    </w:p>
    <w:p w14:paraId="365224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企业在聘请中介机构协助开展内部控制体系建设与实施工作中，应当采取有效的方式保护企业核心商业秘密和国家机密，防范泄密风险。</w:t>
      </w:r>
    </w:p>
    <w:p w14:paraId="084E9A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6.企业应采用何种组织形式开展内部控制评价工作？</w:t>
      </w:r>
    </w:p>
    <w:p w14:paraId="4A7E07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答：内部控制评价是指企业董事会或类似权力机构对内部控制的有效性进行全面评价、形成评价结论、出具评价报告的过程。同时也是企业内部涉及业务面广、专业性强的工作，包括日常检查评价和专项检查评价。</w:t>
      </w:r>
    </w:p>
    <w:p w14:paraId="60028C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以授权内部审计机构具体实施内部控制有效性的定期评价工作。由于内部审计机构在企业内部处于相对独立的地位，该机构的工作内容、性质和人员的业务专长与内部控制评价工作有着密切的关联，因此内部审计机构可以负责内部控制评价的具体实施工作。</w:t>
      </w:r>
    </w:p>
    <w:p w14:paraId="5CC591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成立了专门的内部控制机构的企业，由内部控制机构负责组织协调内部控制的建立实施及日常管理工作，其工作直接向董事会或类似权力机构负责。企业的内部控制机构可以组织实施内部控制评价工作。内部控制机构可以组织审计、财务、生产管理等专业人员，对内部控制全面或某一方面进行日常和专项检查评价，也可以对认定的重大风险进行专项监督，定期出具内部控制评价报告，报董事会或类似权力机构审核。</w:t>
      </w:r>
    </w:p>
    <w:p w14:paraId="225C22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企业也可以根据自身特点，成立内部控制评价工作的非常设机构，比如，抽调内部审计、内部控制等相关机构的人员组成内部控制评价小组，具体组织实施内部控制评价工作。</w:t>
      </w:r>
    </w:p>
    <w:p w14:paraId="43AF1D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此外，企业可以委托中介机构实施内部控制评价。</w:t>
      </w:r>
    </w:p>
    <w:p w14:paraId="2FFAB0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7.企业应如何对待内部控制评价中发现的缺陷？</w:t>
      </w:r>
    </w:p>
    <w:p w14:paraId="3F500A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答：内部控制缺陷按照成因分为设计缺陷和运行缺陷。对于设计缺陷，应从企业内部的管理制度入手查找原因，需要更新、调整、废止的制度要及时进行处理，并同时改进内部控制体系的设计，弥补设计缺陷的漏洞。对于运行缺陷，则应分析出现的原因，查清责任人，并有针对性地进行整改。</w:t>
      </w:r>
    </w:p>
    <w:p w14:paraId="7CA0C8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内部控制缺陷按照影响程度分为重大缺陷、重要缺陷和一般缺陷。对于重大缺陷，应当由董事会予以最终认定，企业要及时采取应对策略，切实将风险控制在可承受度之内。对于重要缺陷和一般缺陷，企业应当及时采取措施，避免发生损失。</w:t>
      </w:r>
    </w:p>
    <w:p w14:paraId="3F316D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企业应当编制内部控制缺陷认定汇总表，结合实际情况对内部控制缺陷的成</w:t>
      </w:r>
      <w:r>
        <w:rPr>
          <w:rFonts w:ascii="宋体" w:eastAsia="宋体" w:hAnsi="宋体" w:cs="宋体" w:hint="eastAsia"/>
          <w:sz w:val="24"/>
        </w:rPr>
        <w:lastRenderedPageBreak/>
        <w:t>因、表现形式和影响程度进行综合分析和全面复核，提出认定意见和改进建议，确保整改到位，并以适当形式向董事会、监事会或者经理层报告。</w:t>
      </w:r>
    </w:p>
    <w:p w14:paraId="663D93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对于因内部控制缺陷造成经济损失的，企业应当查明原因，追究相关部门和人员的责任。</w:t>
      </w:r>
    </w:p>
    <w:p w14:paraId="6360D0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8.如果会计师事务所将其内部控制咨询业务和内部控制审计业务进行分离后，是否可以为同一企业提供内部控制审计和咨询服务？</w:t>
      </w:r>
    </w:p>
    <w:p w14:paraId="143348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答：基本规范及配套指引的发布实施，拓宽了会计师事务所的业务领域。随着2012年国内主板上市公司分类分批实施，内部控制咨询、内部控制评价、内部控制审计的需求会很大。当前，我国会计师事务所在内部控制咨询和内部控制审计方面的专业人才和技术力量有限。据了解，很多会计师事务所为了执行基本规范第十条的规定，主动开展了内部体制机制整合。</w:t>
      </w:r>
    </w:p>
    <w:p w14:paraId="0E734E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会计师事务所在受聘为企业提供有关内部控制咨询或审计服务时，应坚持独立性原则，严格遵守《中国注册会计师职业道德守则》要求，不得与具有网络关系的中介机构同时为同一企业提供内部控制咨询和审计服务。</w:t>
      </w:r>
    </w:p>
    <w:p w14:paraId="7889C4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有的会计师事务所采取内部隔离方式，即在内部成立咨询部门和审计部门，两个部门之间相互独立，人员不交叉使用，在形式上建立了内部的“防火墙”。这种方式难以有效地将内部控制咨询和内部控制审计业务进行分离，不符合独立性要求。</w:t>
      </w:r>
    </w:p>
    <w:p w14:paraId="5835BB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也有会计师事务所新设立了具有法人资格的咨询机构，如果新设立的咨询机构与原事务所构成网络关系，则违反独立性原则，也不能同时为同一家企业提供内控咨询和审计服务。</w:t>
      </w:r>
    </w:p>
    <w:p w14:paraId="20698F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9.注册会计师在开展内部控制审计时应如何安排时间？</w:t>
      </w:r>
    </w:p>
    <w:p w14:paraId="0CB31B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答：按照配套指引中《企业内部控制审计指引》的要求，注册会计师在确定测试的时间安排时，应当尽量在接近企业内部控制自我评价基准日实施测试，实施的测试需要涵盖足够长的时间。</w:t>
      </w:r>
    </w:p>
    <w:p w14:paraId="4E4372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企业应按照要求及时委托会计师事务所开展内部控制审计业务，保证按期对</w:t>
      </w:r>
      <w:r>
        <w:rPr>
          <w:rFonts w:ascii="宋体" w:eastAsia="宋体" w:hAnsi="宋体" w:cs="宋体" w:hint="eastAsia"/>
          <w:sz w:val="24"/>
        </w:rPr>
        <w:lastRenderedPageBreak/>
        <w:t>外披露或报送内部控制审计报告。首次进行内部控制审计时，企业和注册会计师应当在当期会计年度的上半年即开始准备该年度的内部控制审计工作，从而保证整改后的控制运行有足够长的时间。对于认定为缺陷的业务，如果企业在基准日前对其进行了整改，但整改后的业务控制尚没有运行足够长的时间，注册会计师应当将其认定为内部控制在审计基准</w:t>
      </w:r>
      <w:proofErr w:type="gramStart"/>
      <w:r>
        <w:rPr>
          <w:rFonts w:ascii="宋体" w:eastAsia="宋体" w:hAnsi="宋体" w:cs="宋体" w:hint="eastAsia"/>
          <w:sz w:val="24"/>
        </w:rPr>
        <w:t>日存在</w:t>
      </w:r>
      <w:proofErr w:type="gramEnd"/>
      <w:r>
        <w:rPr>
          <w:rFonts w:ascii="宋体" w:eastAsia="宋体" w:hAnsi="宋体" w:cs="宋体" w:hint="eastAsia"/>
          <w:sz w:val="24"/>
        </w:rPr>
        <w:t>缺陷。注册会计师在接受或开展内部控制审计业务时，应当尽早与企业沟通内部控制审计计划，并合理安排内部控制测试的时间。</w:t>
      </w:r>
    </w:p>
    <w:p w14:paraId="0C7A0D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在连续进行内部控制审计的过程中，注册会计师应当考虑以前年度执行内部控制审计时所了解的情况以及当年企业发生的相关变化，在此基础上确定适当的内部控制审计工作方案和时间安排。</w:t>
      </w:r>
    </w:p>
    <w:p w14:paraId="416964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10.与大、中型企业相比，小型企业在实施内部控制时应有哪些特殊的考虑？</w:t>
      </w:r>
    </w:p>
    <w:p w14:paraId="034177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答：小型企业通常是指具有业务比较单一、所有权和管理权集中、管理层级较少、部门设置简单等特征的企业。小型企业根据基本规范及配套指引实施内部控制时，在保证有效性的基础上，可结合企业特点进行适当调整。</w:t>
      </w:r>
    </w:p>
    <w:p w14:paraId="018838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小型企业的管理层级一般较少，所有权、决策权和管理权较为集中，治理层通常密切参与公司日常经营及管理活动，使企业的控制力和执行力得到了提高，但也容易导致决策失误或舞弊风险，因此要提高董事会的集体决策能力，加强企业决策过程的控制。</w:t>
      </w:r>
    </w:p>
    <w:p w14:paraId="61F9C6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小型企业应明确内部控制目标，准确评估经营风险，建立健全各项制度，将决策过程和各项业务流程制度化、规范化；明确不同层级部门和人员的权限和职责，强化岗位制衡，做到适度授权和分权；重点关注与企业资金、资产、资本、财务报告等关键业务有关的风险的控制。</w:t>
      </w:r>
    </w:p>
    <w:p w14:paraId="465191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小型企业应提高财务、会计和审计人员的素质，培养和聘用内部控制专业人才，加强对财务会计工作和财务报告的重视程度。小型企业的机构设置简单，管理资源易于整合，可以根据企业所面临的主要风险和相关控制的效果，适当简化内部控制体系建设，灵活设计、选择控制流程和控制活动，达到有效控制风险和防范舞弊的目的。</w:t>
      </w:r>
    </w:p>
    <w:p w14:paraId="4237F7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基于效率的考虑，小型企业应当提高信息技术的应用，结合业务风险和信息系统风险评估，加强信息系统控制的应用，采取手工控制与自动控制相结合的方式，将风险控制在可承受度之内。</w:t>
      </w:r>
    </w:p>
    <w:p w14:paraId="780C68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小型企业应建立健全内部控制的监督机制，持续监控和定期评价内部控制的有效性，尤其要对会计信息、资金运转、资产安全、采购及销售等方面加强监控，及时发现和纠正缺陷，确保内部控制在企业不同成长阶段、不同环境下的持续有效改进。</w:t>
      </w:r>
    </w:p>
    <w:p w14:paraId="0F15204E"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388513B2"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86.《中国银监会办公厅关于2013年银行业案件防控工作的意见》</w:t>
      </w:r>
    </w:p>
    <w:p w14:paraId="645178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2494CC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文号：银监办发〔2013〕46号</w:t>
      </w:r>
      <w:r>
        <w:rPr>
          <w:rFonts w:ascii="宋体" w:eastAsia="宋体" w:hAnsi="宋体" w:cs="宋体" w:hint="eastAsia"/>
          <w:sz w:val="24"/>
        </w:rPr>
        <w:tab/>
      </w:r>
      <w:r>
        <w:rPr>
          <w:rFonts w:ascii="宋体" w:eastAsia="宋体" w:hAnsi="宋体" w:cs="宋体" w:hint="eastAsia"/>
          <w:sz w:val="24"/>
        </w:rPr>
        <w:tab/>
      </w:r>
    </w:p>
    <w:p w14:paraId="7B6339A5"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局，各政策性银行、国有商业银行、股份制商业银行、金融资产管理公司，邮政储蓄银行，银监会直接监管的信托公司、企业集团财务公司、金融租赁公司：</w:t>
      </w:r>
    </w:p>
    <w:p w14:paraId="28A775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2013年银行业案件防控工作的主要任务是：认真贯彻落实全国</w:t>
      </w:r>
      <w:proofErr w:type="gramStart"/>
      <w:r>
        <w:rPr>
          <w:rFonts w:ascii="宋体" w:eastAsia="宋体" w:hAnsi="宋体" w:cs="宋体" w:hint="eastAsia"/>
          <w:sz w:val="24"/>
        </w:rPr>
        <w:t>银监业监督</w:t>
      </w:r>
      <w:proofErr w:type="gramEnd"/>
      <w:r>
        <w:rPr>
          <w:rFonts w:ascii="宋体" w:eastAsia="宋体" w:hAnsi="宋体" w:cs="宋体" w:hint="eastAsia"/>
          <w:sz w:val="24"/>
        </w:rPr>
        <w:t>管理工作会议精神，查防并举，注重预防，建立</w:t>
      </w:r>
      <w:proofErr w:type="gramStart"/>
      <w:r>
        <w:rPr>
          <w:rFonts w:ascii="宋体" w:eastAsia="宋体" w:hAnsi="宋体" w:cs="宋体" w:hint="eastAsia"/>
          <w:sz w:val="24"/>
        </w:rPr>
        <w:t>健全案防</w:t>
      </w:r>
      <w:proofErr w:type="gramEnd"/>
      <w:r>
        <w:rPr>
          <w:rFonts w:ascii="宋体" w:eastAsia="宋体" w:hAnsi="宋体" w:cs="宋体" w:hint="eastAsia"/>
          <w:sz w:val="24"/>
        </w:rPr>
        <w:t>工作制度，</w:t>
      </w:r>
      <w:proofErr w:type="gramStart"/>
      <w:r>
        <w:rPr>
          <w:rFonts w:ascii="宋体" w:eastAsia="宋体" w:hAnsi="宋体" w:cs="宋体" w:hint="eastAsia"/>
          <w:sz w:val="24"/>
        </w:rPr>
        <w:t>发挥案防非</w:t>
      </w:r>
      <w:proofErr w:type="gramEnd"/>
      <w:r>
        <w:rPr>
          <w:rFonts w:ascii="宋体" w:eastAsia="宋体" w:hAnsi="宋体" w:cs="宋体" w:hint="eastAsia"/>
          <w:sz w:val="24"/>
        </w:rPr>
        <w:t>现场监测和现场检查作用，切实</w:t>
      </w:r>
      <w:proofErr w:type="gramStart"/>
      <w:r>
        <w:rPr>
          <w:rFonts w:ascii="宋体" w:eastAsia="宋体" w:hAnsi="宋体" w:cs="宋体" w:hint="eastAsia"/>
          <w:sz w:val="24"/>
        </w:rPr>
        <w:t>落实案防</w:t>
      </w:r>
      <w:proofErr w:type="gramEnd"/>
      <w:r>
        <w:rPr>
          <w:rFonts w:ascii="宋体" w:eastAsia="宋体" w:hAnsi="宋体" w:cs="宋体" w:hint="eastAsia"/>
          <w:sz w:val="24"/>
        </w:rPr>
        <w:t>工作责任，着力形成分工明确、协调有序</w:t>
      </w:r>
      <w:proofErr w:type="gramStart"/>
      <w:r>
        <w:rPr>
          <w:rFonts w:ascii="宋体" w:eastAsia="宋体" w:hAnsi="宋体" w:cs="宋体" w:hint="eastAsia"/>
          <w:sz w:val="24"/>
        </w:rPr>
        <w:t>的案防工作</w:t>
      </w:r>
      <w:proofErr w:type="gramEnd"/>
      <w:r>
        <w:rPr>
          <w:rFonts w:ascii="宋体" w:eastAsia="宋体" w:hAnsi="宋体" w:cs="宋体" w:hint="eastAsia"/>
          <w:sz w:val="24"/>
        </w:rPr>
        <w:t>格局，进一步增强</w:t>
      </w:r>
      <w:proofErr w:type="gramStart"/>
      <w:r>
        <w:rPr>
          <w:rFonts w:ascii="宋体" w:eastAsia="宋体" w:hAnsi="宋体" w:cs="宋体" w:hint="eastAsia"/>
          <w:sz w:val="24"/>
        </w:rPr>
        <w:t>银行业案防工作</w:t>
      </w:r>
      <w:proofErr w:type="gramEnd"/>
      <w:r>
        <w:rPr>
          <w:rFonts w:ascii="宋体" w:eastAsia="宋体" w:hAnsi="宋体" w:cs="宋体" w:hint="eastAsia"/>
          <w:sz w:val="24"/>
        </w:rPr>
        <w:t>能力和水平，全力维护银行业安全稳健运行。</w:t>
      </w:r>
    </w:p>
    <w:p w14:paraId="3B5CA4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一、完善制度体系，</w:t>
      </w:r>
      <w:proofErr w:type="gramStart"/>
      <w:r>
        <w:rPr>
          <w:rFonts w:ascii="宋体" w:eastAsia="宋体" w:hAnsi="宋体" w:cs="宋体" w:hint="eastAsia"/>
          <w:sz w:val="24"/>
        </w:rPr>
        <w:t>推进案防</w:t>
      </w:r>
      <w:proofErr w:type="gramEnd"/>
      <w:r>
        <w:rPr>
          <w:rFonts w:ascii="宋体" w:eastAsia="宋体" w:hAnsi="宋体" w:cs="宋体" w:hint="eastAsia"/>
          <w:sz w:val="24"/>
        </w:rPr>
        <w:t>长效机制建设</w:t>
      </w:r>
    </w:p>
    <w:p w14:paraId="6C2B68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以建立健全制度为基础不断</w:t>
      </w:r>
      <w:proofErr w:type="gramStart"/>
      <w:r>
        <w:rPr>
          <w:rFonts w:ascii="宋体" w:eastAsia="宋体" w:hAnsi="宋体" w:cs="宋体" w:hint="eastAsia"/>
          <w:sz w:val="24"/>
        </w:rPr>
        <w:t>推进案防</w:t>
      </w:r>
      <w:proofErr w:type="gramEnd"/>
      <w:r>
        <w:rPr>
          <w:rFonts w:ascii="宋体" w:eastAsia="宋体" w:hAnsi="宋体" w:cs="宋体" w:hint="eastAsia"/>
          <w:sz w:val="24"/>
        </w:rPr>
        <w:t>长效机制建设。一是研究起草《银行业金融机构案件防控工作指引》，进一步明确银行业金融机构为</w:t>
      </w:r>
      <w:proofErr w:type="gramStart"/>
      <w:r>
        <w:rPr>
          <w:rFonts w:ascii="宋体" w:eastAsia="宋体" w:hAnsi="宋体" w:cs="宋体" w:hint="eastAsia"/>
          <w:sz w:val="24"/>
        </w:rPr>
        <w:t>案防主体</w:t>
      </w:r>
      <w:proofErr w:type="gramEnd"/>
      <w:r>
        <w:rPr>
          <w:rFonts w:ascii="宋体" w:eastAsia="宋体" w:hAnsi="宋体" w:cs="宋体" w:hint="eastAsia"/>
          <w:sz w:val="24"/>
        </w:rPr>
        <w:t>和第一责任人，指导银行业金融机构</w:t>
      </w:r>
      <w:proofErr w:type="gramStart"/>
      <w:r>
        <w:rPr>
          <w:rFonts w:ascii="宋体" w:eastAsia="宋体" w:hAnsi="宋体" w:cs="宋体" w:hint="eastAsia"/>
          <w:sz w:val="24"/>
        </w:rPr>
        <w:t>健全案防</w:t>
      </w:r>
      <w:proofErr w:type="gramEnd"/>
      <w:r>
        <w:rPr>
          <w:rFonts w:ascii="宋体" w:eastAsia="宋体" w:hAnsi="宋体" w:cs="宋体" w:hint="eastAsia"/>
          <w:sz w:val="24"/>
        </w:rPr>
        <w:t>工作体系，提升风险防控水平。二是研究起草《银行业金融机构案件防控工作评估办法》，科学考评银行业金融</w:t>
      </w:r>
      <w:proofErr w:type="gramStart"/>
      <w:r>
        <w:rPr>
          <w:rFonts w:ascii="宋体" w:eastAsia="宋体" w:hAnsi="宋体" w:cs="宋体" w:hint="eastAsia"/>
          <w:sz w:val="24"/>
        </w:rPr>
        <w:t>机构案防工作</w:t>
      </w:r>
      <w:proofErr w:type="gramEnd"/>
      <w:r>
        <w:rPr>
          <w:rFonts w:ascii="宋体" w:eastAsia="宋体" w:hAnsi="宋体" w:cs="宋体" w:hint="eastAsia"/>
          <w:sz w:val="24"/>
        </w:rPr>
        <w:t>质效，根据评价结果进行差异性监管，激励约束相结合，调动提升银行业金融</w:t>
      </w:r>
      <w:proofErr w:type="gramStart"/>
      <w:r>
        <w:rPr>
          <w:rFonts w:ascii="宋体" w:eastAsia="宋体" w:hAnsi="宋体" w:cs="宋体" w:hint="eastAsia"/>
          <w:sz w:val="24"/>
        </w:rPr>
        <w:t>机构案防工作</w:t>
      </w:r>
      <w:proofErr w:type="gramEnd"/>
      <w:r>
        <w:rPr>
          <w:rFonts w:ascii="宋体" w:eastAsia="宋体" w:hAnsi="宋体" w:cs="宋体" w:hint="eastAsia"/>
          <w:sz w:val="24"/>
        </w:rPr>
        <w:t>积极性、主动性。三是制订并实施《银行业金融机构案件防控统计制度(试行)》，提高对</w:t>
      </w:r>
      <w:proofErr w:type="gramStart"/>
      <w:r>
        <w:rPr>
          <w:rFonts w:ascii="宋体" w:eastAsia="宋体" w:hAnsi="宋体" w:cs="宋体" w:hint="eastAsia"/>
          <w:sz w:val="24"/>
        </w:rPr>
        <w:t>银行业案防措施</w:t>
      </w:r>
      <w:proofErr w:type="gramEnd"/>
      <w:r>
        <w:rPr>
          <w:rFonts w:ascii="宋体" w:eastAsia="宋体" w:hAnsi="宋体" w:cs="宋体" w:hint="eastAsia"/>
          <w:sz w:val="24"/>
        </w:rPr>
        <w:t>监测的及时性、有效性和针对性。四是继续研究《银行业金融机构案件问责管理办法》，力争统一规范案件责任追究原则和程序，指导案件问责工作，</w:t>
      </w:r>
      <w:proofErr w:type="gramStart"/>
      <w:r>
        <w:rPr>
          <w:rFonts w:ascii="宋体" w:eastAsia="宋体" w:hAnsi="宋体" w:cs="宋体" w:hint="eastAsia"/>
          <w:sz w:val="24"/>
        </w:rPr>
        <w:t>实现案防压力</w:t>
      </w:r>
      <w:proofErr w:type="gramEnd"/>
      <w:r>
        <w:rPr>
          <w:rFonts w:ascii="宋体" w:eastAsia="宋体" w:hAnsi="宋体" w:cs="宋体" w:hint="eastAsia"/>
          <w:sz w:val="24"/>
        </w:rPr>
        <w:t>传导。五是探索研究《银行业金融机构案件信息披露管理办法》，积极稳妥推进个案信息披露，正面引导社会舆论，通过市场约束等手段推动银行业金融机构</w:t>
      </w:r>
      <w:proofErr w:type="gramStart"/>
      <w:r>
        <w:rPr>
          <w:rFonts w:ascii="宋体" w:eastAsia="宋体" w:hAnsi="宋体" w:cs="宋体" w:hint="eastAsia"/>
          <w:sz w:val="24"/>
        </w:rPr>
        <w:t>加强案防工作</w:t>
      </w:r>
      <w:proofErr w:type="gramEnd"/>
      <w:r>
        <w:rPr>
          <w:rFonts w:ascii="宋体" w:eastAsia="宋体" w:hAnsi="宋体" w:cs="宋体" w:hint="eastAsia"/>
          <w:sz w:val="24"/>
        </w:rPr>
        <w:t>。</w:t>
      </w:r>
    </w:p>
    <w:p w14:paraId="58484B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二、加大案件查处力度，</w:t>
      </w:r>
      <w:proofErr w:type="gramStart"/>
      <w:r>
        <w:rPr>
          <w:rFonts w:ascii="宋体" w:eastAsia="宋体" w:hAnsi="宋体" w:cs="宋体" w:hint="eastAsia"/>
          <w:sz w:val="24"/>
        </w:rPr>
        <w:t>提高案防</w:t>
      </w:r>
      <w:proofErr w:type="gramEnd"/>
      <w:r>
        <w:rPr>
          <w:rFonts w:ascii="宋体" w:eastAsia="宋体" w:hAnsi="宋体" w:cs="宋体" w:hint="eastAsia"/>
          <w:sz w:val="24"/>
        </w:rPr>
        <w:t>工作有效性</w:t>
      </w:r>
    </w:p>
    <w:p w14:paraId="687447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案件查办促进防范工作，实现“以查促防”。一是对于领导同志批示件，要高度重视，快速反应，积极开展核查工作，认真分析案发原因，采取有效措施督促整改问责，确保领导批示要求贯彻落实。二是加大对银行业大要案的督查力</w:t>
      </w:r>
      <w:r>
        <w:rPr>
          <w:rFonts w:ascii="宋体" w:eastAsia="宋体" w:hAnsi="宋体" w:cs="宋体" w:hint="eastAsia"/>
          <w:sz w:val="24"/>
        </w:rPr>
        <w:lastRenderedPageBreak/>
        <w:t>度，通过现场调查和督导，摸清作案手法，分析案件风险性质，查找制度和管理漏洞，严肃追究相关人员责任，加强督促整改落实，遏制同质同类案件发生，同时更有效地</w:t>
      </w:r>
      <w:proofErr w:type="gramStart"/>
      <w:r>
        <w:rPr>
          <w:rFonts w:ascii="宋体" w:eastAsia="宋体" w:hAnsi="宋体" w:cs="宋体" w:hint="eastAsia"/>
          <w:sz w:val="24"/>
        </w:rPr>
        <w:t>传导案防</w:t>
      </w:r>
      <w:proofErr w:type="gramEnd"/>
      <w:r>
        <w:rPr>
          <w:rFonts w:ascii="宋体" w:eastAsia="宋体" w:hAnsi="宋体" w:cs="宋体" w:hint="eastAsia"/>
          <w:sz w:val="24"/>
        </w:rPr>
        <w:t>工作要求。三是根据案件处置三项制度要求，做好案件后续处置工作，督促属地监管机构和银行业金融机构切实履行职责，及时报送案件调查报告、督查报告、审结报告及案例材料，提高报送质量，不但要就案论案，提出针对性治理措施，提升案件整改效果，而且要举一反三，查找总结案件反映出的共性问题，严防案件屡查屡犯。</w:t>
      </w:r>
    </w:p>
    <w:p w14:paraId="4FEDBD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三、建设两个系统，</w:t>
      </w:r>
      <w:proofErr w:type="gramStart"/>
      <w:r>
        <w:rPr>
          <w:rFonts w:ascii="宋体" w:eastAsia="宋体" w:hAnsi="宋体" w:cs="宋体" w:hint="eastAsia"/>
          <w:sz w:val="24"/>
        </w:rPr>
        <w:t>增强案防</w:t>
      </w:r>
      <w:proofErr w:type="gramEnd"/>
      <w:r>
        <w:rPr>
          <w:rFonts w:ascii="宋体" w:eastAsia="宋体" w:hAnsi="宋体" w:cs="宋体" w:hint="eastAsia"/>
          <w:sz w:val="24"/>
        </w:rPr>
        <w:t>工作针对性</w:t>
      </w:r>
    </w:p>
    <w:p w14:paraId="6E82AD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以信息系统建设为契机，</w:t>
      </w:r>
      <w:proofErr w:type="gramStart"/>
      <w:r>
        <w:rPr>
          <w:rFonts w:ascii="宋体" w:eastAsia="宋体" w:hAnsi="宋体" w:cs="宋体" w:hint="eastAsia"/>
          <w:sz w:val="24"/>
        </w:rPr>
        <w:t>推进案防非</w:t>
      </w:r>
      <w:proofErr w:type="gramEnd"/>
      <w:r>
        <w:rPr>
          <w:rFonts w:ascii="宋体" w:eastAsia="宋体" w:hAnsi="宋体" w:cs="宋体" w:hint="eastAsia"/>
          <w:sz w:val="24"/>
        </w:rPr>
        <w:t>现场监测上台阶。一是印发《银行业金融机构案件防控统计制度(试行)》，建</w:t>
      </w:r>
      <w:proofErr w:type="gramStart"/>
      <w:r>
        <w:rPr>
          <w:rFonts w:ascii="宋体" w:eastAsia="宋体" w:hAnsi="宋体" w:cs="宋体" w:hint="eastAsia"/>
          <w:sz w:val="24"/>
        </w:rPr>
        <w:t>立案防非现场</w:t>
      </w:r>
      <w:proofErr w:type="gramEnd"/>
      <w:r>
        <w:rPr>
          <w:rFonts w:ascii="宋体" w:eastAsia="宋体" w:hAnsi="宋体" w:cs="宋体" w:hint="eastAsia"/>
          <w:sz w:val="24"/>
        </w:rPr>
        <w:t>监测指标体系，收集、汇总、监测银行业金融</w:t>
      </w:r>
      <w:proofErr w:type="gramStart"/>
      <w:r>
        <w:rPr>
          <w:rFonts w:ascii="宋体" w:eastAsia="宋体" w:hAnsi="宋体" w:cs="宋体" w:hint="eastAsia"/>
          <w:sz w:val="24"/>
        </w:rPr>
        <w:t>机构案防工作</w:t>
      </w:r>
      <w:proofErr w:type="gramEnd"/>
      <w:r>
        <w:rPr>
          <w:rFonts w:ascii="宋体" w:eastAsia="宋体" w:hAnsi="宋体" w:cs="宋体" w:hint="eastAsia"/>
          <w:sz w:val="24"/>
        </w:rPr>
        <w:t>及对监管机构相关工作要求的落实情况，横向比较机构之间、地区</w:t>
      </w:r>
      <w:proofErr w:type="gramStart"/>
      <w:r>
        <w:rPr>
          <w:rFonts w:ascii="宋体" w:eastAsia="宋体" w:hAnsi="宋体" w:cs="宋体" w:hint="eastAsia"/>
          <w:sz w:val="24"/>
        </w:rPr>
        <w:t>之间案防</w:t>
      </w:r>
      <w:proofErr w:type="gramEnd"/>
      <w:r>
        <w:rPr>
          <w:rFonts w:ascii="宋体" w:eastAsia="宋体" w:hAnsi="宋体" w:cs="宋体" w:hint="eastAsia"/>
          <w:sz w:val="24"/>
        </w:rPr>
        <w:t>工作开展情况，进行多维度的数据分析和预警，有针对性地推动机构加大案防工作力度，落实防控关口前移工作要求。二是研究建立银行从业人员诚信信息统计体系，收集银行从业人员受到刑事处罚、行政处罚、纪律处分等信息，为监管机构审核、审查人员任职资格提供信息支持，为银行人力资源尽职调查提供查询便利，防止银行从业人员“带病”上岗，“带病”流动。通过系统建设，力争发挥非现场监管“指挥棒”和“烽火台”的功能作用，</w:t>
      </w:r>
      <w:proofErr w:type="gramStart"/>
      <w:r>
        <w:rPr>
          <w:rFonts w:ascii="宋体" w:eastAsia="宋体" w:hAnsi="宋体" w:cs="宋体" w:hint="eastAsia"/>
          <w:sz w:val="24"/>
        </w:rPr>
        <w:t>推动案防</w:t>
      </w:r>
      <w:proofErr w:type="gramEnd"/>
      <w:r>
        <w:rPr>
          <w:rFonts w:ascii="宋体" w:eastAsia="宋体" w:hAnsi="宋体" w:cs="宋体" w:hint="eastAsia"/>
          <w:sz w:val="24"/>
        </w:rPr>
        <w:t>工作有效落实。</w:t>
      </w:r>
    </w:p>
    <w:p w14:paraId="263D38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四、组织开展现场检查，</w:t>
      </w:r>
      <w:proofErr w:type="gramStart"/>
      <w:r>
        <w:rPr>
          <w:rFonts w:ascii="宋体" w:eastAsia="宋体" w:hAnsi="宋体" w:cs="宋体" w:hint="eastAsia"/>
          <w:sz w:val="24"/>
        </w:rPr>
        <w:t>落实案防</w:t>
      </w:r>
      <w:proofErr w:type="gramEnd"/>
      <w:r>
        <w:rPr>
          <w:rFonts w:ascii="宋体" w:eastAsia="宋体" w:hAnsi="宋体" w:cs="宋体" w:hint="eastAsia"/>
          <w:sz w:val="24"/>
        </w:rPr>
        <w:t>监管要求</w:t>
      </w:r>
    </w:p>
    <w:p w14:paraId="159B65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以开展现场检查为突破口，</w:t>
      </w:r>
      <w:proofErr w:type="gramStart"/>
      <w:r>
        <w:rPr>
          <w:rFonts w:ascii="宋体" w:eastAsia="宋体" w:hAnsi="宋体" w:cs="宋体" w:hint="eastAsia"/>
          <w:sz w:val="24"/>
        </w:rPr>
        <w:t>实现案防</w:t>
      </w:r>
      <w:proofErr w:type="gramEnd"/>
      <w:r>
        <w:rPr>
          <w:rFonts w:ascii="宋体" w:eastAsia="宋体" w:hAnsi="宋体" w:cs="宋体" w:hint="eastAsia"/>
          <w:sz w:val="24"/>
        </w:rPr>
        <w:t>工作有效落地。案件防控是商业银行内部控制和内部审计应着力关注的重心，各级监管机构应按照银监会2013年度现场检查立项工作实施要点的要求，对2009年至2011年银行业金融机构百万元以上案件整改落实情况和轮岗、对账及内审工作情况组织开展现场检查，并将检查开展情况、检查结果和处理意见及时汇总报告。通过现场检查，查找银行业金融</w:t>
      </w:r>
      <w:proofErr w:type="gramStart"/>
      <w:r>
        <w:rPr>
          <w:rFonts w:ascii="宋体" w:eastAsia="宋体" w:hAnsi="宋体" w:cs="宋体" w:hint="eastAsia"/>
          <w:sz w:val="24"/>
        </w:rPr>
        <w:t>机构案防工作</w:t>
      </w:r>
      <w:proofErr w:type="gramEnd"/>
      <w:r>
        <w:rPr>
          <w:rFonts w:ascii="宋体" w:eastAsia="宋体" w:hAnsi="宋体" w:cs="宋体" w:hint="eastAsia"/>
          <w:sz w:val="24"/>
        </w:rPr>
        <w:t>中存在的问题和漏洞，总结交流案件整改经验，实现以查促防。</w:t>
      </w:r>
    </w:p>
    <w:p w14:paraId="058BC4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五、强化信息报送分析，发挥风险提示预警功能</w:t>
      </w:r>
    </w:p>
    <w:p w14:paraId="5DEBF8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以案件(风险)信息报送统计制度修订为起点，提高案件风险分类的针对性。</w:t>
      </w:r>
      <w:r>
        <w:rPr>
          <w:rFonts w:ascii="宋体" w:eastAsia="宋体" w:hAnsi="宋体" w:cs="宋体" w:hint="eastAsia"/>
          <w:sz w:val="24"/>
        </w:rPr>
        <w:lastRenderedPageBreak/>
        <w:t>一</w:t>
      </w:r>
      <w:proofErr w:type="gramStart"/>
      <w:r>
        <w:rPr>
          <w:rFonts w:ascii="宋体" w:eastAsia="宋体" w:hAnsi="宋体" w:cs="宋体" w:hint="eastAsia"/>
          <w:sz w:val="24"/>
        </w:rPr>
        <w:t>是各银监</w:t>
      </w:r>
      <w:proofErr w:type="gramEnd"/>
      <w:r>
        <w:rPr>
          <w:rFonts w:ascii="宋体" w:eastAsia="宋体" w:hAnsi="宋体" w:cs="宋体" w:hint="eastAsia"/>
          <w:sz w:val="24"/>
        </w:rPr>
        <w:t>局和银行业金融机构应加强内部管理，健全工作机制，增强信息报送的敏感性和主动意识，对案件风险信息迟报、瞒报现象“零容忍”。二是为更准确地反映银行业案件信息，更有针对性地</w:t>
      </w:r>
      <w:proofErr w:type="gramStart"/>
      <w:r>
        <w:rPr>
          <w:rFonts w:ascii="宋体" w:eastAsia="宋体" w:hAnsi="宋体" w:cs="宋体" w:hint="eastAsia"/>
          <w:sz w:val="24"/>
        </w:rPr>
        <w:t>开展案防</w:t>
      </w:r>
      <w:proofErr w:type="gramEnd"/>
      <w:r>
        <w:rPr>
          <w:rFonts w:ascii="宋体" w:eastAsia="宋体" w:hAnsi="宋体" w:cs="宋体" w:hint="eastAsia"/>
          <w:sz w:val="24"/>
        </w:rPr>
        <w:t>工作，根据银行业金融机构内部是否有人员涉嫌犯罪，是否存在其他违法违规行为等因素将案件划分为三类，对三类案件采取不同的处置办法。三是按照</w:t>
      </w:r>
      <w:proofErr w:type="gramStart"/>
      <w:r>
        <w:rPr>
          <w:rFonts w:ascii="宋体" w:eastAsia="宋体" w:hAnsi="宋体" w:cs="宋体" w:hint="eastAsia"/>
          <w:sz w:val="24"/>
        </w:rPr>
        <w:t>有关案防制度</w:t>
      </w:r>
      <w:proofErr w:type="gramEnd"/>
      <w:r>
        <w:rPr>
          <w:rFonts w:ascii="宋体" w:eastAsia="宋体" w:hAnsi="宋体" w:cs="宋体" w:hint="eastAsia"/>
          <w:sz w:val="24"/>
        </w:rPr>
        <w:t>要求，认真做好案件(风险)信息和</w:t>
      </w:r>
      <w:proofErr w:type="gramStart"/>
      <w:r>
        <w:rPr>
          <w:rFonts w:ascii="宋体" w:eastAsia="宋体" w:hAnsi="宋体" w:cs="宋体" w:hint="eastAsia"/>
          <w:sz w:val="24"/>
        </w:rPr>
        <w:t>案防</w:t>
      </w:r>
      <w:proofErr w:type="gramEnd"/>
      <w:r>
        <w:rPr>
          <w:rFonts w:ascii="宋体" w:eastAsia="宋体" w:hAnsi="宋体" w:cs="宋体" w:hint="eastAsia"/>
          <w:sz w:val="24"/>
        </w:rPr>
        <w:t>监测指标的登记、汇总和统计分析工作，定期通报案件(风险)信息和</w:t>
      </w:r>
      <w:proofErr w:type="gramStart"/>
      <w:r>
        <w:rPr>
          <w:rFonts w:ascii="宋体" w:eastAsia="宋体" w:hAnsi="宋体" w:cs="宋体" w:hint="eastAsia"/>
          <w:sz w:val="24"/>
        </w:rPr>
        <w:t>案防</w:t>
      </w:r>
      <w:proofErr w:type="gramEnd"/>
      <w:r>
        <w:rPr>
          <w:rFonts w:ascii="宋体" w:eastAsia="宋体" w:hAnsi="宋体" w:cs="宋体" w:hint="eastAsia"/>
          <w:sz w:val="24"/>
        </w:rPr>
        <w:t>指标监测情况，提高案件风险的识别、监测、分析和</w:t>
      </w:r>
      <w:proofErr w:type="gramStart"/>
      <w:r>
        <w:rPr>
          <w:rFonts w:ascii="宋体" w:eastAsia="宋体" w:hAnsi="宋体" w:cs="宋体" w:hint="eastAsia"/>
          <w:sz w:val="24"/>
        </w:rPr>
        <w:t>研判</w:t>
      </w:r>
      <w:proofErr w:type="gramEnd"/>
      <w:r>
        <w:rPr>
          <w:rFonts w:ascii="宋体" w:eastAsia="宋体" w:hAnsi="宋体" w:cs="宋体" w:hint="eastAsia"/>
          <w:sz w:val="24"/>
        </w:rPr>
        <w:t>能力，实时</w:t>
      </w:r>
      <w:proofErr w:type="gramStart"/>
      <w:r>
        <w:rPr>
          <w:rFonts w:ascii="宋体" w:eastAsia="宋体" w:hAnsi="宋体" w:cs="宋体" w:hint="eastAsia"/>
          <w:sz w:val="24"/>
        </w:rPr>
        <w:t>关注案防</w:t>
      </w:r>
      <w:proofErr w:type="gramEnd"/>
      <w:r>
        <w:rPr>
          <w:rFonts w:ascii="宋体" w:eastAsia="宋体" w:hAnsi="宋体" w:cs="宋体" w:hint="eastAsia"/>
          <w:sz w:val="24"/>
        </w:rPr>
        <w:t>态势，深入分析案发趋势，发挥预警效力，为有针对性、有重点地</w:t>
      </w:r>
      <w:proofErr w:type="gramStart"/>
      <w:r>
        <w:rPr>
          <w:rFonts w:ascii="宋体" w:eastAsia="宋体" w:hAnsi="宋体" w:cs="宋体" w:hint="eastAsia"/>
          <w:sz w:val="24"/>
        </w:rPr>
        <w:t>开展案防</w:t>
      </w:r>
      <w:proofErr w:type="gramEnd"/>
      <w:r>
        <w:rPr>
          <w:rFonts w:ascii="宋体" w:eastAsia="宋体" w:hAnsi="宋体" w:cs="宋体" w:hint="eastAsia"/>
          <w:sz w:val="24"/>
        </w:rPr>
        <w:t>工作提供信息支持。</w:t>
      </w:r>
    </w:p>
    <w:p w14:paraId="40BAEC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六、加强各项保障工作，</w:t>
      </w:r>
      <w:proofErr w:type="gramStart"/>
      <w:r>
        <w:rPr>
          <w:rFonts w:ascii="宋体" w:eastAsia="宋体" w:hAnsi="宋体" w:cs="宋体" w:hint="eastAsia"/>
          <w:sz w:val="24"/>
        </w:rPr>
        <w:t>夯实案防</w:t>
      </w:r>
      <w:proofErr w:type="gramEnd"/>
      <w:r>
        <w:rPr>
          <w:rFonts w:ascii="宋体" w:eastAsia="宋体" w:hAnsi="宋体" w:cs="宋体" w:hint="eastAsia"/>
          <w:sz w:val="24"/>
        </w:rPr>
        <w:t>基础</w:t>
      </w:r>
    </w:p>
    <w:p w14:paraId="5E2122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以调研为切入点，发挥合</w:t>
      </w:r>
      <w:proofErr w:type="gramStart"/>
      <w:r>
        <w:rPr>
          <w:rFonts w:ascii="宋体" w:eastAsia="宋体" w:hAnsi="宋体" w:cs="宋体" w:hint="eastAsia"/>
          <w:sz w:val="24"/>
        </w:rPr>
        <w:t>规</w:t>
      </w:r>
      <w:proofErr w:type="gramEnd"/>
      <w:r>
        <w:rPr>
          <w:rFonts w:ascii="宋体" w:eastAsia="宋体" w:hAnsi="宋体" w:cs="宋体" w:hint="eastAsia"/>
          <w:sz w:val="24"/>
        </w:rPr>
        <w:t>文化对案防长效机制建设的基础作用，以培训为平台，努力建设一支合格</w:t>
      </w:r>
      <w:proofErr w:type="gramStart"/>
      <w:r>
        <w:rPr>
          <w:rFonts w:ascii="宋体" w:eastAsia="宋体" w:hAnsi="宋体" w:cs="宋体" w:hint="eastAsia"/>
          <w:sz w:val="24"/>
        </w:rPr>
        <w:t>的案防和</w:t>
      </w:r>
      <w:proofErr w:type="gramEnd"/>
      <w:r>
        <w:rPr>
          <w:rFonts w:ascii="宋体" w:eastAsia="宋体" w:hAnsi="宋体" w:cs="宋体" w:hint="eastAsia"/>
          <w:sz w:val="24"/>
        </w:rPr>
        <w:t>安保队伍，以协调为抓手，积极</w:t>
      </w:r>
      <w:proofErr w:type="gramStart"/>
      <w:r>
        <w:rPr>
          <w:rFonts w:ascii="宋体" w:eastAsia="宋体" w:hAnsi="宋体" w:cs="宋体" w:hint="eastAsia"/>
          <w:sz w:val="24"/>
        </w:rPr>
        <w:t>理顺案防</w:t>
      </w:r>
      <w:proofErr w:type="gramEnd"/>
      <w:r>
        <w:rPr>
          <w:rFonts w:ascii="宋体" w:eastAsia="宋体" w:hAnsi="宋体" w:cs="宋体" w:hint="eastAsia"/>
          <w:sz w:val="24"/>
        </w:rPr>
        <w:t>和安保内外部关系。一是开展银行业合</w:t>
      </w:r>
      <w:proofErr w:type="gramStart"/>
      <w:r>
        <w:rPr>
          <w:rFonts w:ascii="宋体" w:eastAsia="宋体" w:hAnsi="宋体" w:cs="宋体" w:hint="eastAsia"/>
          <w:sz w:val="24"/>
        </w:rPr>
        <w:t>规</w:t>
      </w:r>
      <w:proofErr w:type="gramEnd"/>
      <w:r>
        <w:rPr>
          <w:rFonts w:ascii="宋体" w:eastAsia="宋体" w:hAnsi="宋体" w:cs="宋体" w:hint="eastAsia"/>
          <w:sz w:val="24"/>
        </w:rPr>
        <w:t>文化建设调研。多年银行业案件查防工作实践表明，合</w:t>
      </w:r>
      <w:proofErr w:type="gramStart"/>
      <w:r>
        <w:rPr>
          <w:rFonts w:ascii="宋体" w:eastAsia="宋体" w:hAnsi="宋体" w:cs="宋体" w:hint="eastAsia"/>
          <w:sz w:val="24"/>
        </w:rPr>
        <w:t>规</w:t>
      </w:r>
      <w:proofErr w:type="gramEnd"/>
      <w:r>
        <w:rPr>
          <w:rFonts w:ascii="宋体" w:eastAsia="宋体" w:hAnsi="宋体" w:cs="宋体" w:hint="eastAsia"/>
          <w:sz w:val="24"/>
        </w:rPr>
        <w:t>文化建设不仅是银行业稳健经营的基石，</w:t>
      </w:r>
      <w:proofErr w:type="gramStart"/>
      <w:r>
        <w:rPr>
          <w:rFonts w:ascii="宋体" w:eastAsia="宋体" w:hAnsi="宋体" w:cs="宋体" w:hint="eastAsia"/>
          <w:sz w:val="24"/>
        </w:rPr>
        <w:t>更是建</w:t>
      </w:r>
      <w:proofErr w:type="gramEnd"/>
      <w:r>
        <w:rPr>
          <w:rFonts w:ascii="宋体" w:eastAsia="宋体" w:hAnsi="宋体" w:cs="宋体" w:hint="eastAsia"/>
          <w:sz w:val="24"/>
        </w:rPr>
        <w:t>立案防长效机制的核心，通过合</w:t>
      </w:r>
      <w:proofErr w:type="gramStart"/>
      <w:r>
        <w:rPr>
          <w:rFonts w:ascii="宋体" w:eastAsia="宋体" w:hAnsi="宋体" w:cs="宋体" w:hint="eastAsia"/>
          <w:sz w:val="24"/>
        </w:rPr>
        <w:t>规</w:t>
      </w:r>
      <w:proofErr w:type="gramEnd"/>
      <w:r>
        <w:rPr>
          <w:rFonts w:ascii="宋体" w:eastAsia="宋体" w:hAnsi="宋体" w:cs="宋体" w:hint="eastAsia"/>
          <w:sz w:val="24"/>
        </w:rPr>
        <w:t>文化建设调研活动，深入了解当前银行业合</w:t>
      </w:r>
      <w:proofErr w:type="gramStart"/>
      <w:r>
        <w:rPr>
          <w:rFonts w:ascii="宋体" w:eastAsia="宋体" w:hAnsi="宋体" w:cs="宋体" w:hint="eastAsia"/>
          <w:sz w:val="24"/>
        </w:rPr>
        <w:t>规</w:t>
      </w:r>
      <w:proofErr w:type="gramEnd"/>
      <w:r>
        <w:rPr>
          <w:rFonts w:ascii="宋体" w:eastAsia="宋体" w:hAnsi="宋体" w:cs="宋体" w:hint="eastAsia"/>
          <w:sz w:val="24"/>
        </w:rPr>
        <w:t>建设现状和存在问题，为进一步研究制定银行业合</w:t>
      </w:r>
      <w:proofErr w:type="gramStart"/>
      <w:r>
        <w:rPr>
          <w:rFonts w:ascii="宋体" w:eastAsia="宋体" w:hAnsi="宋体" w:cs="宋体" w:hint="eastAsia"/>
          <w:sz w:val="24"/>
        </w:rPr>
        <w:t>规</w:t>
      </w:r>
      <w:proofErr w:type="gramEnd"/>
      <w:r>
        <w:rPr>
          <w:rFonts w:ascii="宋体" w:eastAsia="宋体" w:hAnsi="宋体" w:cs="宋体" w:hint="eastAsia"/>
          <w:sz w:val="24"/>
        </w:rPr>
        <w:t>文化建设工作方案奠定基础。二是开展多层次培训。开展以贯彻落实新</w:t>
      </w:r>
      <w:proofErr w:type="gramStart"/>
      <w:r>
        <w:rPr>
          <w:rFonts w:ascii="宋体" w:eastAsia="宋体" w:hAnsi="宋体" w:cs="宋体" w:hint="eastAsia"/>
          <w:sz w:val="24"/>
        </w:rPr>
        <w:t>出台案防</w:t>
      </w:r>
      <w:proofErr w:type="gramEnd"/>
      <w:r>
        <w:rPr>
          <w:rFonts w:ascii="宋体" w:eastAsia="宋体" w:hAnsi="宋体" w:cs="宋体" w:hint="eastAsia"/>
          <w:sz w:val="24"/>
        </w:rPr>
        <w:t>制度为主要内容的制度培训、案件(风险)信息管理系统应用培训及与银行业协会共同举办的针对</w:t>
      </w:r>
      <w:proofErr w:type="gramStart"/>
      <w:r>
        <w:rPr>
          <w:rFonts w:ascii="宋体" w:eastAsia="宋体" w:hAnsi="宋体" w:cs="宋体" w:hint="eastAsia"/>
          <w:sz w:val="24"/>
        </w:rPr>
        <w:t>银行业案防和</w:t>
      </w:r>
      <w:proofErr w:type="gramEnd"/>
      <w:r>
        <w:rPr>
          <w:rFonts w:ascii="宋体" w:eastAsia="宋体" w:hAnsi="宋体" w:cs="宋体" w:hint="eastAsia"/>
          <w:sz w:val="24"/>
        </w:rPr>
        <w:t>安保管理人员的轮训。通过培训，</w:t>
      </w:r>
      <w:proofErr w:type="gramStart"/>
      <w:r>
        <w:rPr>
          <w:rFonts w:ascii="宋体" w:eastAsia="宋体" w:hAnsi="宋体" w:cs="宋体" w:hint="eastAsia"/>
          <w:sz w:val="24"/>
        </w:rPr>
        <w:t>提升案防</w:t>
      </w:r>
      <w:proofErr w:type="gramEnd"/>
      <w:r>
        <w:rPr>
          <w:rFonts w:ascii="宋体" w:eastAsia="宋体" w:hAnsi="宋体" w:cs="宋体" w:hint="eastAsia"/>
          <w:sz w:val="24"/>
        </w:rPr>
        <w:t>和安保队伍素质，切实</w:t>
      </w:r>
      <w:proofErr w:type="gramStart"/>
      <w:r>
        <w:rPr>
          <w:rFonts w:ascii="宋体" w:eastAsia="宋体" w:hAnsi="宋体" w:cs="宋体" w:hint="eastAsia"/>
          <w:sz w:val="24"/>
        </w:rPr>
        <w:t>增强案防</w:t>
      </w:r>
      <w:proofErr w:type="gramEnd"/>
      <w:r>
        <w:rPr>
          <w:rFonts w:ascii="宋体" w:eastAsia="宋体" w:hAnsi="宋体" w:cs="宋体" w:hint="eastAsia"/>
          <w:sz w:val="24"/>
        </w:rPr>
        <w:t>制度执行力。三是进一步明确机构监管部门与功能监管</w:t>
      </w:r>
      <w:proofErr w:type="gramStart"/>
      <w:r>
        <w:rPr>
          <w:rFonts w:ascii="宋体" w:eastAsia="宋体" w:hAnsi="宋体" w:cs="宋体" w:hint="eastAsia"/>
          <w:sz w:val="24"/>
        </w:rPr>
        <w:t>部门案防</w:t>
      </w:r>
      <w:proofErr w:type="gramEnd"/>
      <w:r>
        <w:rPr>
          <w:rFonts w:ascii="宋体" w:eastAsia="宋体" w:hAnsi="宋体" w:cs="宋体" w:hint="eastAsia"/>
          <w:sz w:val="24"/>
        </w:rPr>
        <w:t>工作职责。同时，依据案件性质、影响程度、涉案金额等要素划分各级监管机构案件稽查工作范围，进一步</w:t>
      </w:r>
      <w:proofErr w:type="gramStart"/>
      <w:r>
        <w:rPr>
          <w:rFonts w:ascii="宋体" w:eastAsia="宋体" w:hAnsi="宋体" w:cs="宋体" w:hint="eastAsia"/>
          <w:sz w:val="24"/>
        </w:rPr>
        <w:t>发挥案防</w:t>
      </w:r>
      <w:proofErr w:type="gramEnd"/>
      <w:r>
        <w:rPr>
          <w:rFonts w:ascii="宋体" w:eastAsia="宋体" w:hAnsi="宋体" w:cs="宋体" w:hint="eastAsia"/>
          <w:sz w:val="24"/>
        </w:rPr>
        <w:t>工作联席会议功能，实现各部门优势互补。</w:t>
      </w:r>
    </w:p>
    <w:p w14:paraId="383895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七、做好银行业安保工作，提高安全防范水平</w:t>
      </w:r>
    </w:p>
    <w:p w14:paraId="6DBC10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银行业平安运行为目标，努力提升技防、物防、人防水平。对银行业金融机构而言，一是建立健全系统内安全防范责任制，将安全防范工作纳入对分支机构的年度经营考核体系。二是设置专业安全防范工作部门或配备专职安全防范人员，以专业的团队和素质应对日益专业化的作案趋势。三是按照标准和监管要求开展营业场所安全防范设施建设，加强对物防、技防设备、设施的日常检查和维</w:t>
      </w:r>
      <w:r>
        <w:rPr>
          <w:rFonts w:ascii="宋体" w:eastAsia="宋体" w:hAnsi="宋体" w:cs="宋体" w:hint="eastAsia"/>
          <w:sz w:val="24"/>
        </w:rPr>
        <w:lastRenderedPageBreak/>
        <w:t>护。四是制定和完善安全防范制度，采取有效措施，督促制度落实和执行。五是对成功堵截或者妥善处置安</w:t>
      </w:r>
      <w:proofErr w:type="gramStart"/>
      <w:r>
        <w:rPr>
          <w:rFonts w:ascii="宋体" w:eastAsia="宋体" w:hAnsi="宋体" w:cs="宋体" w:hint="eastAsia"/>
          <w:sz w:val="24"/>
        </w:rPr>
        <w:t>防类案</w:t>
      </w:r>
      <w:proofErr w:type="gramEnd"/>
      <w:r>
        <w:rPr>
          <w:rFonts w:ascii="宋体" w:eastAsia="宋体" w:hAnsi="宋体" w:cs="宋体" w:hint="eastAsia"/>
          <w:sz w:val="24"/>
        </w:rPr>
        <w:t>(事)件的，出台相应的激励制度，切实调动一线员工的防范积极性。</w:t>
      </w:r>
    </w:p>
    <w:p w14:paraId="62C3C975"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要切实承担对银行业安保工作进行指导、检查的职责。一是组织对辖内银行业金融机构营业场所物防、技防建设和运行情况、安防制度执行情况的现场检查，对发现的安全隐患切实督促整改；对因客观情况无法整改的，应当因地制宜地指导其采取替代性防护措施，对可以整改但拒不整改或者多次整改不到位的，采取相应监管措施。二是全面掌握辖内银行业金融机构发生的</w:t>
      </w:r>
      <w:proofErr w:type="gramStart"/>
      <w:r>
        <w:rPr>
          <w:rFonts w:ascii="宋体" w:eastAsia="宋体" w:hAnsi="宋体" w:cs="宋体" w:hint="eastAsia"/>
          <w:sz w:val="24"/>
        </w:rPr>
        <w:t>安防类案</w:t>
      </w:r>
      <w:proofErr w:type="gramEnd"/>
      <w:r>
        <w:rPr>
          <w:rFonts w:ascii="宋体" w:eastAsia="宋体" w:hAnsi="宋体" w:cs="宋体" w:hint="eastAsia"/>
          <w:sz w:val="24"/>
        </w:rPr>
        <w:t>(事)件情况，对发生人员伤亡、造成重大资金和声誉风险的</w:t>
      </w:r>
      <w:proofErr w:type="gramStart"/>
      <w:r>
        <w:rPr>
          <w:rFonts w:ascii="宋体" w:eastAsia="宋体" w:hAnsi="宋体" w:cs="宋体" w:hint="eastAsia"/>
          <w:sz w:val="24"/>
        </w:rPr>
        <w:t>安防类案</w:t>
      </w:r>
      <w:proofErr w:type="gramEnd"/>
      <w:r>
        <w:rPr>
          <w:rFonts w:ascii="宋体" w:eastAsia="宋体" w:hAnsi="宋体" w:cs="宋体" w:hint="eastAsia"/>
          <w:sz w:val="24"/>
        </w:rPr>
        <w:t>(事)件，及时给予现场指导和协调。三是通过定期或不定期召开安全防范工作例会或者联席会议的形式，进一步强化防范信息和经验的沟通、交流。四是深入剖析</w:t>
      </w:r>
      <w:proofErr w:type="gramStart"/>
      <w:r>
        <w:rPr>
          <w:rFonts w:ascii="宋体" w:eastAsia="宋体" w:hAnsi="宋体" w:cs="宋体" w:hint="eastAsia"/>
          <w:sz w:val="24"/>
        </w:rPr>
        <w:t>典型安防类案</w:t>
      </w:r>
      <w:proofErr w:type="gramEnd"/>
      <w:r>
        <w:rPr>
          <w:rFonts w:ascii="宋体" w:eastAsia="宋体" w:hAnsi="宋体" w:cs="宋体" w:hint="eastAsia"/>
          <w:sz w:val="24"/>
        </w:rPr>
        <w:t>(事)件，组织对安全防范工作中出现的新问题进行调研，提出和采取针对性的防范措施。</w:t>
      </w:r>
    </w:p>
    <w:p w14:paraId="0C1476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中国银监会办公厅</w:t>
      </w:r>
    </w:p>
    <w:p w14:paraId="082351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2013年2月7日</w:t>
      </w:r>
    </w:p>
    <w:p w14:paraId="4E03B2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附件二：</w:t>
      </w:r>
    </w:p>
    <w:p w14:paraId="7ED92A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上海银行业金融机构基层网点主要</w:t>
      </w:r>
      <w:proofErr w:type="gramStart"/>
      <w:r>
        <w:rPr>
          <w:rFonts w:ascii="宋体" w:eastAsia="宋体" w:hAnsi="宋体" w:cs="宋体" w:hint="eastAsia"/>
          <w:sz w:val="24"/>
        </w:rPr>
        <w:t>负责人案防日常</w:t>
      </w:r>
      <w:proofErr w:type="gramEnd"/>
      <w:r>
        <w:rPr>
          <w:rFonts w:ascii="宋体" w:eastAsia="宋体" w:hAnsi="宋体" w:cs="宋体" w:hint="eastAsia"/>
          <w:sz w:val="24"/>
        </w:rPr>
        <w:t>基础工作的指导意见</w:t>
      </w:r>
    </w:p>
    <w:p w14:paraId="6C4012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一、目的依据 为进一步深化上海银行业金融机构案件防控长效机制建设，</w:t>
      </w:r>
      <w:proofErr w:type="gramStart"/>
      <w:r>
        <w:rPr>
          <w:rFonts w:ascii="宋体" w:eastAsia="宋体" w:hAnsi="宋体" w:cs="宋体" w:hint="eastAsia"/>
          <w:sz w:val="24"/>
        </w:rPr>
        <w:t>前移案防关口</w:t>
      </w:r>
      <w:proofErr w:type="gramEnd"/>
      <w:r>
        <w:rPr>
          <w:rFonts w:ascii="宋体" w:eastAsia="宋体" w:hAnsi="宋体" w:cs="宋体" w:hint="eastAsia"/>
          <w:sz w:val="24"/>
        </w:rPr>
        <w:t>，指导各机构切实加强对基层网点主要</w:t>
      </w:r>
      <w:proofErr w:type="gramStart"/>
      <w:r>
        <w:rPr>
          <w:rFonts w:ascii="宋体" w:eastAsia="宋体" w:hAnsi="宋体" w:cs="宋体" w:hint="eastAsia"/>
          <w:sz w:val="24"/>
        </w:rPr>
        <w:t>负责人案防履职</w:t>
      </w:r>
      <w:proofErr w:type="gramEnd"/>
      <w:r>
        <w:rPr>
          <w:rFonts w:ascii="宋体" w:eastAsia="宋体" w:hAnsi="宋体" w:cs="宋体" w:hint="eastAsia"/>
          <w:sz w:val="24"/>
        </w:rPr>
        <w:t>管理，发挥其在基层</w:t>
      </w:r>
      <w:proofErr w:type="gramStart"/>
      <w:r>
        <w:rPr>
          <w:rFonts w:ascii="宋体" w:eastAsia="宋体" w:hAnsi="宋体" w:cs="宋体" w:hint="eastAsia"/>
          <w:sz w:val="24"/>
        </w:rPr>
        <w:t>网点案防</w:t>
      </w:r>
      <w:proofErr w:type="gramEnd"/>
      <w:r>
        <w:rPr>
          <w:rFonts w:ascii="宋体" w:eastAsia="宋体" w:hAnsi="宋体" w:cs="宋体" w:hint="eastAsia"/>
          <w:sz w:val="24"/>
        </w:rPr>
        <w:t>日常工作的关键作用，特制定本指导意见。</w:t>
      </w:r>
    </w:p>
    <w:p w14:paraId="710A9E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二、适用范围 本指导意见所称银行业金融机构基层网点主要负责人是指在沪各中外资法人银行、中资银行分行(政策性银行、大型银行、邮政储蓄银行、股份制银行、城市商业银行)、村镇银行、外资法人银行分行的各类营业网点(含营业性支行、营业部(营业室)、营业所、分理处、储蓄所等)的主要负责人。</w:t>
      </w:r>
    </w:p>
    <w:p w14:paraId="3F5F9F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三、工作职责 银行业金融机构基层网点主要负责人作为本机构组织领导案件防控工作的第一责任人，要对本网点</w:t>
      </w:r>
      <w:proofErr w:type="gramStart"/>
      <w:r>
        <w:rPr>
          <w:rFonts w:ascii="宋体" w:eastAsia="宋体" w:hAnsi="宋体" w:cs="宋体" w:hint="eastAsia"/>
          <w:sz w:val="24"/>
        </w:rPr>
        <w:t>员工案防</w:t>
      </w:r>
      <w:proofErr w:type="gramEnd"/>
      <w:r>
        <w:rPr>
          <w:rFonts w:ascii="宋体" w:eastAsia="宋体" w:hAnsi="宋体" w:cs="宋体" w:hint="eastAsia"/>
          <w:sz w:val="24"/>
        </w:rPr>
        <w:t>履职情况进行检查、监督与考核等，承担本网点案件防控的主要责任。</w:t>
      </w:r>
    </w:p>
    <w:p w14:paraId="528699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w:t>
      </w:r>
      <w:proofErr w:type="gramStart"/>
      <w:r>
        <w:rPr>
          <w:rFonts w:ascii="宋体" w:eastAsia="宋体" w:hAnsi="宋体" w:cs="宋体" w:hint="eastAsia"/>
          <w:sz w:val="24"/>
        </w:rPr>
        <w:t>一</w:t>
      </w:r>
      <w:proofErr w:type="gramEnd"/>
      <w:r>
        <w:rPr>
          <w:rFonts w:ascii="宋体" w:eastAsia="宋体" w:hAnsi="宋体" w:cs="宋体" w:hint="eastAsia"/>
          <w:sz w:val="24"/>
        </w:rPr>
        <w:t>)建立案防工作台</w:t>
      </w:r>
      <w:proofErr w:type="gramStart"/>
      <w:r>
        <w:rPr>
          <w:rFonts w:ascii="宋体" w:eastAsia="宋体" w:hAnsi="宋体" w:cs="宋体" w:hint="eastAsia"/>
          <w:sz w:val="24"/>
        </w:rPr>
        <w:t>账</w:t>
      </w:r>
      <w:proofErr w:type="gramEnd"/>
      <w:r>
        <w:rPr>
          <w:rFonts w:ascii="宋体" w:eastAsia="宋体" w:hAnsi="宋体" w:cs="宋体" w:hint="eastAsia"/>
          <w:sz w:val="24"/>
        </w:rPr>
        <w:t>制度。基层网点主要负责人应建立案防工作台账，及时、认真、完整地记录台账。台</w:t>
      </w:r>
      <w:proofErr w:type="gramStart"/>
      <w:r>
        <w:rPr>
          <w:rFonts w:ascii="宋体" w:eastAsia="宋体" w:hAnsi="宋体" w:cs="宋体" w:hint="eastAsia"/>
          <w:sz w:val="24"/>
        </w:rPr>
        <w:t>账记录</w:t>
      </w:r>
      <w:proofErr w:type="gramEnd"/>
      <w:r>
        <w:rPr>
          <w:rFonts w:ascii="宋体" w:eastAsia="宋体" w:hAnsi="宋体" w:cs="宋体" w:hint="eastAsia"/>
          <w:sz w:val="24"/>
        </w:rPr>
        <w:t>情况与相关内容作为上级机构日常检查和监管</w:t>
      </w:r>
      <w:proofErr w:type="gramStart"/>
      <w:r>
        <w:rPr>
          <w:rFonts w:ascii="宋体" w:eastAsia="宋体" w:hAnsi="宋体" w:cs="宋体" w:hint="eastAsia"/>
          <w:sz w:val="24"/>
        </w:rPr>
        <w:t>部门案防</w:t>
      </w:r>
      <w:proofErr w:type="gramEnd"/>
      <w:r>
        <w:rPr>
          <w:rFonts w:ascii="宋体" w:eastAsia="宋体" w:hAnsi="宋体" w:cs="宋体" w:hint="eastAsia"/>
          <w:sz w:val="24"/>
        </w:rPr>
        <w:t>督查的重要内容之一。台</w:t>
      </w:r>
      <w:proofErr w:type="gramStart"/>
      <w:r>
        <w:rPr>
          <w:rFonts w:ascii="宋体" w:eastAsia="宋体" w:hAnsi="宋体" w:cs="宋体" w:hint="eastAsia"/>
          <w:sz w:val="24"/>
        </w:rPr>
        <w:t>账内容</w:t>
      </w:r>
      <w:proofErr w:type="gramEnd"/>
      <w:r>
        <w:rPr>
          <w:rFonts w:ascii="宋体" w:eastAsia="宋体" w:hAnsi="宋体" w:cs="宋体" w:hint="eastAsia"/>
          <w:sz w:val="24"/>
        </w:rPr>
        <w:t>包括但不限于：</w:t>
      </w:r>
      <w:proofErr w:type="gramStart"/>
      <w:r>
        <w:rPr>
          <w:rFonts w:ascii="宋体" w:eastAsia="宋体" w:hAnsi="宋体" w:cs="宋体" w:hint="eastAsia"/>
          <w:sz w:val="24"/>
        </w:rPr>
        <w:t>案防工作</w:t>
      </w:r>
      <w:proofErr w:type="gramEnd"/>
      <w:r>
        <w:rPr>
          <w:rFonts w:ascii="宋体" w:eastAsia="宋体" w:hAnsi="宋体" w:cs="宋体" w:hint="eastAsia"/>
          <w:sz w:val="24"/>
        </w:rPr>
        <w:t>的部署情况，各类教育、培训的开展情况，各类业务风险自查、排查工作的开展情况，员工轮岗、强制休假、异常行为排查、员工谈心及家访等人员管理情况，开户、对账、大额划付等</w:t>
      </w:r>
      <w:proofErr w:type="gramStart"/>
      <w:r>
        <w:rPr>
          <w:rFonts w:ascii="宋体" w:eastAsia="宋体" w:hAnsi="宋体" w:cs="宋体" w:hint="eastAsia"/>
          <w:sz w:val="24"/>
        </w:rPr>
        <w:t>案防要求</w:t>
      </w:r>
      <w:proofErr w:type="gramEnd"/>
      <w:r>
        <w:rPr>
          <w:rFonts w:ascii="宋体" w:eastAsia="宋体" w:hAnsi="宋体" w:cs="宋体" w:hint="eastAsia"/>
          <w:sz w:val="24"/>
        </w:rPr>
        <w:t>落实情况，以及所发现问题的整改落实与处理情况等。</w:t>
      </w:r>
    </w:p>
    <w:p w14:paraId="10BA52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(二)定期</w:t>
      </w:r>
      <w:proofErr w:type="gramStart"/>
      <w:r>
        <w:rPr>
          <w:rFonts w:ascii="宋体" w:eastAsia="宋体" w:hAnsi="宋体" w:cs="宋体" w:hint="eastAsia"/>
          <w:sz w:val="24"/>
        </w:rPr>
        <w:t>分析案防</w:t>
      </w:r>
      <w:proofErr w:type="gramEnd"/>
      <w:r>
        <w:rPr>
          <w:rFonts w:ascii="宋体" w:eastAsia="宋体" w:hAnsi="宋体" w:cs="宋体" w:hint="eastAsia"/>
          <w:sz w:val="24"/>
        </w:rPr>
        <w:t>工作。基层网点主要负责人原则上每月最长不超过两个月应组织召开一次案件风险防范分析会。会议要合理确定参会人员，明确会议任务，总结案防日常工作开展情况，传达上级下发的风险提示，分析</w:t>
      </w:r>
      <w:proofErr w:type="gramStart"/>
      <w:r>
        <w:rPr>
          <w:rFonts w:ascii="宋体" w:eastAsia="宋体" w:hAnsi="宋体" w:cs="宋体" w:hint="eastAsia"/>
          <w:sz w:val="24"/>
        </w:rPr>
        <w:t>近期案防</w:t>
      </w:r>
      <w:proofErr w:type="gramEnd"/>
      <w:r>
        <w:rPr>
          <w:rFonts w:ascii="宋体" w:eastAsia="宋体" w:hAnsi="宋体" w:cs="宋体" w:hint="eastAsia"/>
          <w:sz w:val="24"/>
        </w:rPr>
        <w:t>形势，反馈上期发现的问题整改落实情况；并结合</w:t>
      </w:r>
      <w:proofErr w:type="gramStart"/>
      <w:r>
        <w:rPr>
          <w:rFonts w:ascii="宋体" w:eastAsia="宋体" w:hAnsi="宋体" w:cs="宋体" w:hint="eastAsia"/>
          <w:sz w:val="24"/>
        </w:rPr>
        <w:t>各类行内外</w:t>
      </w:r>
      <w:proofErr w:type="gramEnd"/>
      <w:r>
        <w:rPr>
          <w:rFonts w:ascii="宋体" w:eastAsia="宋体" w:hAnsi="宋体" w:cs="宋体" w:hint="eastAsia"/>
          <w:sz w:val="24"/>
        </w:rPr>
        <w:t>通报、各类检查结果、违规积分管理情况等，就已发现的或潜在性、趋向性违规违纪问题，查找原因，分析评议，及时上报，并研究制定有效防控措施。</w:t>
      </w:r>
    </w:p>
    <w:p w14:paraId="5702BE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w:t>
      </w:r>
      <w:proofErr w:type="gramStart"/>
      <w:r>
        <w:rPr>
          <w:rFonts w:ascii="宋体" w:eastAsia="宋体" w:hAnsi="宋体" w:cs="宋体" w:hint="eastAsia"/>
          <w:sz w:val="24"/>
        </w:rPr>
        <w:t>组织案防</w:t>
      </w:r>
      <w:proofErr w:type="gramEnd"/>
      <w:r>
        <w:rPr>
          <w:rFonts w:ascii="宋体" w:eastAsia="宋体" w:hAnsi="宋体" w:cs="宋体" w:hint="eastAsia"/>
          <w:sz w:val="24"/>
        </w:rPr>
        <w:t>教育。基层网点主要负责人应结合业务实际与风险形势，每月组织</w:t>
      </w:r>
      <w:proofErr w:type="gramStart"/>
      <w:r>
        <w:rPr>
          <w:rFonts w:ascii="宋体" w:eastAsia="宋体" w:hAnsi="宋体" w:cs="宋体" w:hint="eastAsia"/>
          <w:sz w:val="24"/>
        </w:rPr>
        <w:t>一次案防教育</w:t>
      </w:r>
      <w:proofErr w:type="gramEnd"/>
      <w:r>
        <w:rPr>
          <w:rFonts w:ascii="宋体" w:eastAsia="宋体" w:hAnsi="宋体" w:cs="宋体" w:hint="eastAsia"/>
          <w:sz w:val="24"/>
        </w:rPr>
        <w:t>。主要内容包括但不限于：案例风险提示、警示教育、合</w:t>
      </w:r>
      <w:proofErr w:type="gramStart"/>
      <w:r>
        <w:rPr>
          <w:rFonts w:ascii="宋体" w:eastAsia="宋体" w:hAnsi="宋体" w:cs="宋体" w:hint="eastAsia"/>
          <w:sz w:val="24"/>
        </w:rPr>
        <w:t>规</w:t>
      </w:r>
      <w:proofErr w:type="gramEnd"/>
      <w:r>
        <w:rPr>
          <w:rFonts w:ascii="宋体" w:eastAsia="宋体" w:hAnsi="宋体" w:cs="宋体" w:hint="eastAsia"/>
          <w:sz w:val="24"/>
        </w:rPr>
        <w:t>教育、职业操守教育、内部规章制度的学习，可针对存在的问题组织员工讨论，并留有记录以备查证。</w:t>
      </w:r>
    </w:p>
    <w:p w14:paraId="1F65F1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(四)抽查监控录像。基层网点主要负责人每月至少抽查当月的监控录像一次。抽查内容包括但不限于柜员及客户经理合</w:t>
      </w:r>
      <w:proofErr w:type="gramStart"/>
      <w:r>
        <w:rPr>
          <w:rFonts w:ascii="宋体" w:eastAsia="宋体" w:hAnsi="宋体" w:cs="宋体" w:hint="eastAsia"/>
          <w:sz w:val="24"/>
        </w:rPr>
        <w:t>规</w:t>
      </w:r>
      <w:proofErr w:type="gramEnd"/>
      <w:r>
        <w:rPr>
          <w:rFonts w:ascii="宋体" w:eastAsia="宋体" w:hAnsi="宋体" w:cs="宋体" w:hint="eastAsia"/>
          <w:sz w:val="24"/>
        </w:rPr>
        <w:t>操作、重要物品管理、委派会计(授权经理)授权、自助机具管理等环节。对发现的违规行为和案件风险，按规定进行处理，并做好记录和违规积分登记。</w:t>
      </w:r>
    </w:p>
    <w:p w14:paraId="24F5B7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(五)落实查库制度。基层网点主要负责人每月应查库一次，并对相关柜员上门收款业务、现金款箱等风险环节至少检查一次。应组织相关人员严格检查表内外记账的物品，进行账</w:t>
      </w:r>
      <w:proofErr w:type="gramStart"/>
      <w:r>
        <w:rPr>
          <w:rFonts w:ascii="宋体" w:eastAsia="宋体" w:hAnsi="宋体" w:cs="宋体" w:hint="eastAsia"/>
          <w:sz w:val="24"/>
        </w:rPr>
        <w:t>账</w:t>
      </w:r>
      <w:proofErr w:type="gramEnd"/>
      <w:r>
        <w:rPr>
          <w:rFonts w:ascii="宋体" w:eastAsia="宋体" w:hAnsi="宋体" w:cs="宋体" w:hint="eastAsia"/>
          <w:sz w:val="24"/>
        </w:rPr>
        <w:t>、账簿、账实核对，做到账、实、簿核对三相符，及时纠正发现的问题，并认真登记。</w:t>
      </w:r>
    </w:p>
    <w:p w14:paraId="018D2C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落实对账制度。基层网点主要负责人应根据监管部门与本行关于对账工作的指导意见，落实对账制度。基层网点主要负责人每月参与一次内部对账工作；每季至少参与或监督一次外部对账工作，每季至少走访辖内一个对公重点客户，充分了解对账人员履职、对账差错处理、对账率达标情况等，并认真做好记录。</w:t>
      </w:r>
      <w:r>
        <w:rPr>
          <w:rFonts w:ascii="宋体" w:eastAsia="宋体" w:hAnsi="宋体" w:cs="宋体" w:hint="eastAsia"/>
          <w:sz w:val="24"/>
        </w:rPr>
        <w:lastRenderedPageBreak/>
        <w:t>对辖内未能及时成功对账的客户，要分析查找原因，采取有效措施，提高对账效率。</w:t>
      </w:r>
    </w:p>
    <w:p w14:paraId="1FEB28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重要人员风险控制。基层网点主要负责人应按规定组织或配合上级部门实施重要岗位人员轮岗、强制性休假等；通过回访客户等多种方式，定期(至少每季度一次)抽查理财经理、客户经理、上门服务人员及派驻专柜人员等重要岗位人员的业务情况，及时发现并报告异常情况。</w:t>
      </w:r>
    </w:p>
    <w:p w14:paraId="1B7AAC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开展员工异常行为排查。基层网点主要负责人应至少每季度开展一次员工异常行为动态分析排查工作。根据监管工作要求及机构内部管理办法，采取家访、员工谈心多种方式，全面掌握信息，及时了解掌握员工思想动态和行为变化。建立违法违规行为有奖举报制度，鼓励员工对违规违纪行为进行举报，及时发现问题，采取必要的防范措施，并定期关注防范措施实施效果。排查结果等情况要及时报告上级机构，并严格保密。</w:t>
      </w:r>
    </w:p>
    <w:p w14:paraId="4C2A14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组织业务风险自查自纠。基层网点主要负责人应将各项禁止性规定执行情况纳入日常检查范围，查找业务经营存在的突出问题和操作中的薄弱环节，做到边查边纠，查找彻底，纠正到位。每半年向上级机构报告相关检查、整改等情况。</w:t>
      </w:r>
    </w:p>
    <w:p w14:paraId="055D0A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及时上报各类案件及案件(风险)信息。基层网点主要负责人应根据《中国银监会关于印发银行业金融机构案件处置三项制度的通知》、《重大突发事件报告制度》等相关规定，及时、准确地上报各类案件(风险)、事件信息。</w:t>
      </w:r>
    </w:p>
    <w:p w14:paraId="5D6780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四、监督考评 各机构应采取适当方式，结合《上海银行业金融机构案件防控工作考评办法》，加强对本系统基层网点主要</w:t>
      </w:r>
      <w:proofErr w:type="gramStart"/>
      <w:r>
        <w:rPr>
          <w:rFonts w:ascii="宋体" w:eastAsia="宋体" w:hAnsi="宋体" w:cs="宋体" w:hint="eastAsia"/>
          <w:sz w:val="24"/>
        </w:rPr>
        <w:t>负责人案防日常</w:t>
      </w:r>
      <w:proofErr w:type="gramEnd"/>
      <w:r>
        <w:rPr>
          <w:rFonts w:ascii="宋体" w:eastAsia="宋体" w:hAnsi="宋体" w:cs="宋体" w:hint="eastAsia"/>
          <w:sz w:val="24"/>
        </w:rPr>
        <w:t>基础工作情况进行定期与不定期的监督、考核与评价。考评结果作为对</w:t>
      </w:r>
      <w:proofErr w:type="gramStart"/>
      <w:r>
        <w:rPr>
          <w:rFonts w:ascii="宋体" w:eastAsia="宋体" w:hAnsi="宋体" w:cs="宋体" w:hint="eastAsia"/>
          <w:sz w:val="24"/>
        </w:rPr>
        <w:t>该基层</w:t>
      </w:r>
      <w:proofErr w:type="gramEnd"/>
      <w:r>
        <w:rPr>
          <w:rFonts w:ascii="宋体" w:eastAsia="宋体" w:hAnsi="宋体" w:cs="宋体" w:hint="eastAsia"/>
          <w:sz w:val="24"/>
        </w:rPr>
        <w:t>网点案件防控能力、内控建设评价和年度考评的重要内容。</w:t>
      </w:r>
    </w:p>
    <w:p w14:paraId="66B3BF9B"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各机构应根据本《指导意见》，结合实际，制定基层网点主要</w:t>
      </w:r>
      <w:proofErr w:type="gramStart"/>
      <w:r>
        <w:rPr>
          <w:rFonts w:ascii="宋体" w:eastAsia="宋体" w:hAnsi="宋体" w:cs="宋体" w:hint="eastAsia"/>
          <w:sz w:val="24"/>
        </w:rPr>
        <w:t>负责人案防日常</w:t>
      </w:r>
      <w:proofErr w:type="gramEnd"/>
      <w:r>
        <w:rPr>
          <w:rFonts w:ascii="宋体" w:eastAsia="宋体" w:hAnsi="宋体" w:cs="宋体" w:hint="eastAsia"/>
          <w:sz w:val="24"/>
        </w:rPr>
        <w:t>基础工作细则，并于2013年4月底前，向上海银监局报备。</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18CA7F05"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87.《中国银监会办公厅关于防范外部风险传染的通知》</w:t>
      </w:r>
    </w:p>
    <w:p w14:paraId="2B7790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24FE96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文号：银监办发〔2013〕131号</w:t>
      </w:r>
      <w:r>
        <w:rPr>
          <w:rFonts w:ascii="宋体" w:eastAsia="宋体" w:hAnsi="宋体" w:cs="宋体" w:hint="eastAsia"/>
          <w:sz w:val="24"/>
        </w:rPr>
        <w:tab/>
      </w:r>
    </w:p>
    <w:p w14:paraId="55D624A2"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局，各政策性银行、国有商业银行、股份制商业银行，邮政储蓄银行，各省级农村信用联社：</w:t>
      </w:r>
    </w:p>
    <w:p w14:paraId="134834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近期，银行业外部风险事件时有发生，对银行业金融机构稳健运行产生一定影响。为规范银行经营管理，维护正常金融秩序，切实防范外部风险传染，现将有关要求通知如下：</w:t>
      </w:r>
    </w:p>
    <w:p w14:paraId="54119C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一、关注主要风险来源</w:t>
      </w:r>
    </w:p>
    <w:p w14:paraId="42A85B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银行业金融机构应重点关注银行业外部风险的五种主要来源：小贷公司、典当行、担保机构、民间融资、非法集资。</w:t>
      </w:r>
    </w:p>
    <w:p w14:paraId="4FBE9A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二、建立名单制</w:t>
      </w:r>
    </w:p>
    <w:p w14:paraId="5E3804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对小贷公司和融资性担保机构实行名单制管理，由总行统一确定合作机构准入标准，分支机构根据总行确定的标准提出合作名单，并报总行批准或向总行报备。银行业金融机构应对名单实行动态管理，每年至少评估一次，对存在违规行为和重大风险的合作机构建立及时退出机制。</w:t>
      </w:r>
    </w:p>
    <w:p w14:paraId="2601F0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三、开展资质信用评级</w:t>
      </w:r>
    </w:p>
    <w:p w14:paraId="3366BD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银行业金融机构应对有业务合作关系的小贷公司、融资性担保机构进行评级，评级应考虑但不限于注册资本、股权结构、公司治理、合</w:t>
      </w:r>
      <w:proofErr w:type="gramStart"/>
      <w:r>
        <w:rPr>
          <w:rFonts w:ascii="宋体" w:eastAsia="宋体" w:hAnsi="宋体" w:cs="宋体" w:hint="eastAsia"/>
          <w:sz w:val="24"/>
        </w:rPr>
        <w:t>规</w:t>
      </w:r>
      <w:proofErr w:type="gramEnd"/>
      <w:r>
        <w:rPr>
          <w:rFonts w:ascii="宋体" w:eastAsia="宋体" w:hAnsi="宋体" w:cs="宋体" w:hint="eastAsia"/>
          <w:sz w:val="24"/>
        </w:rPr>
        <w:t>经营、财务状况、信用记录等因素。</w:t>
      </w:r>
    </w:p>
    <w:p w14:paraId="077018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四、实行</w:t>
      </w:r>
      <w:proofErr w:type="gramStart"/>
      <w:r>
        <w:rPr>
          <w:rFonts w:ascii="宋体" w:eastAsia="宋体" w:hAnsi="宋体" w:cs="宋体" w:hint="eastAsia"/>
          <w:sz w:val="24"/>
        </w:rPr>
        <w:t>分级管理与授信</w:t>
      </w:r>
      <w:proofErr w:type="gramEnd"/>
    </w:p>
    <w:p w14:paraId="725B8E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银行业金融机构应根据信用评级情况，实行分级授信，对信用等级较高的机构可根据法规上限给予较高的授信额度，随着信用等级降低，授信额度逐级递减。严禁向典当行和非融资性担保机构提供授信。</w:t>
      </w:r>
    </w:p>
    <w:p w14:paraId="3D70C1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五、防范民间融资和非法集资风险</w:t>
      </w:r>
    </w:p>
    <w:p w14:paraId="29C2DF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是加强银行信贷资金流向监测，严防信贷资金流入民间融资和非法集资；二是密切关注信贷客户动态信息，对于存在明显迹象或已查实参与民间融资的信贷客户，一律不得新增授信；三是开展分支机构和员工行为排查，有效防范分支机构和员工参与民间借贷和非法融资。</w:t>
      </w:r>
    </w:p>
    <w:p w14:paraId="3404AF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六、实施统一管理</w:t>
      </w:r>
    </w:p>
    <w:p w14:paraId="32DB18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银行业金融机构应将外部风险防范纳入全面风险管理，各级机构要确定专门部门，牵头外部风险信息的收集、分析、汇总和报告。</w:t>
      </w:r>
    </w:p>
    <w:p w14:paraId="1A3BA2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七、建立风险处置机制</w:t>
      </w:r>
    </w:p>
    <w:p w14:paraId="7CDCE4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银行业金融机构应对潜在的外部风险因素及其影响进行提前</w:t>
      </w:r>
      <w:proofErr w:type="gramStart"/>
      <w:r>
        <w:rPr>
          <w:rFonts w:ascii="宋体" w:eastAsia="宋体" w:hAnsi="宋体" w:cs="宋体" w:hint="eastAsia"/>
          <w:sz w:val="24"/>
        </w:rPr>
        <w:t>研</w:t>
      </w:r>
      <w:proofErr w:type="gramEnd"/>
      <w:r>
        <w:rPr>
          <w:rFonts w:ascii="宋体" w:eastAsia="宋体" w:hAnsi="宋体" w:cs="宋体" w:hint="eastAsia"/>
          <w:sz w:val="24"/>
        </w:rPr>
        <w:t>判分析，建立规范化的外部风险监测、处置流程，制定充分的应对预案，加强分支机构风险处置工作指导，有效防范外部风险传染。</w:t>
      </w:r>
    </w:p>
    <w:p w14:paraId="413F5C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八、建立信息报送制度</w:t>
      </w:r>
    </w:p>
    <w:p w14:paraId="36C03B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银行业金融机构应于季后15日内将其上季对小贷公司授信情况、与融资性担保机构业务合作情况等，报送银监会或其派出机构。</w:t>
      </w:r>
    </w:p>
    <w:p w14:paraId="07C816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九、及时提示风险</w:t>
      </w:r>
    </w:p>
    <w:p w14:paraId="22230538"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局应加强对辖内银行业金融机构的监督检查和舆情监测，对重大外部风险事件及时进行提示，实现信息共享。</w:t>
      </w:r>
    </w:p>
    <w:p w14:paraId="348BE7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中国银行业监督管理委员会办公厅</w:t>
      </w:r>
    </w:p>
    <w:p w14:paraId="7638F46A"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2013年5月14日</w:t>
      </w:r>
    </w:p>
    <w:p w14:paraId="020587D7"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88.《银行业消费者权益保护工作指引》</w:t>
      </w:r>
    </w:p>
    <w:p w14:paraId="2938E4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068FA3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文号：银监发〔2013〕38号</w:t>
      </w:r>
    </w:p>
    <w:p w14:paraId="4F8EAA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2F423A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保护银行业消费者合法权益，维护公平、公正的市场环境，增强公众对银行业的市场信心，促进银行业健康发展，保持金融体系稳定，根据《中华人民共和国银行业监督管理法》、《中华人民共和国商业银行法》等法律法规，制定本指引。</w:t>
      </w:r>
    </w:p>
    <w:p w14:paraId="1ACBEA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在中国境内依法设立的银行业金融机构适用本指引。</w:t>
      </w:r>
    </w:p>
    <w:p w14:paraId="1BE706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本指引所称银行业消费者是指购买或使用银行业产品和接受银行业服务的自然人。</w:t>
      </w:r>
    </w:p>
    <w:p w14:paraId="08ED4C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本指引所称银行业消费者权益保护，是指银行业通过适当的程序和措施，推动实现银行业消费者在与银行业金融机构发生业务往来的各个阶段始终得到公平、公正和诚信的对待。</w:t>
      </w:r>
    </w:p>
    <w:p w14:paraId="12A719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银行业消费者权益保护工作应当坚持以人为本，坚持服务至上，坚持社会责任，</w:t>
      </w:r>
      <w:proofErr w:type="gramStart"/>
      <w:r>
        <w:rPr>
          <w:rFonts w:ascii="宋体" w:eastAsia="宋体" w:hAnsi="宋体" w:cs="宋体" w:hint="eastAsia"/>
          <w:sz w:val="24"/>
        </w:rPr>
        <w:t>践行</w:t>
      </w:r>
      <w:proofErr w:type="gramEnd"/>
      <w:r>
        <w:rPr>
          <w:rFonts w:ascii="宋体" w:eastAsia="宋体" w:hAnsi="宋体" w:cs="宋体" w:hint="eastAsia"/>
          <w:sz w:val="24"/>
        </w:rPr>
        <w:t>向银行业消费者公开信息的义务，履行公正对待银行业消费者的责任，遵从公平交易的原则，依法维护银行业消费者的合法权益。</w:t>
      </w:r>
    </w:p>
    <w:p w14:paraId="2F9C61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中国银监会及其派出机构依法对银行业金融机构消费者权益保护工作实施监督管理。</w:t>
      </w:r>
    </w:p>
    <w:p w14:paraId="1D5C7C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银行业金融机构是实施银行业消费者权益保护的工作主体。</w:t>
      </w:r>
    </w:p>
    <w:p w14:paraId="003137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银行业金融机构应当遵循依法合</w:t>
      </w:r>
      <w:proofErr w:type="gramStart"/>
      <w:r>
        <w:rPr>
          <w:rFonts w:ascii="宋体" w:eastAsia="宋体" w:hAnsi="宋体" w:cs="宋体" w:hint="eastAsia"/>
          <w:sz w:val="24"/>
        </w:rPr>
        <w:t>规</w:t>
      </w:r>
      <w:proofErr w:type="gramEnd"/>
      <w:r>
        <w:rPr>
          <w:rFonts w:ascii="宋体" w:eastAsia="宋体" w:hAnsi="宋体" w:cs="宋体" w:hint="eastAsia"/>
          <w:sz w:val="24"/>
        </w:rPr>
        <w:t>和内部自律原则，构建落实银行业消费者权益保护工作的体制机制，履行保护银行业消费者合法权益的义务。</w:t>
      </w:r>
    </w:p>
    <w:p w14:paraId="7B25A5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银行业消费者有权依法主张自身合法权益不受侵害，并对银行业金融机构消费者权益保护工作进行监督，提出批评和建议，对侵害自身合法权益的行为和相关人员进行检举和控告。</w:t>
      </w:r>
    </w:p>
    <w:p w14:paraId="6E3DB6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第二章 行为准则</w:t>
      </w:r>
    </w:p>
    <w:p w14:paraId="508062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银行业金融机构应当尊重银行业消费者的知情权和自主选择权，履行告知义务，不得在营销产品和服务过程中以任何方式隐瞒风险、夸大收益，或者进行强制性交易。</w:t>
      </w:r>
    </w:p>
    <w:p w14:paraId="685B64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银行业金融机构应当尊重银行业消费者的公平交易权，公平、公正制定格式合同和协议文本，不得出现误导、欺诈等侵害银行业消费者合法权益的条款。</w:t>
      </w:r>
    </w:p>
    <w:p w14:paraId="153729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银行业金融机构应当了解银行业消费者的风险偏好和风险承受能力，提供相应的产品和服务，不得主动提供与银行业消费者风险承受能力不相符合的产品和服务。</w:t>
      </w:r>
    </w:p>
    <w:p w14:paraId="003549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银行业金融机构应当尊重银行业消费者的个人金融信息安全权，采取有效措施加强对个人金融信息的保护，不得篡改、违法使用银行业消费者个人金融信息，不得在未经银行业消费者授权或同意的情况下向第三方提供个人金融信息。</w:t>
      </w:r>
    </w:p>
    <w:p w14:paraId="1747D2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银行业金融机构应当在产品销售过程中，严格</w:t>
      </w:r>
      <w:proofErr w:type="gramStart"/>
      <w:r>
        <w:rPr>
          <w:rFonts w:ascii="宋体" w:eastAsia="宋体" w:hAnsi="宋体" w:cs="宋体" w:hint="eastAsia"/>
          <w:sz w:val="24"/>
        </w:rPr>
        <w:t>区分自</w:t>
      </w:r>
      <w:proofErr w:type="gramEnd"/>
      <w:r>
        <w:rPr>
          <w:rFonts w:ascii="宋体" w:eastAsia="宋体" w:hAnsi="宋体" w:cs="宋体" w:hint="eastAsia"/>
          <w:sz w:val="24"/>
        </w:rPr>
        <w:t>有产品和代销产品，不得混淆、模糊两者性质向银行业消费者误导销售金融产品。</w:t>
      </w:r>
    </w:p>
    <w:p w14:paraId="395200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银行业金融机构应当严格遵守国家关于金融服务收费的各项规定，披露收费项目和标准，不得随意增加收费项目或提高收费标准。</w:t>
      </w:r>
    </w:p>
    <w:p w14:paraId="19DFD8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银行业金融机构应当坚持服务便利性原则，合理安排柜面窗口，缩减等候时间，不得无故拒绝银行业消费者合理的服务需求。</w:t>
      </w:r>
    </w:p>
    <w:p w14:paraId="3B907F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银行业金融机构应当尊重银行业消费者，照顾残疾人等特殊消费者的实际需要，尽量提供便利化服务，不得有歧视性行为。</w:t>
      </w:r>
    </w:p>
    <w:p w14:paraId="318158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制度保障</w:t>
      </w:r>
    </w:p>
    <w:p w14:paraId="4A2CA3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银行业金融机构应当加强银行业消费者权益保护工作的体制机制建设。</w:t>
      </w:r>
    </w:p>
    <w:p w14:paraId="2D8F1B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（一）银行业金融机构应当积极主动开展银行业消费者权益保护工作，明确</w:t>
      </w:r>
      <w:r>
        <w:rPr>
          <w:rFonts w:ascii="宋体" w:eastAsia="宋体" w:hAnsi="宋体" w:cs="宋体" w:hint="eastAsia"/>
          <w:sz w:val="24"/>
        </w:rPr>
        <w:lastRenderedPageBreak/>
        <w:t>将其纳入公司治理和企业文化建设，并体现在发展战略之中。</w:t>
      </w:r>
    </w:p>
    <w:p w14:paraId="661561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（二）银行业金融机构董（理）事会承担银行业消费者权益保护工作的最终责任。</w:t>
      </w:r>
    </w:p>
    <w:p w14:paraId="5D47AA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银行业金融机构董（理）事会负责制定银行业消费者权益保护工作的战略、政策和目标，</w:t>
      </w:r>
      <w:proofErr w:type="gramStart"/>
      <w:r>
        <w:rPr>
          <w:rFonts w:ascii="宋体" w:eastAsia="宋体" w:hAnsi="宋体" w:cs="宋体" w:hint="eastAsia"/>
          <w:sz w:val="24"/>
        </w:rPr>
        <w:t>督促高</w:t>
      </w:r>
      <w:proofErr w:type="gramEnd"/>
      <w:r>
        <w:rPr>
          <w:rFonts w:ascii="宋体" w:eastAsia="宋体" w:hAnsi="宋体" w:cs="宋体" w:hint="eastAsia"/>
          <w:sz w:val="24"/>
        </w:rPr>
        <w:t>管层有效执行和落实相关工作，定期听取高管层关于银行业消费者权益保护工作开展情况的专题报告，并将相关工作作为信息披露的重要内容。</w:t>
      </w:r>
    </w:p>
    <w:p w14:paraId="2163EB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银行业金融机构董（理）事会负责监督、评价银行业消费者权益保护工作的全面性、及时性、有效性以及高管层相关履职情况。</w:t>
      </w:r>
    </w:p>
    <w:p w14:paraId="1145DE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银行业金融机构董（理）事会可以授权下设的专门委员会履行以上部分职能。获得授权的委员会应当定期向董（理）事会提交有关报告。</w:t>
      </w:r>
    </w:p>
    <w:p w14:paraId="406D41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银行业金融机构高管层负责制定、定期审查和监督落实银行业消费者权益保护工作的措施、程序以及具体的操作规程，及时了解相关工作状况，并确保提供必要的资源支持，推动银行业消费者权益保护工作积极、有序开展。</w:t>
      </w:r>
    </w:p>
    <w:p w14:paraId="3A7D7B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银行业金融机构可以结合自身实际，设立由相关高级管理人员和有关部门主要负责人组成的银行业消费者权益保护工作委员会，统一规划、统筹部署整个机构的银行业消费者权益保护工作。</w:t>
      </w:r>
    </w:p>
    <w:p w14:paraId="7AFDFF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银行业金融机构应当设立或指定专门部门负责银行业消费者权益保护工作。银行业消费者权益保护职能部门应当具备开展相关工作的独立性、权威性和专业能力，并享有向董（理）事会、行长（主任）会议直接报告的途径。</w:t>
      </w:r>
    </w:p>
    <w:p w14:paraId="7D351F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（五）银行业金融机构消费者权益保护职能部门负责牵头组织、协调、督促、指导本级机构其他部门及下级机构开展银行业消费者权益保护工作。</w:t>
      </w:r>
    </w:p>
    <w:p w14:paraId="79F5EE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银行业金融机构应当建立健全银行业消费者权益保护工作制度体系，包括但不局限于如下内容：</w:t>
      </w:r>
    </w:p>
    <w:p w14:paraId="6ADE97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（一）银行业消费者权益保护工作组织架构和运行机制；</w:t>
      </w:r>
    </w:p>
    <w:p w14:paraId="78636A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（二）银行业消费者权益保护工作内部控制体系；</w:t>
      </w:r>
    </w:p>
    <w:p w14:paraId="19068F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（三）银行业产品和服务的信息披露规定；</w:t>
      </w:r>
    </w:p>
    <w:p w14:paraId="2BCB43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（四）银行业消费者投诉受理流程及处理程序；</w:t>
      </w:r>
    </w:p>
    <w:p w14:paraId="2FEEE9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（五）银行业消费者金融知识宣传教育框架安排；</w:t>
      </w:r>
    </w:p>
    <w:p w14:paraId="7B86AE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（六）银行业消费者权益保护工作报告体系；</w:t>
      </w:r>
    </w:p>
    <w:p w14:paraId="78D857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（七）银行业消费者权益保护工作监督考评制度；</w:t>
      </w:r>
    </w:p>
    <w:p w14:paraId="1EA35E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（八）银行业消费者权益保护工作重大突发事件应急预案；</w:t>
      </w:r>
    </w:p>
    <w:p w14:paraId="7C7195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银行业金融机构应当建立健全涉及银行业消费者权益保护工作的事前协调和管控机制，在产品和服务的设计开发、定价管理、协议制定、审批准入、营销推介及售后管理等各个业务环节，落实有关银行业消费者权益保护的内部规章和监管要求，使银行业消费者权益保护的措施在产品和服务进入市场前得以实施。</w:t>
      </w:r>
    </w:p>
    <w:p w14:paraId="2C77F8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银行业金融机构应当加强产品和服务信息的披露，并在产品和服务推介过程中主动向银行业消费者真实说明产品和服务的性质、收费情况、合同主要条款等内容，禁止欺诈性、误导性宣传，提高信息真实性和透明度，合理揭示产品风险，以便银行业消费者根据相关信息做出合理判断。</w:t>
      </w:r>
    </w:p>
    <w:p w14:paraId="117A3D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银行业金融机构应当积极开展员工教育和培训，帮助员工强化银行业消费者权益保护意识，理解本机构的银行业消费者权益保护工作政策和程序，提高服务技能，丰富专业知识，提升银行业消费者权益保护能力。</w:t>
      </w:r>
    </w:p>
    <w:p w14:paraId="19A5C4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银行业金融机构应当积极主动开展银行业金融知识宣传教育活动，通过提升公众的金融意识和金融素质，主动预防和化解潜在矛盾。</w:t>
      </w:r>
    </w:p>
    <w:p w14:paraId="0775E6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银行业金融机构应当为银行业消费者投诉提供必要的便利，实现各类投诉管理的统一化、规范化和系统化，确保投诉渠道畅通。</w:t>
      </w:r>
    </w:p>
    <w:p w14:paraId="510D20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（一）银行业金融机构应当在营业网点和门户网站醒目位置公布投诉方式和投诉流程。</w:t>
      </w:r>
    </w:p>
    <w:p w14:paraId="7FB100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（二）银行业金融机构应当做好投诉登记工作，并通过有效方式告知投诉者</w:t>
      </w:r>
      <w:r>
        <w:rPr>
          <w:rFonts w:ascii="宋体" w:eastAsia="宋体" w:hAnsi="宋体" w:cs="宋体" w:hint="eastAsia"/>
          <w:sz w:val="24"/>
        </w:rPr>
        <w:lastRenderedPageBreak/>
        <w:t>受理情况、处理时限和联系方式。</w:t>
      </w:r>
    </w:p>
    <w:p w14:paraId="446D94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银行业金融机构应当完善银行业消费者投诉处置工作机制，在规定时限内调查核实并及时处理银行业消费者投诉。对于确实存在问题的银行业产品和服务，应当采取措施进行补救或纠正；造成损失的，可以通过和解、调解、仲裁、诉讼等方式，根据有关法律法规或合同约定向银行业消费者进行赔偿或补偿。</w:t>
      </w:r>
    </w:p>
    <w:p w14:paraId="3AF370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银行业金融机构应当确保公平处理对同一产品和服务的投诉。</w:t>
      </w:r>
    </w:p>
    <w:p w14:paraId="2840A4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银行业金融机构应当加强对投诉处理结果的跟踪管理，定期汇总分析客户建议、集中投诉问题等信息，认真查找产品和服务的薄弱环节和风险隐患，督促有关部门从管理制度、运营机制、操作流程、协议文本等层面予以改进，切实维护银行业消费者合法权益。</w:t>
      </w:r>
    </w:p>
    <w:p w14:paraId="53039D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银行业金融机构应当制定银行业消费者权益保护工作考核评价体系，并将考评结果纳入机构内部综合考核评价指标体系当中。</w:t>
      </w:r>
    </w:p>
    <w:p w14:paraId="4CB527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银行业金融机构可以委托社会中介机构对其银行业消费者权益保护工作情况进行定期评估，提高银行业消费者权益保护工作的有效性。</w:t>
      </w:r>
    </w:p>
    <w:p w14:paraId="5CCC49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银行业金融机构内部审计职能部门应当定期对银行业消费者权益保护工作制度建设及执行情况进行独立的审查和评价。</w:t>
      </w:r>
    </w:p>
    <w:p w14:paraId="243A70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银行业金融机构应当完善银行业消费者权益保护工作的内部监督约束机制，强化对银行业消费者权益保护工作的内部规章和外部监管要求落实不力的责任追究，根据对银行业消费者合法权益造成侵害的严重程度或危害程度，采取必要的处罚措施，确保银行业消费者权益保护工作各项规定得以落实。</w:t>
      </w:r>
    </w:p>
    <w:p w14:paraId="70EDBC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银行业金融机构应当建立银行业消费者权益保护工作的应急响应机制，主动监测并处理涉及银行业消费者权益保护问题的重大负面舆情和突发事件，并及时报告银监会或其派出机构。</w:t>
      </w:r>
    </w:p>
    <w:p w14:paraId="6B6BDB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银行业金融机构应当定期总结本机构银行业消费者权益保护工作的开展情况，将工作计划及工作开展情况按照监管职责划分报送银监会及其派出</w:t>
      </w:r>
      <w:r>
        <w:rPr>
          <w:rFonts w:ascii="宋体" w:eastAsia="宋体" w:hAnsi="宋体" w:cs="宋体" w:hint="eastAsia"/>
          <w:sz w:val="24"/>
        </w:rPr>
        <w:lastRenderedPageBreak/>
        <w:t>机构。同时，应当通过适当方式，将银行业消费者权益保护工作开展情况定期向社会披露。</w:t>
      </w:r>
    </w:p>
    <w:p w14:paraId="23E07A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监督管理</w:t>
      </w:r>
    </w:p>
    <w:p w14:paraId="75BACB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银监会及其派出机构应当按照预防为先、教育为主、依法维权、协调处置的原则，在深入研究国内外金融领域消费者权益保护的良好实践，合理评估我国银行业消费者权益保护实施情况的基础上，制定银行业消费者权益保护工作的总体战略和制度规范，持续完善和健全相关监管体系。</w:t>
      </w:r>
    </w:p>
    <w:p w14:paraId="1A0CF4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银行业消费者权益保护工作是银行业监管工作的重要组成部分。银监会及其派出机构应当在市场准入、非现场监管、现场检查等各个监管环节充分体现、落实银行业消费者权益保护工作的理念和要求。</w:t>
      </w:r>
    </w:p>
    <w:p w14:paraId="7E13CF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银监会及其派出机构承担对银行业消费者权益保护工作的监管职责，通过采取风险监管与行为监管并重的措施和手段，督促银行业金融机构落实银行业消费者权益保护工作的各项要求。</w:t>
      </w:r>
    </w:p>
    <w:p w14:paraId="591385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银监会及其派出机构应当组织搭建银行业消费者保护工作的沟通交流平台，调动社会各界力量，利用现有机制和资源，推动构建银行业消费者权益保护的社会化网络，提高银行业消费者权益保护工作的有效性和时效性。</w:t>
      </w:r>
    </w:p>
    <w:p w14:paraId="5CECD5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银监会及其派出机构应当充分了解、核实银行业金融机构消费者权益保护体制机制建设情况、工作开展情况及实际效果；建立健全银行业金融机构消费者权益保护工作评估体系，并将考评结果纳入监管综合考评体系，与市场准入、非现场监管、现场检查等监管措施形成联动，督促银行业金融机构履行银行业消费者权益保护工作的主体责任。</w:t>
      </w:r>
    </w:p>
    <w:p w14:paraId="04D3E2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银监会及其派出机构应当对银行业金融机构消费者权益保护工作中存在的问题进行风险提示或提出监管意见。</w:t>
      </w:r>
    </w:p>
    <w:p w14:paraId="4F9619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银监会及其派出机构应当督促银行业金融机构对侵害银行业消费者合法权益的行为予以整改和问责。</w:t>
      </w:r>
    </w:p>
    <w:p w14:paraId="4C5FE8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银监会及其派出机构应当对经查实的侵害银行业消费者合法权</w:t>
      </w:r>
      <w:r>
        <w:rPr>
          <w:rFonts w:ascii="宋体" w:eastAsia="宋体" w:hAnsi="宋体" w:cs="宋体" w:hint="eastAsia"/>
          <w:sz w:val="24"/>
        </w:rPr>
        <w:lastRenderedPageBreak/>
        <w:t>益的银行业金融机构采取必要的监管措施，督促其纠正。</w:t>
      </w:r>
    </w:p>
    <w:p w14:paraId="165CF2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银监会及其派出机构应当根据需要对银行业金融机构侵害银行业消费者合法权益的违规行为以及纠正、处理情况予以通报。</w:t>
      </w:r>
    </w:p>
    <w:p w14:paraId="06CB50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银监会及其派出机构应当督促银行业金融机构妥善解决与银行业消费者之间的纠纷，并依法受理银行业消费者认为未得到银行业金融机构妥善处理的投诉，进行协调处理。</w:t>
      </w:r>
    </w:p>
    <w:p w14:paraId="40C8E4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银监会及其派出机构应当制定银行业消费者教育工作目标和方案，督促银行业金融机构将银行业知识宣传与消费者教育工作制度化。</w:t>
      </w:r>
    </w:p>
    <w:p w14:paraId="7601F7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附则</w:t>
      </w:r>
    </w:p>
    <w:p w14:paraId="447994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本指引由银监会负责解释。</w:t>
      </w:r>
    </w:p>
    <w:p w14:paraId="0752177F"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第四十三条 本指引自公布之日起施行。</w:t>
      </w:r>
    </w:p>
    <w:p w14:paraId="735C11BD"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89.《银行保险机构涉刑案件风险防控管理办法》</w:t>
      </w:r>
      <w:r>
        <w:rPr>
          <w:rFonts w:ascii="宋体" w:eastAsia="宋体" w:hAnsi="宋体" w:cs="宋体" w:hint="eastAsia"/>
          <w:b/>
          <w:bCs/>
          <w:sz w:val="24"/>
        </w:rPr>
        <w:tab/>
      </w:r>
    </w:p>
    <w:p w14:paraId="2E217F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发文机构：国家金融监督管理总局</w:t>
      </w:r>
      <w:r>
        <w:rPr>
          <w:rFonts w:ascii="宋体" w:eastAsia="宋体" w:hAnsi="宋体" w:cs="宋体" w:hint="eastAsia"/>
          <w:sz w:val="24"/>
        </w:rPr>
        <w:tab/>
      </w:r>
    </w:p>
    <w:p w14:paraId="561654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文号：金</w:t>
      </w:r>
      <w:proofErr w:type="gramStart"/>
      <w:r>
        <w:rPr>
          <w:rFonts w:ascii="宋体" w:eastAsia="宋体" w:hAnsi="宋体" w:cs="宋体" w:hint="eastAsia"/>
          <w:sz w:val="24"/>
        </w:rPr>
        <w:t>规</w:t>
      </w:r>
      <w:proofErr w:type="gramEnd"/>
      <w:r>
        <w:rPr>
          <w:rFonts w:ascii="宋体" w:eastAsia="宋体" w:hAnsi="宋体" w:cs="宋体" w:hint="eastAsia"/>
          <w:sz w:val="24"/>
        </w:rPr>
        <w:t>〔2023〕10号</w:t>
      </w:r>
    </w:p>
    <w:p w14:paraId="31ADD7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752BAA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为提高银行保险</w:t>
      </w:r>
      <w:proofErr w:type="gramStart"/>
      <w:r>
        <w:rPr>
          <w:rFonts w:ascii="宋体" w:eastAsia="宋体" w:hAnsi="宋体" w:cs="宋体" w:hint="eastAsia"/>
          <w:sz w:val="24"/>
        </w:rPr>
        <w:t>机构涉刑案件</w:t>
      </w:r>
      <w:proofErr w:type="gramEnd"/>
      <w:r>
        <w:rPr>
          <w:rFonts w:ascii="宋体" w:eastAsia="宋体" w:hAnsi="宋体" w:cs="宋体" w:hint="eastAsia"/>
          <w:sz w:val="24"/>
        </w:rPr>
        <w:t>（以下简称案件）风险防控水平，促进银行业保险业安全稳健运行，根据《中华人民共和国银行业监督管理法》《中华人民共和国商业银行法》《中华人民共和国保险法》等法律法规和其他相关规定，制定本办法。</w:t>
      </w:r>
    </w:p>
    <w:p w14:paraId="274383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本办法所称银行保险机构包括银行机构和保险机构。</w:t>
      </w:r>
    </w:p>
    <w:p w14:paraId="641DDB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银行机构，是指在中华人民共和国境内依法设立的商业银行、农村合作银行、农村信用合作社、村镇银行等吸收公众存款的金融机构以及政策性银行。</w:t>
      </w:r>
    </w:p>
    <w:p w14:paraId="686995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保险机构，是指在中华人民共和国境内依法设立的保险公司。</w:t>
      </w:r>
    </w:p>
    <w:p w14:paraId="35A9B0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银行保险机构案件风险防控的目标是健全案件风险防控组织架构，完善制度机制，全面加强内部控制和从业人员行为管理，不断提高案件风险防控水平，坚决有效预防违法犯罪。</w:t>
      </w:r>
    </w:p>
    <w:p w14:paraId="49DAF9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银行保险机构应当坚持党对金融工作的集中统一领导，坚决落实党中央关于金融工作的决策部署，充分发挥党建引领作用，持续强化风险内控建设，健全案件风险防控长效机制。</w:t>
      </w:r>
    </w:p>
    <w:p w14:paraId="70AC93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案件风险防控应当遵循以下原则：预防为主、关口前移，全面覆盖、突出重点，法人主责、分级负责，联防联控、各司其职，属地监管、融入日常。</w:t>
      </w:r>
    </w:p>
    <w:p w14:paraId="279E5B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银行保险机构承担本机构案件风险防控的主体责任。</w:t>
      </w:r>
    </w:p>
    <w:p w14:paraId="013111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国家金融监督管理总局（以下简称金融监管总局）及其派出机构依法对银行保险机构案件风险防控实施监督管理。</w:t>
      </w:r>
    </w:p>
    <w:p w14:paraId="527C71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中国银行业协会、中国保险行业协会等行业自律组织应当通过加强交流沟通、宣传教育等方式，协调、指导会员单位提高案件风险防控水平。</w:t>
      </w:r>
    </w:p>
    <w:p w14:paraId="0B1627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第二章 职责分工</w:t>
      </w:r>
    </w:p>
    <w:p w14:paraId="6BE6CA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银行保险机构应当建立与其经营范围、业务规模、风险状况、管理水平相适应的案件风险防控组织体系，明确董（理）事会、监事会、高级管理层等在案件风险防控中的职责分工。</w:t>
      </w:r>
    </w:p>
    <w:p w14:paraId="0FEE3B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银行保险机构董（理）事会承担案件风险防控最终责任。董（理）事会的主要职责包括：</w:t>
      </w:r>
    </w:p>
    <w:p w14:paraId="41652F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（一）推动健全本机构案件风险防控组织架构和制度机制；</w:t>
      </w:r>
    </w:p>
    <w:p w14:paraId="61E660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（二）督促高级管理</w:t>
      </w:r>
      <w:proofErr w:type="gramStart"/>
      <w:r>
        <w:rPr>
          <w:rFonts w:ascii="宋体" w:eastAsia="宋体" w:hAnsi="宋体" w:cs="宋体" w:hint="eastAsia"/>
          <w:sz w:val="24"/>
        </w:rPr>
        <w:t>层开展</w:t>
      </w:r>
      <w:proofErr w:type="gramEnd"/>
      <w:r>
        <w:rPr>
          <w:rFonts w:ascii="宋体" w:eastAsia="宋体" w:hAnsi="宋体" w:cs="宋体" w:hint="eastAsia"/>
          <w:sz w:val="24"/>
        </w:rPr>
        <w:t>案件风险防控工作；</w:t>
      </w:r>
    </w:p>
    <w:p w14:paraId="5E1690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（三）审议本机构年度案件风险防控评估等相关情况报告； </w:t>
      </w:r>
    </w:p>
    <w:p w14:paraId="22A320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（四）其他与案件风险防控有关的职责。</w:t>
      </w:r>
    </w:p>
    <w:p w14:paraId="672077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董（理）事会下设专门委员会的，可以授权专门委员会具体负责案件风险防控相关工作。未设立董（理）事会的银行保险机构，由执行董（理）</w:t>
      </w:r>
      <w:proofErr w:type="gramStart"/>
      <w:r>
        <w:rPr>
          <w:rFonts w:ascii="宋体" w:eastAsia="宋体" w:hAnsi="宋体" w:cs="宋体" w:hint="eastAsia"/>
          <w:sz w:val="24"/>
        </w:rPr>
        <w:t>事具体</w:t>
      </w:r>
      <w:proofErr w:type="gramEnd"/>
      <w:r>
        <w:rPr>
          <w:rFonts w:ascii="宋体" w:eastAsia="宋体" w:hAnsi="宋体" w:cs="宋体" w:hint="eastAsia"/>
          <w:sz w:val="24"/>
        </w:rPr>
        <w:t>负责董（理）事</w:t>
      </w:r>
      <w:proofErr w:type="gramStart"/>
      <w:r>
        <w:rPr>
          <w:rFonts w:ascii="宋体" w:eastAsia="宋体" w:hAnsi="宋体" w:cs="宋体" w:hint="eastAsia"/>
          <w:sz w:val="24"/>
        </w:rPr>
        <w:t>会案件</w:t>
      </w:r>
      <w:proofErr w:type="gramEnd"/>
      <w:r>
        <w:rPr>
          <w:rFonts w:ascii="宋体" w:eastAsia="宋体" w:hAnsi="宋体" w:cs="宋体" w:hint="eastAsia"/>
          <w:sz w:val="24"/>
        </w:rPr>
        <w:t>风险防控相关工作。</w:t>
      </w:r>
    </w:p>
    <w:p w14:paraId="63982B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设立监事会的银行保险机构，其监事会承担案件风险防控监督责任，负责监督董（理）事会和高级管理</w:t>
      </w:r>
      <w:proofErr w:type="gramStart"/>
      <w:r>
        <w:rPr>
          <w:rFonts w:ascii="宋体" w:eastAsia="宋体" w:hAnsi="宋体" w:cs="宋体" w:hint="eastAsia"/>
          <w:sz w:val="24"/>
        </w:rPr>
        <w:t>层案件</w:t>
      </w:r>
      <w:proofErr w:type="gramEnd"/>
      <w:r>
        <w:rPr>
          <w:rFonts w:ascii="宋体" w:eastAsia="宋体" w:hAnsi="宋体" w:cs="宋体" w:hint="eastAsia"/>
          <w:sz w:val="24"/>
        </w:rPr>
        <w:t>风险防控履职尽责情况。</w:t>
      </w:r>
    </w:p>
    <w:p w14:paraId="5FBC4E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未设立监事会的银行保险机构，由监事或承担监督职责的组织负责监督相关主体履职尽责情况。</w:t>
      </w:r>
    </w:p>
    <w:p w14:paraId="561ACF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银行保险机构高级管理</w:t>
      </w:r>
      <w:proofErr w:type="gramStart"/>
      <w:r>
        <w:rPr>
          <w:rFonts w:ascii="宋体" w:eastAsia="宋体" w:hAnsi="宋体" w:cs="宋体" w:hint="eastAsia"/>
          <w:sz w:val="24"/>
        </w:rPr>
        <w:t>层承担</w:t>
      </w:r>
      <w:proofErr w:type="gramEnd"/>
      <w:r>
        <w:rPr>
          <w:rFonts w:ascii="宋体" w:eastAsia="宋体" w:hAnsi="宋体" w:cs="宋体" w:hint="eastAsia"/>
          <w:sz w:val="24"/>
        </w:rPr>
        <w:t>案件风险防控执行责任。高级管理层的主要职责包括：</w:t>
      </w:r>
    </w:p>
    <w:p w14:paraId="5DA291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（一）建立适应本机构的案件风险防控组织架构，明确牵头部门、内设部门和分支机构在案件风险防控中的职责分工；</w:t>
      </w:r>
    </w:p>
    <w:p w14:paraId="40A7B9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（二）审议批准本机构案件风险防控相关制度，并监督检查执行情况；</w:t>
      </w:r>
    </w:p>
    <w:p w14:paraId="7D8DA4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（三）推动落实案件风险防控的各项监管要求；</w:t>
      </w:r>
    </w:p>
    <w:p w14:paraId="3DF789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（四）统筹组织案件风险排查与处置、从业人员行为管理工作；</w:t>
      </w:r>
    </w:p>
    <w:p w14:paraId="5C510C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（五）</w:t>
      </w:r>
      <w:proofErr w:type="gramStart"/>
      <w:r>
        <w:rPr>
          <w:rFonts w:ascii="宋体" w:eastAsia="宋体" w:hAnsi="宋体" w:cs="宋体" w:hint="eastAsia"/>
          <w:sz w:val="24"/>
        </w:rPr>
        <w:t>建立问</w:t>
      </w:r>
      <w:proofErr w:type="gramEnd"/>
      <w:r>
        <w:rPr>
          <w:rFonts w:ascii="宋体" w:eastAsia="宋体" w:hAnsi="宋体" w:cs="宋体" w:hint="eastAsia"/>
          <w:sz w:val="24"/>
        </w:rPr>
        <w:t>责机制，确保案件风险防控责任落实到位；  </w:t>
      </w:r>
    </w:p>
    <w:p w14:paraId="2C4D79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（六）动态全面掌握本机构案件风险防控情况，及时总结和评估本机构上一年度案件风险防控有效性，提出本年度案件风险防控重点任务，并向董（理）事会或董（理）事会专门委员会报告；</w:t>
      </w:r>
    </w:p>
    <w:p w14:paraId="332EE1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（七）其他与案件风险防控有关的职责。</w:t>
      </w:r>
    </w:p>
    <w:p w14:paraId="288FEA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银行保险机构应当指定一名高级管理人员协助行长（总经理、主任、总裁等）负责案件风险防控工作。</w:t>
      </w:r>
    </w:p>
    <w:p w14:paraId="342398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银行保险机构应当明确案件风险防控牵头部门，并由其履行以下主要职责：</w:t>
      </w:r>
    </w:p>
    <w:p w14:paraId="549C41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（一）拟定或组织拟定案件风险排查与处置、从业人员行为管理等案件风险</w:t>
      </w:r>
      <w:proofErr w:type="gramStart"/>
      <w:r>
        <w:rPr>
          <w:rFonts w:ascii="宋体" w:eastAsia="宋体" w:hAnsi="宋体" w:cs="宋体" w:hint="eastAsia"/>
          <w:sz w:val="24"/>
        </w:rPr>
        <w:t>防控制</w:t>
      </w:r>
      <w:proofErr w:type="gramEnd"/>
      <w:r>
        <w:rPr>
          <w:rFonts w:ascii="宋体" w:eastAsia="宋体" w:hAnsi="宋体" w:cs="宋体" w:hint="eastAsia"/>
          <w:sz w:val="24"/>
        </w:rPr>
        <w:t>度，并推动执行；</w:t>
      </w:r>
    </w:p>
    <w:p w14:paraId="09972C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（二）指导、督促内设部门和分支机构履行案件风险防控职责；</w:t>
      </w:r>
    </w:p>
    <w:p w14:paraId="078E33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（三）督导案件风险防控相关问题的整改和问责；</w:t>
      </w:r>
    </w:p>
    <w:p w14:paraId="754AFF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（四）协调推动案件风险防控信息化建设；</w:t>
      </w:r>
    </w:p>
    <w:p w14:paraId="594629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（五）分析</w:t>
      </w:r>
      <w:proofErr w:type="gramStart"/>
      <w:r>
        <w:rPr>
          <w:rFonts w:ascii="宋体" w:eastAsia="宋体" w:hAnsi="宋体" w:cs="宋体" w:hint="eastAsia"/>
          <w:sz w:val="24"/>
        </w:rPr>
        <w:t>研判本</w:t>
      </w:r>
      <w:proofErr w:type="gramEnd"/>
      <w:r>
        <w:rPr>
          <w:rFonts w:ascii="宋体" w:eastAsia="宋体" w:hAnsi="宋体" w:cs="宋体" w:hint="eastAsia"/>
          <w:sz w:val="24"/>
        </w:rPr>
        <w:t>机构案件风险防控形势，组织拟定和推动完成年度案件风险防控重点任务；</w:t>
      </w:r>
    </w:p>
    <w:p w14:paraId="73BCD0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（六）组织评估案件风险防控情况，并向高级管理层报告；</w:t>
      </w:r>
    </w:p>
    <w:p w14:paraId="2D88E4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（七）指导和组织开展案件风险防控培训教育；</w:t>
      </w:r>
    </w:p>
    <w:p w14:paraId="77A614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（八）其他与案件风险防控牵头管理有关的职责。</w:t>
      </w:r>
    </w:p>
    <w:p w14:paraId="396856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银行保险机构内设部门和分支机构对其职责范围内的案件风险防控工作承担直接责任，并履行以下主要职责：</w:t>
      </w:r>
    </w:p>
    <w:p w14:paraId="72D226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（一）开展本条线、本机构案件风险排查与处置工作；</w:t>
      </w:r>
    </w:p>
    <w:p w14:paraId="03296A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（二）开展本条线、本机构从业人员行为管理工作；</w:t>
      </w:r>
    </w:p>
    <w:p w14:paraId="66ECC9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（三）开展本条线、本机构案件风险防控相关问题的整改工作；</w:t>
      </w:r>
    </w:p>
    <w:p w14:paraId="24F56F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（四）在本条线、本机构职责范围内加强案件风险防控信息化建设；</w:t>
      </w:r>
    </w:p>
    <w:p w14:paraId="76B97D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（五）开展本条线、本机构案件风险防控培训教育；</w:t>
      </w:r>
    </w:p>
    <w:p w14:paraId="450DD1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（六）配合案件风险防控牵头部门开展相关工作。</w:t>
      </w:r>
    </w:p>
    <w:p w14:paraId="3E3D6F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银行保险机构内部审计部门应当将案件风险防控工作纳入审计范围，明确审计内容、报告路径等事项，及时报告审计发现的问题，提出改进建议，并督促问题整改和问责。</w:t>
      </w:r>
    </w:p>
    <w:p w14:paraId="55DC78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银行保险机构总部案件风险防控牵头部门应当配备与其机构业务规模、管理水平和案件风险状况相适应的案件风险防控专职人员。</w:t>
      </w:r>
    </w:p>
    <w:p w14:paraId="060FBB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分支机构应当设立案件风险防控岗位并指定人员负责案件风险防控工作。</w:t>
      </w:r>
    </w:p>
    <w:p w14:paraId="24953D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银行保险机构应当加强专业人才队伍建设，定期开展系统性案件风险防控培训教育，提高相关人员业务素质和</w:t>
      </w:r>
      <w:proofErr w:type="gramStart"/>
      <w:r>
        <w:rPr>
          <w:rFonts w:ascii="宋体" w:eastAsia="宋体" w:hAnsi="宋体" w:cs="宋体" w:hint="eastAsia"/>
          <w:sz w:val="24"/>
        </w:rPr>
        <w:t>履职能</w:t>
      </w:r>
      <w:proofErr w:type="gramEnd"/>
      <w:r>
        <w:rPr>
          <w:rFonts w:ascii="宋体" w:eastAsia="宋体" w:hAnsi="宋体" w:cs="宋体" w:hint="eastAsia"/>
          <w:sz w:val="24"/>
        </w:rPr>
        <w:t>力。</w:t>
      </w:r>
    </w:p>
    <w:p w14:paraId="0C6DE4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任务要求</w:t>
      </w:r>
    </w:p>
    <w:p w14:paraId="6ED8A4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银行保险机构应当建立健全案件风险防控机制，构建起覆盖案件风险排查与处置、从业人员行为管理、领导干部监督、内部监督检查、追责问责、问题整改、举报处理、考核奖励、培训教育等环节的全链条防控体系。前瞻</w:t>
      </w:r>
      <w:proofErr w:type="gramStart"/>
      <w:r>
        <w:rPr>
          <w:rFonts w:ascii="宋体" w:eastAsia="宋体" w:hAnsi="宋体" w:cs="宋体" w:hint="eastAsia"/>
          <w:sz w:val="24"/>
        </w:rPr>
        <w:t>研判本</w:t>
      </w:r>
      <w:proofErr w:type="gramEnd"/>
      <w:r>
        <w:rPr>
          <w:rFonts w:ascii="宋体" w:eastAsia="宋体" w:hAnsi="宋体" w:cs="宋体" w:hint="eastAsia"/>
          <w:sz w:val="24"/>
        </w:rPr>
        <w:t>机构案件风险防控重点领域，针对性完善案件风险防控重点措施，持续加大信息化建设力度，及时开展案件风险防控评估。 </w:t>
      </w:r>
    </w:p>
    <w:p w14:paraId="0833C3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银行保险机构应当制定案件风险排查与处置制度，确定案件风险排查的范围、内容、频率等事项，建立健全客户准入、岗位准入、业务处理、决策审批等关键环节的常态化风险排查与处置机制。</w:t>
      </w:r>
    </w:p>
    <w:p w14:paraId="44E734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对于案件风险排查中发现的问题隐患和线索疑点，银行保险机构应当及时规范处置。</w:t>
      </w:r>
    </w:p>
    <w:p w14:paraId="74D976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发现涉嫌违法犯罪情形的，银行保险机构应当及时移送公安机关等有权部门处理，并积极配合查清违法犯罪事实。</w:t>
      </w:r>
    </w:p>
    <w:p w14:paraId="55965B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银行保险机构应当制定从业人员行为管理制度，健全从业人员职</w:t>
      </w:r>
      <w:r>
        <w:rPr>
          <w:rFonts w:ascii="宋体" w:eastAsia="宋体" w:hAnsi="宋体" w:cs="宋体" w:hint="eastAsia"/>
          <w:sz w:val="24"/>
        </w:rPr>
        <w:lastRenderedPageBreak/>
        <w:t>业操守和行为规范，依法依规强化异常行为监测和排查。</w:t>
      </w:r>
    </w:p>
    <w:p w14:paraId="044EC8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银行保险机构应当加强对劳务派遣人员、保险销售人员的管理，并督促合作机构加强第三</w:t>
      </w:r>
      <w:proofErr w:type="gramStart"/>
      <w:r>
        <w:rPr>
          <w:rFonts w:ascii="宋体" w:eastAsia="宋体" w:hAnsi="宋体" w:cs="宋体" w:hint="eastAsia"/>
          <w:sz w:val="24"/>
        </w:rPr>
        <w:t>方服务</w:t>
      </w:r>
      <w:proofErr w:type="gramEnd"/>
      <w:r>
        <w:rPr>
          <w:rFonts w:ascii="宋体" w:eastAsia="宋体" w:hAnsi="宋体" w:cs="宋体" w:hint="eastAsia"/>
          <w:sz w:val="24"/>
        </w:rPr>
        <w:t>人员管理。</w:t>
      </w:r>
    </w:p>
    <w:p w14:paraId="5D6E14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国有和国有控股银行保险机构应当加强对“一把手”和领导班子的监督，严格落实领导干部选拔任用、个人事项报告、履职回避、因私出国（境）、领导干部家属从业行为、经济责任审计、绩效薪酬延期支付和追索扣回等规定。</w:t>
      </w:r>
    </w:p>
    <w:p w14:paraId="6311F8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其他银行保险机构可以参照前款规定加强对董（理）事、监事和高级管理人员的监督。</w:t>
      </w:r>
    </w:p>
    <w:p w14:paraId="437375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银行保险机构各级管理人员任职谈话、工作述职中应当包含案件风险防控内容。对案件风险防控薄弱的部门负责人和下级机构负责人，应当及时开展专项约谈。</w:t>
      </w:r>
    </w:p>
    <w:p w14:paraId="3F77AF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银行保险机构应当在内部监督检查制度中建立健全监督和检查案件风险防控的相关机制，组织开展相关条线和各级机构案件风险防控内部监督检查，并重点加大对基层网点、关键岗位、案件易发部位和薄弱环节的监督检查力度。</w:t>
      </w:r>
    </w:p>
    <w:p w14:paraId="6D8E8F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银行保险机构应当健全内部问责机制，坚持尽职免责、失职追责，对案件风险防控相关制度不完善或执行不到位、案件风险应处置未处置或处置不当、管理失职及内部控制失效等违规、失职、渎职行为，严肃开展责任认定，追究相关机构和个人责任。</w:t>
      </w:r>
    </w:p>
    <w:p w14:paraId="113139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对于内外部审计、内外部监督检查中发现的案件风险防控问题，银行保险机构应当实行整改跟踪管理，严防类似问题发生。</w:t>
      </w:r>
    </w:p>
    <w:p w14:paraId="286DEF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银行保险机构应当及时系统梳理本机构案件暴露出的规章制度、操作流程和信息系统的缺陷和漏洞，并组织实施整改。</w:t>
      </w:r>
    </w:p>
    <w:p w14:paraId="1C85B0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银行保险机构应当在举报处理制度中建立健全案件风险线索发现查处机制，有效甄别举报中反映的违法违规事项，及时采取措施处置和化解案件风险隐患。</w:t>
      </w:r>
    </w:p>
    <w:p w14:paraId="4FCE7B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第二十五条  银行保险机构应当将案件风险防控作为绩效考核的重要内容，注重过程考核，鼓励各级机构主动排查、尽早暴露、前瞻防控案件风险。对案件风险防控成效突出、有效堵截案件、主动抵制或检举违法违规行为的机构和个人予以奖励。</w:t>
      </w:r>
    </w:p>
    <w:p w14:paraId="3F6E3E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银行保险机构应当全面加强案件风险防控的业务培训。相关岗位培训、技能考核等应当包含案件风险防控内容。</w:t>
      </w:r>
    </w:p>
    <w:p w14:paraId="034E85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银行保险机构应当定期组织开展案件警示教育活动。通过以案说法、以案为鉴、</w:t>
      </w:r>
      <w:proofErr w:type="gramStart"/>
      <w:r>
        <w:rPr>
          <w:rFonts w:ascii="宋体" w:eastAsia="宋体" w:hAnsi="宋体" w:cs="宋体" w:hint="eastAsia"/>
          <w:sz w:val="24"/>
        </w:rPr>
        <w:t>以案促治</w:t>
      </w:r>
      <w:proofErr w:type="gramEnd"/>
      <w:r>
        <w:rPr>
          <w:rFonts w:ascii="宋体" w:eastAsia="宋体" w:hAnsi="宋体" w:cs="宋体" w:hint="eastAsia"/>
          <w:sz w:val="24"/>
        </w:rPr>
        <w:t>，增强从业人员案件风险防控意识和合</w:t>
      </w:r>
      <w:proofErr w:type="gramStart"/>
      <w:r>
        <w:rPr>
          <w:rFonts w:ascii="宋体" w:eastAsia="宋体" w:hAnsi="宋体" w:cs="宋体" w:hint="eastAsia"/>
          <w:sz w:val="24"/>
        </w:rPr>
        <w:t>规</w:t>
      </w:r>
      <w:proofErr w:type="gramEnd"/>
      <w:r>
        <w:rPr>
          <w:rFonts w:ascii="宋体" w:eastAsia="宋体" w:hAnsi="宋体" w:cs="宋体" w:hint="eastAsia"/>
          <w:sz w:val="24"/>
        </w:rPr>
        <w:t>经营自觉，积极营造良好的清廉金融文化氛围。</w:t>
      </w:r>
    </w:p>
    <w:p w14:paraId="765552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银行保险机构应当将本机构发生</w:t>
      </w:r>
      <w:proofErr w:type="gramStart"/>
      <w:r>
        <w:rPr>
          <w:rFonts w:ascii="宋体" w:eastAsia="宋体" w:hAnsi="宋体" w:cs="宋体" w:hint="eastAsia"/>
          <w:sz w:val="24"/>
        </w:rPr>
        <w:t>的涉刑案件</w:t>
      </w:r>
      <w:proofErr w:type="gramEnd"/>
      <w:r>
        <w:rPr>
          <w:rFonts w:ascii="宋体" w:eastAsia="宋体" w:hAnsi="宋体" w:cs="宋体" w:hint="eastAsia"/>
          <w:sz w:val="24"/>
        </w:rPr>
        <w:t>作为业务培训和警示教育重点内容。</w:t>
      </w:r>
    </w:p>
    <w:p w14:paraId="424E7F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银行保险机构应当依据本机构经营特点，充分识别重点领域案件风险点的表现形式，包括但不限于信贷业务、创新业务、资产处置业务、信用卡业务、保函业务、同业业务、资产管理业务、柜面业务、资本市场业务、债券市场业务、网络和信息安全、安全保卫、保险展业、保险理赔等领域。</w:t>
      </w:r>
    </w:p>
    <w:p w14:paraId="588763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银行保险机构应当不断提高内部控制有效性，持续完善案件风险防控重点措施，确保案件风险整体可控,包括但不限于股东股权和关联交易管理、分级授权体系和权限管理、重要岗位轮岗和强制休假管理、账户对账和异常交易账户管理、重要印章凭证管理等。</w:t>
      </w:r>
    </w:p>
    <w:p w14:paraId="5CFE50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银行保险机构应当加大案件风险防控信息化建设力度，推动内设部门和分支机构持续优化业务流程，加强大数据分析、人工智能等信息技术应用，强化关键业务环节和内控措施的系统控制，不断提升主动防范、识别、监测、处置案件风险的能力。</w:t>
      </w:r>
    </w:p>
    <w:p w14:paraId="236D7F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银行保险机构应当建立健全案件风险防控评估机制，对照本办法要求，结合本机构实际情况，及时、全面、准确评估本机构案件风险防控有效性。评估事项包括但不限于以下内容：</w:t>
      </w:r>
    </w:p>
    <w:p w14:paraId="3AB91F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（一）案件风险防控组织架构；</w:t>
      </w:r>
    </w:p>
    <w:p w14:paraId="6AE87E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（二）制度机制建设和落实情况；</w:t>
      </w:r>
    </w:p>
    <w:p w14:paraId="744413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（三）案件风险重点领域</w:t>
      </w:r>
      <w:proofErr w:type="gramStart"/>
      <w:r>
        <w:rPr>
          <w:rFonts w:ascii="宋体" w:eastAsia="宋体" w:hAnsi="宋体" w:cs="宋体" w:hint="eastAsia"/>
          <w:sz w:val="24"/>
        </w:rPr>
        <w:t>研</w:t>
      </w:r>
      <w:proofErr w:type="gramEnd"/>
      <w:r>
        <w:rPr>
          <w:rFonts w:ascii="宋体" w:eastAsia="宋体" w:hAnsi="宋体" w:cs="宋体" w:hint="eastAsia"/>
          <w:sz w:val="24"/>
        </w:rPr>
        <w:t>判情况；</w:t>
      </w:r>
    </w:p>
    <w:p w14:paraId="72B174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（四）案件风险重点防控措施执行情况；</w:t>
      </w:r>
    </w:p>
    <w:p w14:paraId="1CDBE0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（五）案件风险排查与处置情况；</w:t>
      </w:r>
    </w:p>
    <w:p w14:paraId="3A416A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（六）从业人员行为管理情况；</w:t>
      </w:r>
    </w:p>
    <w:p w14:paraId="7A8FE6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（七）案件风险暴露及查处问责情况；</w:t>
      </w:r>
    </w:p>
    <w:p w14:paraId="7D869C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（八）年内发生案件的内设部门、分支机构或所涉业务领域完善制度、改进流程、优化系统等整改措施及成效；</w:t>
      </w:r>
    </w:p>
    <w:p w14:paraId="301DF6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（九）上一年度评估发现问题的整改落实情况，本年度案件风险防控存在的主要问题及改进措施。</w:t>
      </w:r>
    </w:p>
    <w:p w14:paraId="089564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银行保险机构应当于每年3月31日前，按照对应的监管权限，将案件风险防控评估情况向金融监管总局或其派出机构报告。</w:t>
      </w:r>
    </w:p>
    <w:p w14:paraId="662AC9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监督管理</w:t>
      </w:r>
    </w:p>
    <w:p w14:paraId="127FB6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金融监管总局及其派出机构应当将银行保险机构案件风险防控作为日常监管的重要内容，通过非现场监管、现场检查等方式加强案件风险防控监督管理。</w:t>
      </w:r>
    </w:p>
    <w:p w14:paraId="487C64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金融监管总局及其派出机构案件管理部门承担归口管理和协调推动责任。</w:t>
      </w:r>
    </w:p>
    <w:p w14:paraId="672BCD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金融监管总局机构监管部门、功能监管部门和各级派出机构承担银行保险机构案件风险防控的日常监管职责。</w:t>
      </w:r>
    </w:p>
    <w:p w14:paraId="168895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金融监管总局及其派出机构应当采用风险提示、专题沟通、监管会谈等方式，对银行保险机构案件风险防控实施非现场监管，并将案件风险防控情况作为监管评级的重要</w:t>
      </w:r>
      <w:proofErr w:type="gramStart"/>
      <w:r>
        <w:rPr>
          <w:rFonts w:ascii="宋体" w:eastAsia="宋体" w:hAnsi="宋体" w:cs="宋体" w:hint="eastAsia"/>
          <w:sz w:val="24"/>
        </w:rPr>
        <w:t>考量</w:t>
      </w:r>
      <w:proofErr w:type="gramEnd"/>
      <w:r>
        <w:rPr>
          <w:rFonts w:ascii="宋体" w:eastAsia="宋体" w:hAnsi="宋体" w:cs="宋体" w:hint="eastAsia"/>
          <w:sz w:val="24"/>
        </w:rPr>
        <w:t>因素。</w:t>
      </w:r>
    </w:p>
    <w:p w14:paraId="10E11D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金融监管总局及其派出机构应当及时</w:t>
      </w:r>
      <w:proofErr w:type="gramStart"/>
      <w:r>
        <w:rPr>
          <w:rFonts w:ascii="宋体" w:eastAsia="宋体" w:hAnsi="宋体" w:cs="宋体" w:hint="eastAsia"/>
          <w:sz w:val="24"/>
        </w:rPr>
        <w:t>研判并</w:t>
      </w:r>
      <w:proofErr w:type="gramEnd"/>
      <w:r>
        <w:rPr>
          <w:rFonts w:ascii="宋体" w:eastAsia="宋体" w:hAnsi="宋体" w:cs="宋体" w:hint="eastAsia"/>
          <w:sz w:val="24"/>
        </w:rPr>
        <w:t>跟踪监测银行保险机构案件风险变化趋势，并对案件风险较高的机构实施重点监管。</w:t>
      </w:r>
    </w:p>
    <w:p w14:paraId="273E33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第三十四条  金融监管总局及其派出机构应当依据银行保险机构的非现场监管情况，对案件风险防控薄弱、风险较为突出的银行保险机构，适时开展风险排查或现场检查。</w:t>
      </w:r>
    </w:p>
    <w:p w14:paraId="183942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金融监管总局及其派出机构发现银行保险机构案件风险防控存在问题的，应当依法视具体情况采取以下监管措施：</w:t>
      </w:r>
    </w:p>
    <w:p w14:paraId="67B26A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（一）责令限期改正，并在规定时限内报告整改落实情况；</w:t>
      </w:r>
    </w:p>
    <w:p w14:paraId="42B556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（二）纳入年度监管通报，提出专项工作要求；</w:t>
      </w:r>
    </w:p>
    <w:p w14:paraId="41B44E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（三）对法人机构或分支机构负责人进行监管约谈；</w:t>
      </w:r>
    </w:p>
    <w:p w14:paraId="3D3EF8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（四）责令机构开展内部问责；</w:t>
      </w:r>
    </w:p>
    <w:p w14:paraId="33CBF4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（五）向有关单位或部门进行通报；</w:t>
      </w:r>
    </w:p>
    <w:p w14:paraId="327C8D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（六）动态调整监管评级；</w:t>
      </w:r>
    </w:p>
    <w:p w14:paraId="6F581B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（七）适时开展监管评估;</w:t>
      </w:r>
    </w:p>
    <w:p w14:paraId="22335C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（八）其他监管措施。</w:t>
      </w:r>
    </w:p>
    <w:p w14:paraId="276FEC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银行保险机构应当按照本办法开展案件风险防控工作。违反本办法规定，造成不良后果的，由金融监管总局及其派出机构依据《中华人民共和国银行业监督管理法》《中华人民共和国商业银行法》《中华人民共和国保险法》等法律法规和其他相关规定予以行政处罚。</w:t>
      </w:r>
    </w:p>
    <w:p w14:paraId="0BD929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附 则</w:t>
      </w:r>
    </w:p>
    <w:p w14:paraId="251472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有关案件定义，适用《中国银保监会关于印发银行保险机构涉刑案件管理办法（试行）的通知》（银保监发〔2020〕20号）。</w:t>
      </w:r>
    </w:p>
    <w:p w14:paraId="1C696A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在中华人民共和国境内依法设立的信托公司、金融资产管理公司、企业集团财务公司、金融租赁公司、汽车金融公司、货币经纪公司、消费金融公司，保险集团（控股）公司、再保险公司、保险专业中介机构、保险资产管理公司，外国及港澳台银行保险机构，以及金融监管总局批准设立的其他金融机构，参照本办法执行。</w:t>
      </w:r>
    </w:p>
    <w:p w14:paraId="131F90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第三十九条  本办法由金融监管总局负责解释。金融监管总局派出机构可以依据本办法制定实施细则，并</w:t>
      </w:r>
      <w:proofErr w:type="gramStart"/>
      <w:r>
        <w:rPr>
          <w:rFonts w:ascii="宋体" w:eastAsia="宋体" w:hAnsi="宋体" w:cs="宋体" w:hint="eastAsia"/>
          <w:sz w:val="24"/>
        </w:rPr>
        <w:t>报金融</w:t>
      </w:r>
      <w:proofErr w:type="gramEnd"/>
      <w:r>
        <w:rPr>
          <w:rFonts w:ascii="宋体" w:eastAsia="宋体" w:hAnsi="宋体" w:cs="宋体" w:hint="eastAsia"/>
          <w:sz w:val="24"/>
        </w:rPr>
        <w:t>监管总局案件管理部门备案。</w:t>
      </w:r>
    </w:p>
    <w:p w14:paraId="3D0480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本办法自2024年1月1日起施行。此前有关规定与本办法不一致的，以本办法为准。《中国银监会办公厅关于印发银行业金融机构案防工作办法的通知》（银监办发〔2013〕257号）同时废止。</w:t>
      </w:r>
    </w:p>
    <w:p w14:paraId="70D17D2C" w14:textId="77777777" w:rsidR="00F50CD8" w:rsidRDefault="00F50CD8">
      <w:pPr>
        <w:spacing w:afterLines="50" w:after="156" w:line="360" w:lineRule="auto"/>
        <w:ind w:firstLineChars="200" w:firstLine="480"/>
        <w:rPr>
          <w:rFonts w:ascii="宋体" w:eastAsia="宋体" w:hAnsi="宋体" w:cs="宋体" w:hint="eastAsia"/>
          <w:sz w:val="24"/>
        </w:rPr>
      </w:pPr>
    </w:p>
    <w:p w14:paraId="2FBBF2BA" w14:textId="77777777" w:rsidR="00F50CD8" w:rsidRDefault="00F50CD8">
      <w:pPr>
        <w:spacing w:afterLines="50" w:after="156" w:line="360" w:lineRule="auto"/>
        <w:ind w:firstLineChars="200" w:firstLine="480"/>
        <w:rPr>
          <w:rFonts w:ascii="宋体" w:eastAsia="宋体" w:hAnsi="宋体" w:cs="宋体" w:hint="eastAsia"/>
          <w:sz w:val="24"/>
        </w:rPr>
      </w:pPr>
    </w:p>
    <w:p w14:paraId="585B9938" w14:textId="77777777" w:rsidR="00F50CD8" w:rsidRDefault="00F50CD8">
      <w:pPr>
        <w:spacing w:afterLines="50" w:after="156" w:line="360" w:lineRule="auto"/>
        <w:ind w:firstLineChars="200" w:firstLine="480"/>
        <w:rPr>
          <w:rFonts w:ascii="宋体" w:eastAsia="宋体" w:hAnsi="宋体" w:cs="宋体" w:hint="eastAsia"/>
          <w:sz w:val="24"/>
        </w:rPr>
      </w:pPr>
    </w:p>
    <w:p w14:paraId="4D11D667" w14:textId="77777777" w:rsidR="00F50CD8" w:rsidRDefault="00F50CD8">
      <w:pPr>
        <w:spacing w:afterLines="50" w:after="156" w:line="360" w:lineRule="auto"/>
        <w:ind w:firstLineChars="200" w:firstLine="480"/>
        <w:rPr>
          <w:rFonts w:ascii="宋体" w:eastAsia="宋体" w:hAnsi="宋体" w:cs="宋体" w:hint="eastAsia"/>
          <w:sz w:val="24"/>
        </w:rPr>
      </w:pPr>
    </w:p>
    <w:p w14:paraId="405B1E2F" w14:textId="77777777" w:rsidR="00F50CD8" w:rsidRDefault="00F50CD8">
      <w:pPr>
        <w:spacing w:afterLines="50" w:after="156" w:line="360" w:lineRule="auto"/>
        <w:ind w:firstLineChars="200" w:firstLine="480"/>
        <w:rPr>
          <w:rFonts w:ascii="宋体" w:eastAsia="宋体" w:hAnsi="宋体" w:cs="宋体" w:hint="eastAsia"/>
          <w:sz w:val="24"/>
        </w:rPr>
      </w:pPr>
    </w:p>
    <w:p w14:paraId="02A1D914" w14:textId="77777777" w:rsidR="00F50CD8" w:rsidRDefault="00F50CD8">
      <w:pPr>
        <w:spacing w:afterLines="50" w:after="156" w:line="360" w:lineRule="auto"/>
        <w:ind w:firstLineChars="200" w:firstLine="480"/>
        <w:rPr>
          <w:rFonts w:ascii="宋体" w:eastAsia="宋体" w:hAnsi="宋体" w:cs="宋体" w:hint="eastAsia"/>
          <w:sz w:val="24"/>
        </w:rPr>
      </w:pPr>
    </w:p>
    <w:p w14:paraId="16118C3D" w14:textId="77777777" w:rsidR="00F50CD8" w:rsidRDefault="00F50CD8">
      <w:pPr>
        <w:spacing w:afterLines="50" w:after="156" w:line="360" w:lineRule="auto"/>
        <w:ind w:firstLineChars="200" w:firstLine="480"/>
        <w:rPr>
          <w:rFonts w:ascii="宋体" w:eastAsia="宋体" w:hAnsi="宋体" w:cs="宋体" w:hint="eastAsia"/>
          <w:sz w:val="24"/>
        </w:rPr>
      </w:pPr>
    </w:p>
    <w:p w14:paraId="3A3DCDF0" w14:textId="77777777" w:rsidR="00F50CD8" w:rsidRDefault="00F50CD8">
      <w:pPr>
        <w:spacing w:afterLines="50" w:after="156" w:line="360" w:lineRule="auto"/>
        <w:ind w:firstLineChars="200" w:firstLine="480"/>
        <w:rPr>
          <w:rFonts w:ascii="宋体" w:eastAsia="宋体" w:hAnsi="宋体" w:cs="宋体" w:hint="eastAsia"/>
          <w:sz w:val="24"/>
        </w:rPr>
      </w:pPr>
    </w:p>
    <w:p w14:paraId="70124F7E" w14:textId="77777777" w:rsidR="00F50CD8" w:rsidRDefault="00F50CD8">
      <w:pPr>
        <w:spacing w:afterLines="50" w:after="156" w:line="360" w:lineRule="auto"/>
        <w:ind w:firstLineChars="200" w:firstLine="480"/>
        <w:rPr>
          <w:rFonts w:ascii="宋体" w:eastAsia="宋体" w:hAnsi="宋体" w:cs="宋体" w:hint="eastAsia"/>
          <w:sz w:val="24"/>
        </w:rPr>
      </w:pPr>
    </w:p>
    <w:p w14:paraId="098096C7" w14:textId="77777777" w:rsidR="00F50CD8" w:rsidRDefault="00F50CD8">
      <w:pPr>
        <w:spacing w:afterLines="50" w:after="156" w:line="360" w:lineRule="auto"/>
        <w:ind w:firstLineChars="200" w:firstLine="480"/>
        <w:rPr>
          <w:rFonts w:ascii="宋体" w:eastAsia="宋体" w:hAnsi="宋体" w:cs="宋体" w:hint="eastAsia"/>
          <w:sz w:val="24"/>
        </w:rPr>
      </w:pPr>
    </w:p>
    <w:p w14:paraId="25250977" w14:textId="77777777" w:rsidR="00F50CD8" w:rsidRDefault="00F50CD8">
      <w:pPr>
        <w:spacing w:afterLines="50" w:after="156" w:line="360" w:lineRule="auto"/>
        <w:ind w:firstLineChars="200" w:firstLine="480"/>
        <w:rPr>
          <w:rFonts w:ascii="宋体" w:eastAsia="宋体" w:hAnsi="宋体" w:cs="宋体" w:hint="eastAsia"/>
          <w:sz w:val="24"/>
        </w:rPr>
      </w:pPr>
    </w:p>
    <w:p w14:paraId="18E8E46A" w14:textId="77777777" w:rsidR="00F50CD8" w:rsidRDefault="00F50CD8">
      <w:pPr>
        <w:spacing w:afterLines="50" w:after="156" w:line="360" w:lineRule="auto"/>
        <w:ind w:firstLineChars="200" w:firstLine="480"/>
        <w:rPr>
          <w:rFonts w:ascii="宋体" w:eastAsia="宋体" w:hAnsi="宋体" w:cs="宋体" w:hint="eastAsia"/>
          <w:sz w:val="24"/>
        </w:rPr>
      </w:pPr>
    </w:p>
    <w:p w14:paraId="398F633E" w14:textId="77777777" w:rsidR="00F50CD8" w:rsidRDefault="00F50CD8">
      <w:pPr>
        <w:spacing w:afterLines="50" w:after="156" w:line="360" w:lineRule="auto"/>
        <w:ind w:firstLineChars="200" w:firstLine="480"/>
        <w:rPr>
          <w:rFonts w:ascii="宋体" w:eastAsia="宋体" w:hAnsi="宋体" w:cs="宋体" w:hint="eastAsia"/>
          <w:sz w:val="24"/>
        </w:rPr>
      </w:pPr>
    </w:p>
    <w:p w14:paraId="4CDF05DC" w14:textId="77777777" w:rsidR="00F50CD8" w:rsidRDefault="00F50CD8">
      <w:pPr>
        <w:spacing w:afterLines="50" w:after="156" w:line="360" w:lineRule="auto"/>
        <w:ind w:firstLineChars="200" w:firstLine="480"/>
        <w:rPr>
          <w:rFonts w:ascii="宋体" w:eastAsia="宋体" w:hAnsi="宋体" w:cs="宋体" w:hint="eastAsia"/>
          <w:sz w:val="24"/>
        </w:rPr>
      </w:pPr>
    </w:p>
    <w:p w14:paraId="22F09593" w14:textId="77777777" w:rsidR="00F50CD8" w:rsidRDefault="00F50CD8">
      <w:pPr>
        <w:spacing w:afterLines="50" w:after="156" w:line="360" w:lineRule="auto"/>
        <w:ind w:firstLineChars="200" w:firstLine="480"/>
        <w:rPr>
          <w:rFonts w:ascii="宋体" w:eastAsia="宋体" w:hAnsi="宋体" w:cs="宋体" w:hint="eastAsia"/>
          <w:sz w:val="24"/>
        </w:rPr>
      </w:pPr>
    </w:p>
    <w:p w14:paraId="02A6FB47" w14:textId="77777777" w:rsidR="00F50CD8" w:rsidRDefault="00F50CD8">
      <w:pPr>
        <w:spacing w:afterLines="50" w:after="156" w:line="360" w:lineRule="auto"/>
        <w:ind w:firstLineChars="200" w:firstLine="480"/>
        <w:rPr>
          <w:rFonts w:ascii="宋体" w:eastAsia="宋体" w:hAnsi="宋体" w:cs="宋体" w:hint="eastAsia"/>
          <w:sz w:val="24"/>
        </w:rPr>
      </w:pPr>
    </w:p>
    <w:p w14:paraId="5B028239" w14:textId="77777777" w:rsidR="00F50CD8" w:rsidRDefault="00F50CD8">
      <w:pPr>
        <w:spacing w:afterLines="50" w:after="156" w:line="360" w:lineRule="auto"/>
        <w:ind w:firstLineChars="200" w:firstLine="480"/>
        <w:rPr>
          <w:rFonts w:ascii="宋体" w:eastAsia="宋体" w:hAnsi="宋体" w:cs="宋体" w:hint="eastAsia"/>
          <w:sz w:val="24"/>
        </w:rPr>
      </w:pPr>
    </w:p>
    <w:p w14:paraId="0A4A9DBA" w14:textId="77777777" w:rsidR="00F50CD8" w:rsidRDefault="00F50CD8">
      <w:pPr>
        <w:spacing w:afterLines="50" w:after="156" w:line="360" w:lineRule="auto"/>
        <w:ind w:firstLineChars="200" w:firstLine="480"/>
        <w:rPr>
          <w:rFonts w:ascii="宋体" w:eastAsia="宋体" w:hAnsi="宋体" w:cs="宋体" w:hint="eastAsia"/>
          <w:sz w:val="24"/>
        </w:rPr>
      </w:pPr>
    </w:p>
    <w:p w14:paraId="6B91AAF4"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90.《中国银监会关于地方资产管理公司开展金融企业不良资产批量收购处置业务资质认可条件等有关问题的通知》</w:t>
      </w:r>
      <w:r>
        <w:rPr>
          <w:rFonts w:ascii="宋体" w:eastAsia="宋体" w:hAnsi="宋体" w:cs="宋体" w:hint="eastAsia"/>
          <w:b/>
          <w:bCs/>
          <w:sz w:val="24"/>
        </w:rPr>
        <w:tab/>
      </w:r>
    </w:p>
    <w:p w14:paraId="4E5850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2D0D3E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文号：银监发〔2013〕45号</w:t>
      </w:r>
      <w:r>
        <w:rPr>
          <w:rFonts w:ascii="宋体" w:eastAsia="宋体" w:hAnsi="宋体" w:cs="宋体" w:hint="eastAsia"/>
          <w:sz w:val="24"/>
        </w:rPr>
        <w:tab/>
      </w:r>
    </w:p>
    <w:p w14:paraId="7027E00E"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局，各政策性银行、国有商业银行、股份制商业银行、金融资产管理公司，邮储银行，各省级农村信用联社，银监会直接监管的信托公司、企业集团财务公司、金融租赁公司：</w:t>
      </w:r>
    </w:p>
    <w:p w14:paraId="44CB5C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规范金融企业不良资产批量转让、收购和处置业务，切实有效防范和化解金融风险，根据《银行业监督管理法》和财政部、银监会《&lt;关于印发金融企业不良资产批量转让管理办法的通知》财金20126号）等有关规定，现就省、自治区、直辖市人民政府依法设立或授权的资产管理或经营公司（以下简称地方资产管理公司）开展金融企业不良资产批量收购、处置业务的资质认可条件等有关问题通知如下：</w:t>
      </w:r>
    </w:p>
    <w:p w14:paraId="48B48E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一、各省、自治区、直辖市人民政府原则上只可设立或授权一家地方资产管理公司，参与本省（自治区、直辖市）范围内金融企业不良资产的批量收购、处置业务。</w:t>
      </w:r>
    </w:p>
    <w:p w14:paraId="51D61B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地方资产管理公司购入的不良资产应当采取债务重组的方式进行处置，不得对外转让。</w:t>
      </w:r>
    </w:p>
    <w:p w14:paraId="1DE5C6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二、地方资产管理公司应当符合以下审慎性条件：</w:t>
      </w:r>
    </w:p>
    <w:p w14:paraId="130BBA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（一）注册资本最低限额为十亿元人民币，且为实缴资本；</w:t>
      </w:r>
    </w:p>
    <w:p w14:paraId="43EF1D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（二）有具备任职专业知识和业务工作经验的董事、高级管理人员及适宜于从事金融企业不良资产批量收购、处置业务的专业团队；</w:t>
      </w:r>
    </w:p>
    <w:p w14:paraId="474908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（三）具有健全的公司治理、完善的内部控制和风险管理制度；</w:t>
      </w:r>
    </w:p>
    <w:p w14:paraId="57DF07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（四）经营业绩良好，最近三个会计年度连续盈利；</w:t>
      </w:r>
    </w:p>
    <w:p w14:paraId="223D0D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（五）资质信用良好，近三年内无违法违规和其他不良记录。</w:t>
      </w:r>
    </w:p>
    <w:p w14:paraId="1B43DE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新设地方资产管理公司不受前款第四、第五项的限制。</w:t>
      </w:r>
    </w:p>
    <w:p w14:paraId="15CCF6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各省、自治区、直辖市人民政府可根据上述审慎性条件设立或授权一家地方资产管理公司开展金融企业不良资产批量收购、处置业务，核准设立或授权文件应同时抄送财政部和银监会。鼓励民间资本投资入股地方资产管理公司。</w:t>
      </w:r>
    </w:p>
    <w:p w14:paraId="7312DD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w:t>
      </w:r>
      <w:proofErr w:type="gramStart"/>
      <w:r>
        <w:rPr>
          <w:rFonts w:ascii="宋体" w:eastAsia="宋体" w:hAnsi="宋体" w:cs="宋体" w:hint="eastAsia"/>
          <w:sz w:val="24"/>
        </w:rPr>
        <w:t>经银监</w:t>
      </w:r>
      <w:proofErr w:type="gramEnd"/>
      <w:r>
        <w:rPr>
          <w:rFonts w:ascii="宋体" w:eastAsia="宋体" w:hAnsi="宋体" w:cs="宋体" w:hint="eastAsia"/>
          <w:sz w:val="24"/>
        </w:rPr>
        <w:t>会公布后，金融企业可以按照有关法律、行政法规和《金融企业不良资产批量转让管理办法》的规定向地方资产管理公司批量转让不良资产。</w:t>
      </w:r>
    </w:p>
    <w:p w14:paraId="35C7F0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五、金融企业和地方资产管理公司开展金融企业不良资产批量收购、处置业务，应当严格遵守金融不良资产管理、处置的法律、行政法规和监管要求。</w:t>
      </w:r>
    </w:p>
    <w:p w14:paraId="52664F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中国银行业监督管理委员会</w:t>
      </w:r>
    </w:p>
    <w:p w14:paraId="39FAA456"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2013年11月28日</w:t>
      </w:r>
    </w:p>
    <w:p w14:paraId="5F7F5487"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91.《关于2014年银行业案件防控工作的意见》</w:t>
      </w:r>
    </w:p>
    <w:p w14:paraId="32DA9E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07F9BE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文号：银监办发〔2014〕26号</w:t>
      </w:r>
      <w:r>
        <w:rPr>
          <w:rFonts w:ascii="宋体" w:eastAsia="宋体" w:hAnsi="宋体" w:cs="宋体" w:hint="eastAsia"/>
          <w:sz w:val="24"/>
        </w:rPr>
        <w:tab/>
      </w:r>
    </w:p>
    <w:p w14:paraId="1307A257"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局，各政策性银行、国有商业银行、股份制商业银行、金融资产管理公司，邮政储蓄银行，各省级农村信用联社，银监会直接监管的信托公司、企业集团财务公司、金融租赁公司：</w:t>
      </w:r>
    </w:p>
    <w:p w14:paraId="26EBA6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根据2014年全国银行业监督管理工作会议精神，为进一步</w:t>
      </w:r>
      <w:proofErr w:type="gramStart"/>
      <w:r>
        <w:rPr>
          <w:rFonts w:ascii="宋体" w:eastAsia="宋体" w:hAnsi="宋体" w:cs="宋体" w:hint="eastAsia"/>
          <w:sz w:val="24"/>
        </w:rPr>
        <w:t>落实案防</w:t>
      </w:r>
      <w:proofErr w:type="gramEnd"/>
      <w:r>
        <w:rPr>
          <w:rFonts w:ascii="宋体" w:eastAsia="宋体" w:hAnsi="宋体" w:cs="宋体" w:hint="eastAsia"/>
          <w:sz w:val="24"/>
        </w:rPr>
        <w:t>责任，</w:t>
      </w:r>
      <w:proofErr w:type="gramStart"/>
      <w:r>
        <w:rPr>
          <w:rFonts w:ascii="宋体" w:eastAsia="宋体" w:hAnsi="宋体" w:cs="宋体" w:hint="eastAsia"/>
          <w:sz w:val="24"/>
        </w:rPr>
        <w:t>保持案防</w:t>
      </w:r>
      <w:proofErr w:type="gramEnd"/>
      <w:r>
        <w:rPr>
          <w:rFonts w:ascii="宋体" w:eastAsia="宋体" w:hAnsi="宋体" w:cs="宋体" w:hint="eastAsia"/>
          <w:sz w:val="24"/>
        </w:rPr>
        <w:t>高压态势，</w:t>
      </w:r>
      <w:proofErr w:type="gramStart"/>
      <w:r>
        <w:rPr>
          <w:rFonts w:ascii="宋体" w:eastAsia="宋体" w:hAnsi="宋体" w:cs="宋体" w:hint="eastAsia"/>
          <w:sz w:val="24"/>
        </w:rPr>
        <w:t>提高案防</w:t>
      </w:r>
      <w:proofErr w:type="gramEnd"/>
      <w:r>
        <w:rPr>
          <w:rFonts w:ascii="宋体" w:eastAsia="宋体" w:hAnsi="宋体" w:cs="宋体" w:hint="eastAsia"/>
          <w:sz w:val="24"/>
        </w:rPr>
        <w:t>工作水平，全力维护银行业安全稳健运行，现就2014年</w:t>
      </w:r>
      <w:proofErr w:type="gramStart"/>
      <w:r>
        <w:rPr>
          <w:rFonts w:ascii="宋体" w:eastAsia="宋体" w:hAnsi="宋体" w:cs="宋体" w:hint="eastAsia"/>
          <w:sz w:val="24"/>
        </w:rPr>
        <w:t>银行业案防工作</w:t>
      </w:r>
      <w:proofErr w:type="gramEnd"/>
      <w:r>
        <w:rPr>
          <w:rFonts w:ascii="宋体" w:eastAsia="宋体" w:hAnsi="宋体" w:cs="宋体" w:hint="eastAsia"/>
          <w:sz w:val="24"/>
        </w:rPr>
        <w:t>提出以下意见。</w:t>
      </w:r>
    </w:p>
    <w:p w14:paraId="396B77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一、健全体制机制，</w:t>
      </w:r>
      <w:proofErr w:type="gramStart"/>
      <w:r>
        <w:rPr>
          <w:rFonts w:ascii="宋体" w:eastAsia="宋体" w:hAnsi="宋体" w:cs="宋体" w:hint="eastAsia"/>
          <w:sz w:val="24"/>
        </w:rPr>
        <w:t>增强案防</w:t>
      </w:r>
      <w:proofErr w:type="gramEnd"/>
      <w:r>
        <w:rPr>
          <w:rFonts w:ascii="宋体" w:eastAsia="宋体" w:hAnsi="宋体" w:cs="宋体" w:hint="eastAsia"/>
          <w:sz w:val="24"/>
        </w:rPr>
        <w:t>工作有效性</w:t>
      </w:r>
    </w:p>
    <w:p w14:paraId="6AC68A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（一）明确职责分工，</w:t>
      </w:r>
      <w:proofErr w:type="gramStart"/>
      <w:r>
        <w:rPr>
          <w:rFonts w:ascii="宋体" w:eastAsia="宋体" w:hAnsi="宋体" w:cs="宋体" w:hint="eastAsia"/>
          <w:sz w:val="24"/>
        </w:rPr>
        <w:t>落实案防</w:t>
      </w:r>
      <w:proofErr w:type="gramEnd"/>
      <w:r>
        <w:rPr>
          <w:rFonts w:ascii="宋体" w:eastAsia="宋体" w:hAnsi="宋体" w:cs="宋体" w:hint="eastAsia"/>
          <w:sz w:val="24"/>
        </w:rPr>
        <w:t>责任。各银行业金融机构要切实履行案件防控责任主体职责，</w:t>
      </w:r>
      <w:proofErr w:type="gramStart"/>
      <w:r>
        <w:rPr>
          <w:rFonts w:ascii="宋体" w:eastAsia="宋体" w:hAnsi="宋体" w:cs="宋体" w:hint="eastAsia"/>
          <w:sz w:val="24"/>
        </w:rPr>
        <w:t>明确案防</w:t>
      </w:r>
      <w:proofErr w:type="gramEnd"/>
      <w:r>
        <w:rPr>
          <w:rFonts w:ascii="宋体" w:eastAsia="宋体" w:hAnsi="宋体" w:cs="宋体" w:hint="eastAsia"/>
          <w:sz w:val="24"/>
        </w:rPr>
        <w:t>工作牵头部门责任，</w:t>
      </w:r>
      <w:proofErr w:type="gramStart"/>
      <w:r>
        <w:rPr>
          <w:rFonts w:ascii="宋体" w:eastAsia="宋体" w:hAnsi="宋体" w:cs="宋体" w:hint="eastAsia"/>
          <w:sz w:val="24"/>
        </w:rPr>
        <w:t>厘清案防牵头</w:t>
      </w:r>
      <w:proofErr w:type="gramEnd"/>
      <w:r>
        <w:rPr>
          <w:rFonts w:ascii="宋体" w:eastAsia="宋体" w:hAnsi="宋体" w:cs="宋体" w:hint="eastAsia"/>
          <w:sz w:val="24"/>
        </w:rPr>
        <w:t>部门与业务、风控、内审稽核等</w:t>
      </w:r>
      <w:proofErr w:type="gramStart"/>
      <w:r>
        <w:rPr>
          <w:rFonts w:ascii="宋体" w:eastAsia="宋体" w:hAnsi="宋体" w:cs="宋体" w:hint="eastAsia"/>
          <w:sz w:val="24"/>
        </w:rPr>
        <w:t>部门案防</w:t>
      </w:r>
      <w:proofErr w:type="gramEnd"/>
      <w:r>
        <w:rPr>
          <w:rFonts w:ascii="宋体" w:eastAsia="宋体" w:hAnsi="宋体" w:cs="宋体" w:hint="eastAsia"/>
          <w:sz w:val="24"/>
        </w:rPr>
        <w:t>职责边界，保证各部门、上下级</w:t>
      </w:r>
      <w:proofErr w:type="gramStart"/>
      <w:r>
        <w:rPr>
          <w:rFonts w:ascii="宋体" w:eastAsia="宋体" w:hAnsi="宋体" w:cs="宋体" w:hint="eastAsia"/>
          <w:sz w:val="24"/>
        </w:rPr>
        <w:t>机构案防权责</w:t>
      </w:r>
      <w:proofErr w:type="gramEnd"/>
      <w:r>
        <w:rPr>
          <w:rFonts w:ascii="宋体" w:eastAsia="宋体" w:hAnsi="宋体" w:cs="宋体" w:hint="eastAsia"/>
          <w:sz w:val="24"/>
        </w:rPr>
        <w:t>清晰、责任落实。</w:t>
      </w:r>
    </w:p>
    <w:p w14:paraId="5DB861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完善制度体系，提升制度执行力。各银行业金融机构要建立制度管理体系，根据业务发展需要、风险特征和监管政策变化，对内部各项制度进行评价、修订和更新，确保制度覆盖所有业务领域和管理环节。严格执行各项制度，开展制度执行监督检查，提升内部控制有效性。</w:t>
      </w:r>
    </w:p>
    <w:p w14:paraId="0584C5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组织案件风险排查，开展专项治理。各银行业金融机构要结合自身业务特点和风险状况，组织开展以信贷、票据、跨业合作和员工异常行为等为重点的案件风险排查，落实排查责任，对排查发现的重点风险和突出问题开展专项治理。银行业金融机构要组织开展督促、指导和抽查，加强排查信息交流与共享，上下联动，形成具有本机构特色的常态化风险排查机制，并按季向监管机构报送排查情况。</w:t>
      </w:r>
      <w:proofErr w:type="gramStart"/>
      <w:r>
        <w:rPr>
          <w:rFonts w:ascii="宋体" w:eastAsia="宋体" w:hAnsi="宋体" w:cs="宋体" w:hint="eastAsia"/>
          <w:sz w:val="24"/>
        </w:rPr>
        <w:t>各银监</w:t>
      </w:r>
      <w:proofErr w:type="gramEnd"/>
      <w:r>
        <w:rPr>
          <w:rFonts w:ascii="宋体" w:eastAsia="宋体" w:hAnsi="宋体" w:cs="宋体" w:hint="eastAsia"/>
          <w:sz w:val="24"/>
        </w:rPr>
        <w:t>局要加强督促检查，按季将排查工作情况报告银监会。</w:t>
      </w:r>
    </w:p>
    <w:p w14:paraId="5198E1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w:t>
      </w:r>
      <w:proofErr w:type="gramStart"/>
      <w:r>
        <w:rPr>
          <w:rFonts w:ascii="宋体" w:eastAsia="宋体" w:hAnsi="宋体" w:cs="宋体" w:hint="eastAsia"/>
          <w:sz w:val="24"/>
        </w:rPr>
        <w:t>开展案防</w:t>
      </w:r>
      <w:proofErr w:type="gramEnd"/>
      <w:r>
        <w:rPr>
          <w:rFonts w:ascii="宋体" w:eastAsia="宋体" w:hAnsi="宋体" w:cs="宋体" w:hint="eastAsia"/>
          <w:sz w:val="24"/>
        </w:rPr>
        <w:t>工作试评估，激发内生动力。各银行业金融机构要</w:t>
      </w:r>
      <w:proofErr w:type="gramStart"/>
      <w:r>
        <w:rPr>
          <w:rFonts w:ascii="宋体" w:eastAsia="宋体" w:hAnsi="宋体" w:cs="宋体" w:hint="eastAsia"/>
          <w:sz w:val="24"/>
        </w:rPr>
        <w:t>围绕案防</w:t>
      </w:r>
      <w:proofErr w:type="gramEnd"/>
      <w:r>
        <w:rPr>
          <w:rFonts w:ascii="宋体" w:eastAsia="宋体" w:hAnsi="宋体" w:cs="宋体" w:hint="eastAsia"/>
          <w:sz w:val="24"/>
        </w:rPr>
        <w:t>工作组织、制度及质量控制、</w:t>
      </w:r>
      <w:proofErr w:type="gramStart"/>
      <w:r>
        <w:rPr>
          <w:rFonts w:ascii="宋体" w:eastAsia="宋体" w:hAnsi="宋体" w:cs="宋体" w:hint="eastAsia"/>
          <w:sz w:val="24"/>
        </w:rPr>
        <w:t>案防工作</w:t>
      </w:r>
      <w:proofErr w:type="gramEnd"/>
      <w:r>
        <w:rPr>
          <w:rFonts w:ascii="宋体" w:eastAsia="宋体" w:hAnsi="宋体" w:cs="宋体" w:hint="eastAsia"/>
          <w:sz w:val="24"/>
        </w:rPr>
        <w:t>执行、监督与检查、考核与问责等方面内</w:t>
      </w:r>
      <w:r>
        <w:rPr>
          <w:rFonts w:ascii="宋体" w:eastAsia="宋体" w:hAnsi="宋体" w:cs="宋体" w:hint="eastAsia"/>
          <w:sz w:val="24"/>
        </w:rPr>
        <w:lastRenderedPageBreak/>
        <w:t>容开展</w:t>
      </w:r>
      <w:proofErr w:type="gramStart"/>
      <w:r>
        <w:rPr>
          <w:rFonts w:ascii="宋体" w:eastAsia="宋体" w:hAnsi="宋体" w:cs="宋体" w:hint="eastAsia"/>
          <w:sz w:val="24"/>
        </w:rPr>
        <w:t>2013年案防工作</w:t>
      </w:r>
      <w:proofErr w:type="gramEnd"/>
      <w:r>
        <w:rPr>
          <w:rFonts w:ascii="宋体" w:eastAsia="宋体" w:hAnsi="宋体" w:cs="宋体" w:hint="eastAsia"/>
          <w:sz w:val="24"/>
        </w:rPr>
        <w:t>试评估，按照法人负责原则，细化对分支机构自我评估的工作要求。要通过评估，查找内控管理和</w:t>
      </w:r>
      <w:proofErr w:type="gramStart"/>
      <w:r>
        <w:rPr>
          <w:rFonts w:ascii="宋体" w:eastAsia="宋体" w:hAnsi="宋体" w:cs="宋体" w:hint="eastAsia"/>
          <w:sz w:val="24"/>
        </w:rPr>
        <w:t>案防</w:t>
      </w:r>
      <w:proofErr w:type="gramEnd"/>
      <w:r>
        <w:rPr>
          <w:rFonts w:ascii="宋体" w:eastAsia="宋体" w:hAnsi="宋体" w:cs="宋体" w:hint="eastAsia"/>
          <w:sz w:val="24"/>
        </w:rPr>
        <w:t>薄弱环节，严格落实整改。监管部门要及时对银行业金融机构试评估情况进行监管评价。</w:t>
      </w:r>
    </w:p>
    <w:p w14:paraId="71114D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（五）强化内部监督检查，实行违规积分管理。银行业金融机构要按照部门间各有侧重、协调联动的原则，有效发挥业务条线、合</w:t>
      </w:r>
      <w:proofErr w:type="gramStart"/>
      <w:r>
        <w:rPr>
          <w:rFonts w:ascii="宋体" w:eastAsia="宋体" w:hAnsi="宋体" w:cs="宋体" w:hint="eastAsia"/>
          <w:sz w:val="24"/>
        </w:rPr>
        <w:t>规</w:t>
      </w:r>
      <w:proofErr w:type="gramEnd"/>
      <w:r>
        <w:rPr>
          <w:rFonts w:ascii="宋体" w:eastAsia="宋体" w:hAnsi="宋体" w:cs="宋体" w:hint="eastAsia"/>
          <w:sz w:val="24"/>
        </w:rPr>
        <w:t>管理和风险控制等部门在案防工作中的作用，加强审计监督。同时，研究建立覆盖全部业务流程的操作性违规积分管理制度，防微杜渐，强化操作风险管理。</w:t>
      </w:r>
    </w:p>
    <w:p w14:paraId="3FD787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（六）开展主题活动，加强员工教育管理。组织开展员工管理主题年活动，切实改进和加强员工管理。各银行业金融机构要将员工教育培训</w:t>
      </w:r>
      <w:proofErr w:type="gramStart"/>
      <w:r>
        <w:rPr>
          <w:rFonts w:ascii="宋体" w:eastAsia="宋体" w:hAnsi="宋体" w:cs="宋体" w:hint="eastAsia"/>
          <w:sz w:val="24"/>
        </w:rPr>
        <w:t>作为案防</w:t>
      </w:r>
      <w:proofErr w:type="gramEnd"/>
      <w:r>
        <w:rPr>
          <w:rFonts w:ascii="宋体" w:eastAsia="宋体" w:hAnsi="宋体" w:cs="宋体" w:hint="eastAsia"/>
          <w:sz w:val="24"/>
        </w:rPr>
        <w:t>工作的重要内容，系统、全面开展员工岗位规范和业务流程教育，明晰违规操作应承担的责任；开展职业道德教育，培养员工诚实守信的职业操守；加大合</w:t>
      </w:r>
      <w:proofErr w:type="gramStart"/>
      <w:r>
        <w:rPr>
          <w:rFonts w:ascii="宋体" w:eastAsia="宋体" w:hAnsi="宋体" w:cs="宋体" w:hint="eastAsia"/>
          <w:sz w:val="24"/>
        </w:rPr>
        <w:t>规</w:t>
      </w:r>
      <w:proofErr w:type="gramEnd"/>
      <w:r>
        <w:rPr>
          <w:rFonts w:ascii="宋体" w:eastAsia="宋体" w:hAnsi="宋体" w:cs="宋体" w:hint="eastAsia"/>
          <w:sz w:val="24"/>
        </w:rPr>
        <w:t>文化建设力度，增强各级管理人员合</w:t>
      </w:r>
      <w:proofErr w:type="gramStart"/>
      <w:r>
        <w:rPr>
          <w:rFonts w:ascii="宋体" w:eastAsia="宋体" w:hAnsi="宋体" w:cs="宋体" w:hint="eastAsia"/>
          <w:sz w:val="24"/>
        </w:rPr>
        <w:t>规</w:t>
      </w:r>
      <w:proofErr w:type="gramEnd"/>
      <w:r>
        <w:rPr>
          <w:rFonts w:ascii="宋体" w:eastAsia="宋体" w:hAnsi="宋体" w:cs="宋体" w:hint="eastAsia"/>
          <w:sz w:val="24"/>
        </w:rPr>
        <w:t>意识，营造“合</w:t>
      </w:r>
      <w:proofErr w:type="gramStart"/>
      <w:r>
        <w:rPr>
          <w:rFonts w:ascii="宋体" w:eastAsia="宋体" w:hAnsi="宋体" w:cs="宋体" w:hint="eastAsia"/>
          <w:sz w:val="24"/>
        </w:rPr>
        <w:t>规</w:t>
      </w:r>
      <w:proofErr w:type="gramEnd"/>
      <w:r>
        <w:rPr>
          <w:rFonts w:ascii="宋体" w:eastAsia="宋体" w:hAnsi="宋体" w:cs="宋体" w:hint="eastAsia"/>
          <w:sz w:val="24"/>
        </w:rPr>
        <w:t>从高层做起、合</w:t>
      </w:r>
      <w:proofErr w:type="gramStart"/>
      <w:r>
        <w:rPr>
          <w:rFonts w:ascii="宋体" w:eastAsia="宋体" w:hAnsi="宋体" w:cs="宋体" w:hint="eastAsia"/>
          <w:sz w:val="24"/>
        </w:rPr>
        <w:t>规</w:t>
      </w:r>
      <w:proofErr w:type="gramEnd"/>
      <w:r>
        <w:rPr>
          <w:rFonts w:ascii="宋体" w:eastAsia="宋体" w:hAnsi="宋体" w:cs="宋体" w:hint="eastAsia"/>
          <w:sz w:val="24"/>
        </w:rPr>
        <w:t>人人有责、合</w:t>
      </w:r>
      <w:proofErr w:type="gramStart"/>
      <w:r>
        <w:rPr>
          <w:rFonts w:ascii="宋体" w:eastAsia="宋体" w:hAnsi="宋体" w:cs="宋体" w:hint="eastAsia"/>
          <w:sz w:val="24"/>
        </w:rPr>
        <w:t>规</w:t>
      </w:r>
      <w:proofErr w:type="gramEnd"/>
      <w:r>
        <w:rPr>
          <w:rFonts w:ascii="宋体" w:eastAsia="宋体" w:hAnsi="宋体" w:cs="宋体" w:hint="eastAsia"/>
          <w:sz w:val="24"/>
        </w:rPr>
        <w:t>创造价值”的合</w:t>
      </w:r>
      <w:proofErr w:type="gramStart"/>
      <w:r>
        <w:rPr>
          <w:rFonts w:ascii="宋体" w:eastAsia="宋体" w:hAnsi="宋体" w:cs="宋体" w:hint="eastAsia"/>
          <w:sz w:val="24"/>
        </w:rPr>
        <w:t>规</w:t>
      </w:r>
      <w:proofErr w:type="gramEnd"/>
      <w:r>
        <w:rPr>
          <w:rFonts w:ascii="宋体" w:eastAsia="宋体" w:hAnsi="宋体" w:cs="宋体" w:hint="eastAsia"/>
          <w:sz w:val="24"/>
        </w:rPr>
        <w:t>氛围。</w:t>
      </w:r>
    </w:p>
    <w:p w14:paraId="4A71B0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二、及时查处案件，严格案件问责</w:t>
      </w:r>
    </w:p>
    <w:p w14:paraId="069CD3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按时报送案件情况，确保信息真实准确。各银行业金融机构和银监局要按照案件、案件风险信息报送的有关规定，及时、准确报送案件和案件风险信息，严禁瞒报或故意漏报、迟报、错报。根据案件进展情况及时报送后续调查、督查、审结、整改情况报告和案例材料。对发生迟瞒报情况的，要进行通报，并进行监管谈话。对因迟瞒报造成严重后果的，要追究相关责任人员责任。</w:t>
      </w:r>
    </w:p>
    <w:p w14:paraId="496DB5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实施案件分级管理，研究建立挂牌督办制度。各银行业金融机构应根据案件和案件风险事件的性质、涉案金额等，对案件实施分级、分类管理，明确各层级的调查管理责任。监管机构要研究建立案件分级督查、督导办法，合理划分各级监管机构的案件督查督导职责，研究建立重大案件挂牌督办制度，提高案件查办效率。</w:t>
      </w:r>
    </w:p>
    <w:p w14:paraId="10C776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加强组织协调，高效开展案件调查。银行业金融机构在发生案件、尤其是重大、恶性案件时，应在第一时间成立专案组，开展案件调查工作，尽快查清案情，准确定性，厘清责任，及时向监管部门报告案件调查情况，并注意保全</w:t>
      </w:r>
      <w:r>
        <w:rPr>
          <w:rFonts w:ascii="宋体" w:eastAsia="宋体" w:hAnsi="宋体" w:cs="宋体" w:hint="eastAsia"/>
          <w:sz w:val="24"/>
        </w:rPr>
        <w:lastRenderedPageBreak/>
        <w:t>涉案资产，减少损失。发生重大、恶性案件，监管机构要约谈案发法人机构主要负责人。在案件督查督导中，</w:t>
      </w:r>
      <w:proofErr w:type="gramStart"/>
      <w:r>
        <w:rPr>
          <w:rFonts w:ascii="宋体" w:eastAsia="宋体" w:hAnsi="宋体" w:cs="宋体" w:hint="eastAsia"/>
          <w:sz w:val="24"/>
        </w:rPr>
        <w:t>会机关</w:t>
      </w:r>
      <w:proofErr w:type="gramEnd"/>
      <w:r>
        <w:rPr>
          <w:rFonts w:ascii="宋体" w:eastAsia="宋体" w:hAnsi="宋体" w:cs="宋体" w:hint="eastAsia"/>
          <w:sz w:val="24"/>
        </w:rPr>
        <w:t>职能部门与银监局间应加强沟通协调，形成工作合力。</w:t>
      </w:r>
    </w:p>
    <w:p w14:paraId="4F27A6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（十）严格案件问责，严肃责任追究。各银行业金融机构要认真组织开展案件问责工作，</w:t>
      </w:r>
      <w:proofErr w:type="gramStart"/>
      <w:r>
        <w:rPr>
          <w:rFonts w:ascii="宋体" w:eastAsia="宋体" w:hAnsi="宋体" w:cs="宋体" w:hint="eastAsia"/>
          <w:sz w:val="24"/>
        </w:rPr>
        <w:t>严格问</w:t>
      </w:r>
      <w:proofErr w:type="gramEnd"/>
      <w:r>
        <w:rPr>
          <w:rFonts w:ascii="宋体" w:eastAsia="宋体" w:hAnsi="宋体" w:cs="宋体" w:hint="eastAsia"/>
          <w:sz w:val="24"/>
        </w:rPr>
        <w:t>责程序，落实案件责任，在严肃追究案件直接责任人责任的同时，加大对有关管理人员的责任追究力度，严禁以经济处罚或其他问</w:t>
      </w:r>
      <w:proofErr w:type="gramStart"/>
      <w:r>
        <w:rPr>
          <w:rFonts w:ascii="宋体" w:eastAsia="宋体" w:hAnsi="宋体" w:cs="宋体" w:hint="eastAsia"/>
          <w:sz w:val="24"/>
        </w:rPr>
        <w:t>责方式</w:t>
      </w:r>
      <w:proofErr w:type="gramEnd"/>
      <w:r>
        <w:rPr>
          <w:rFonts w:ascii="宋体" w:eastAsia="宋体" w:hAnsi="宋体" w:cs="宋体" w:hint="eastAsia"/>
          <w:sz w:val="24"/>
        </w:rPr>
        <w:t>代替纪律处分。各级监管机构要加强对银行业金融机构案件问</w:t>
      </w:r>
      <w:proofErr w:type="gramStart"/>
      <w:r>
        <w:rPr>
          <w:rFonts w:ascii="宋体" w:eastAsia="宋体" w:hAnsi="宋体" w:cs="宋体" w:hint="eastAsia"/>
          <w:sz w:val="24"/>
        </w:rPr>
        <w:t>责工作</w:t>
      </w:r>
      <w:proofErr w:type="gramEnd"/>
      <w:r>
        <w:rPr>
          <w:rFonts w:ascii="宋体" w:eastAsia="宋体" w:hAnsi="宋体" w:cs="宋体" w:hint="eastAsia"/>
          <w:sz w:val="24"/>
        </w:rPr>
        <w:t>的监督和指导，对未按规定开展案件问责的机构，要依法采取监管强制措施，督促其严肃问责。</w:t>
      </w:r>
    </w:p>
    <w:p w14:paraId="3F1EAE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开展案件整改检查，推动以查促防。各银行业金融机构应对其分支机构发生案件的整改情况进行审计检查，并将检查情况及时报告监管机构。监管机构应对辖内银行业金融机构案件整改审计情况进行监督检查，评估检查整改效果，对整改不力的，要及时约谈，采取监管措施，推动以查促防。</w:t>
      </w:r>
    </w:p>
    <w:p w14:paraId="170891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w:t>
      </w:r>
      <w:proofErr w:type="gramStart"/>
      <w:r>
        <w:rPr>
          <w:rFonts w:ascii="宋体" w:eastAsia="宋体" w:hAnsi="宋体" w:cs="宋体" w:hint="eastAsia"/>
          <w:sz w:val="24"/>
        </w:rPr>
        <w:t>加强案防情况</w:t>
      </w:r>
      <w:proofErr w:type="gramEnd"/>
      <w:r>
        <w:rPr>
          <w:rFonts w:ascii="宋体" w:eastAsia="宋体" w:hAnsi="宋体" w:cs="宋体" w:hint="eastAsia"/>
          <w:sz w:val="24"/>
        </w:rPr>
        <w:t>交流，研究建立风险信息共享平台</w:t>
      </w:r>
    </w:p>
    <w:p w14:paraId="3ED4E8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w:t>
      </w:r>
      <w:proofErr w:type="gramStart"/>
      <w:r>
        <w:rPr>
          <w:rFonts w:ascii="宋体" w:eastAsia="宋体" w:hAnsi="宋体" w:cs="宋体" w:hint="eastAsia"/>
          <w:sz w:val="24"/>
        </w:rPr>
        <w:t>做好案防</w:t>
      </w:r>
      <w:proofErr w:type="gramEnd"/>
      <w:r>
        <w:rPr>
          <w:rFonts w:ascii="宋体" w:eastAsia="宋体" w:hAnsi="宋体" w:cs="宋体" w:hint="eastAsia"/>
          <w:sz w:val="24"/>
        </w:rPr>
        <w:t>统计，加强</w:t>
      </w:r>
      <w:proofErr w:type="gramStart"/>
      <w:r>
        <w:rPr>
          <w:rFonts w:ascii="宋体" w:eastAsia="宋体" w:hAnsi="宋体" w:cs="宋体" w:hint="eastAsia"/>
          <w:sz w:val="24"/>
        </w:rPr>
        <w:t>案防非</w:t>
      </w:r>
      <w:proofErr w:type="gramEnd"/>
      <w:r>
        <w:rPr>
          <w:rFonts w:ascii="宋体" w:eastAsia="宋体" w:hAnsi="宋体" w:cs="宋体" w:hint="eastAsia"/>
          <w:sz w:val="24"/>
        </w:rPr>
        <w:t>现场监管。各银行业金融机构应</w:t>
      </w:r>
      <w:proofErr w:type="gramStart"/>
      <w:r>
        <w:rPr>
          <w:rFonts w:ascii="宋体" w:eastAsia="宋体" w:hAnsi="宋体" w:cs="宋体" w:hint="eastAsia"/>
          <w:sz w:val="24"/>
        </w:rPr>
        <w:t>按照案防统计</w:t>
      </w:r>
      <w:proofErr w:type="gramEnd"/>
      <w:r>
        <w:rPr>
          <w:rFonts w:ascii="宋体" w:eastAsia="宋体" w:hAnsi="宋体" w:cs="宋体" w:hint="eastAsia"/>
          <w:sz w:val="24"/>
        </w:rPr>
        <w:t>制度要求，及时、准确、完整报送本</w:t>
      </w:r>
      <w:proofErr w:type="gramStart"/>
      <w:r>
        <w:rPr>
          <w:rFonts w:ascii="宋体" w:eastAsia="宋体" w:hAnsi="宋体" w:cs="宋体" w:hint="eastAsia"/>
          <w:sz w:val="24"/>
        </w:rPr>
        <w:t>机构案防工作</w:t>
      </w:r>
      <w:proofErr w:type="gramEnd"/>
      <w:r>
        <w:rPr>
          <w:rFonts w:ascii="宋体" w:eastAsia="宋体" w:hAnsi="宋体" w:cs="宋体" w:hint="eastAsia"/>
          <w:sz w:val="24"/>
        </w:rPr>
        <w:t>情况。要</w:t>
      </w:r>
      <w:proofErr w:type="gramStart"/>
      <w:r>
        <w:rPr>
          <w:rFonts w:ascii="宋体" w:eastAsia="宋体" w:hAnsi="宋体" w:cs="宋体" w:hint="eastAsia"/>
          <w:sz w:val="24"/>
        </w:rPr>
        <w:t>根据案防</w:t>
      </w:r>
      <w:proofErr w:type="gramEnd"/>
      <w:r>
        <w:rPr>
          <w:rFonts w:ascii="宋体" w:eastAsia="宋体" w:hAnsi="宋体" w:cs="宋体" w:hint="eastAsia"/>
          <w:sz w:val="24"/>
        </w:rPr>
        <w:t>形势变化和监管要求，适时修改、</w:t>
      </w:r>
      <w:proofErr w:type="gramStart"/>
      <w:r>
        <w:rPr>
          <w:rFonts w:ascii="宋体" w:eastAsia="宋体" w:hAnsi="宋体" w:cs="宋体" w:hint="eastAsia"/>
          <w:sz w:val="24"/>
        </w:rPr>
        <w:t>调整案防统计</w:t>
      </w:r>
      <w:proofErr w:type="gramEnd"/>
      <w:r>
        <w:rPr>
          <w:rFonts w:ascii="宋体" w:eastAsia="宋体" w:hAnsi="宋体" w:cs="宋体" w:hint="eastAsia"/>
          <w:sz w:val="24"/>
        </w:rPr>
        <w:t>制度，完善、细化相关统计指标，</w:t>
      </w:r>
      <w:proofErr w:type="gramStart"/>
      <w:r>
        <w:rPr>
          <w:rFonts w:ascii="宋体" w:eastAsia="宋体" w:hAnsi="宋体" w:cs="宋体" w:hint="eastAsia"/>
          <w:sz w:val="24"/>
        </w:rPr>
        <w:t>做好案防非</w:t>
      </w:r>
      <w:proofErr w:type="gramEnd"/>
      <w:r>
        <w:rPr>
          <w:rFonts w:ascii="宋体" w:eastAsia="宋体" w:hAnsi="宋体" w:cs="宋体" w:hint="eastAsia"/>
          <w:sz w:val="24"/>
        </w:rPr>
        <w:t>现场统计分析和通报工作，</w:t>
      </w:r>
      <w:proofErr w:type="gramStart"/>
      <w:r>
        <w:rPr>
          <w:rFonts w:ascii="宋体" w:eastAsia="宋体" w:hAnsi="宋体" w:cs="宋体" w:hint="eastAsia"/>
          <w:sz w:val="24"/>
        </w:rPr>
        <w:t>完善案防非</w:t>
      </w:r>
      <w:proofErr w:type="gramEnd"/>
      <w:r>
        <w:rPr>
          <w:rFonts w:ascii="宋体" w:eastAsia="宋体" w:hAnsi="宋体" w:cs="宋体" w:hint="eastAsia"/>
          <w:sz w:val="24"/>
        </w:rPr>
        <w:t>现场信息共享机制。</w:t>
      </w:r>
    </w:p>
    <w:p w14:paraId="08E692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（十三）深入分析案件情况，做好案情通报。建立和完善案件、案件风险信息合账制度，做好案件、案件风险信息的登记、汇总和统计分析工作。认真分析案发形势，及时总结案发特点，研究案发趋势，</w:t>
      </w:r>
      <w:proofErr w:type="gramStart"/>
      <w:r>
        <w:rPr>
          <w:rFonts w:ascii="宋体" w:eastAsia="宋体" w:hAnsi="宋体" w:cs="宋体" w:hint="eastAsia"/>
          <w:sz w:val="24"/>
        </w:rPr>
        <w:t>提出案防</w:t>
      </w:r>
      <w:proofErr w:type="gramEnd"/>
      <w:r>
        <w:rPr>
          <w:rFonts w:ascii="宋体" w:eastAsia="宋体" w:hAnsi="宋体" w:cs="宋体" w:hint="eastAsia"/>
          <w:sz w:val="24"/>
        </w:rPr>
        <w:t>要求，提高案件风险识别、监测、分析能力，定期开展案情通报。</w:t>
      </w:r>
    </w:p>
    <w:p w14:paraId="10956C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四）剖析典型案例，及时开展风险提示。深入剖析重大案件和典型案例，分析案发原因，研究作案手段，查找薄弱环节，明确整改要求。及时进行风险提示，举一反三，防止同质同类案件多次发生。汇编典型案例，开展以案说法和警示教育。</w:t>
      </w:r>
    </w:p>
    <w:p w14:paraId="4F708E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（十五）开展处罚信息登记，建立从业人员“灰名单”制度。各银行业金融机构要按照从业人员处罚信息登记制度（“灰名单”制度）要求，及时准确报送、</w:t>
      </w:r>
      <w:r>
        <w:rPr>
          <w:rFonts w:ascii="宋体" w:eastAsia="宋体" w:hAnsi="宋体" w:cs="宋体" w:hint="eastAsia"/>
          <w:sz w:val="24"/>
        </w:rPr>
        <w:lastRenderedPageBreak/>
        <w:t>登记从业人员处罚信息，不得迟报、漏报、瞒报。监管机构要做好处罚信息的管理使用，为高管任职资格审</w:t>
      </w:r>
    </w:p>
    <w:p w14:paraId="2C184F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核和银行业金融机构人力资源尽职调查提供支持，</w:t>
      </w:r>
      <w:proofErr w:type="gramStart"/>
      <w:r>
        <w:rPr>
          <w:rFonts w:ascii="宋体" w:eastAsia="宋体" w:hAnsi="宋体" w:cs="宋体" w:hint="eastAsia"/>
          <w:sz w:val="24"/>
        </w:rPr>
        <w:t>防范因</w:t>
      </w:r>
      <w:proofErr w:type="gramEnd"/>
      <w:r>
        <w:rPr>
          <w:rFonts w:ascii="宋体" w:eastAsia="宋体" w:hAnsi="宋体" w:cs="宋体" w:hint="eastAsia"/>
          <w:sz w:val="24"/>
        </w:rPr>
        <w:t>被处罚人员跨机构、跨地区流动引发的案件风险。</w:t>
      </w:r>
    </w:p>
    <w:p w14:paraId="3BA4EF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六）推动信息平台建设，强化信息交流共享。研究建立监管机构与银行业金融机构之间互联互通的风险信息交流平台，及时收集、登记各类风险信息，使相关机构能及时掌握风险动态，提前采取预防措施，堵塞管理漏洞，提升风险管理能力。风险信息平台建设按照先起步、后完善的原则，先从银行业案件信息开始，逐步增加外部欺诈等风险信息。</w:t>
      </w:r>
    </w:p>
    <w:p w14:paraId="4195B2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四、多方联动，加强安全保卫工作</w:t>
      </w:r>
    </w:p>
    <w:p w14:paraId="26DBFA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七）完善安保制度，健全组织架构。各银行业金融机构要建立健全安保组织架构，落实安保工作责任，提供与安保工作任务相适应的人力、物力和财力保障；研究制定银行业安全防范工作、现场检查规程和安保类案（事）</w:t>
      </w:r>
      <w:proofErr w:type="gramStart"/>
      <w:r>
        <w:rPr>
          <w:rFonts w:ascii="宋体" w:eastAsia="宋体" w:hAnsi="宋体" w:cs="宋体" w:hint="eastAsia"/>
          <w:sz w:val="24"/>
        </w:rPr>
        <w:t>件统计</w:t>
      </w:r>
      <w:proofErr w:type="gramEnd"/>
      <w:r>
        <w:rPr>
          <w:rFonts w:ascii="宋体" w:eastAsia="宋体" w:hAnsi="宋体" w:cs="宋体" w:hint="eastAsia"/>
          <w:sz w:val="24"/>
        </w:rPr>
        <w:t>制度。</w:t>
      </w:r>
    </w:p>
    <w:p w14:paraId="6013DA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八）落实安防要求，强化安全管理。各银行业金融机构要按照规定开展安防设施建设，切实提高科技化、智能化管理水平。各级监管机构要会同公安机关加强对安防工作的指导、检查，督促银行业金融机构落实各项安防要求，建设平安型银行。</w:t>
      </w:r>
    </w:p>
    <w:p w14:paraId="74C27D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九）剖析外侵案件，加强信息交流。各银行业金融机构要加强对安保类案（事）件作案手法和防范对策的分析研究。各级监管机构要及时通报安防形势和作案动向，提示风险，介绍好的做法。研究建立“银行业反欺诈信息管理系统”，为银行业防范外部欺诈风险提供支撑。</w:t>
      </w:r>
    </w:p>
    <w:p w14:paraId="645B5B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组织专项检查，促进安防达标。各银行业金融机构要定期、不定期组织开展安保专项检查，及时发现问题，研究整改措施，跟踪落实情况。各级监管机构要结合实际，适时组织开展专项安保检查，今年要重点开展自助设备安全防护专项检查，提升银行业金融机构自助设备风险防范能力。</w:t>
      </w:r>
    </w:p>
    <w:p w14:paraId="1FCED3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（二十一）组建安</w:t>
      </w:r>
      <w:proofErr w:type="gramStart"/>
      <w:r>
        <w:rPr>
          <w:rFonts w:ascii="宋体" w:eastAsia="宋体" w:hAnsi="宋体" w:cs="宋体" w:hint="eastAsia"/>
          <w:sz w:val="24"/>
        </w:rPr>
        <w:t>保专业</w:t>
      </w:r>
      <w:proofErr w:type="gramEnd"/>
      <w:r>
        <w:rPr>
          <w:rFonts w:ascii="宋体" w:eastAsia="宋体" w:hAnsi="宋体" w:cs="宋体" w:hint="eastAsia"/>
          <w:sz w:val="24"/>
        </w:rPr>
        <w:t>委员会，发挥行业自律组织作用。积极推动成立银</w:t>
      </w:r>
      <w:r>
        <w:rPr>
          <w:rFonts w:ascii="宋体" w:eastAsia="宋体" w:hAnsi="宋体" w:cs="宋体" w:hint="eastAsia"/>
          <w:sz w:val="24"/>
        </w:rPr>
        <w:lastRenderedPageBreak/>
        <w:t>行业安保专业委员会，发挥其在安保工作中的自律、维权、协调、服务作用，为制定安保行业规范、开展从业资格认证和安保培训、协调解决安保工作面临的问题提供帮助。</w:t>
      </w:r>
    </w:p>
    <w:p w14:paraId="5C86D9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五、加强组织领导，</w:t>
      </w:r>
      <w:proofErr w:type="gramStart"/>
      <w:r>
        <w:rPr>
          <w:rFonts w:ascii="宋体" w:eastAsia="宋体" w:hAnsi="宋体" w:cs="宋体" w:hint="eastAsia"/>
          <w:sz w:val="24"/>
        </w:rPr>
        <w:t>增强案防保障</w:t>
      </w:r>
      <w:proofErr w:type="gramEnd"/>
      <w:r>
        <w:rPr>
          <w:rFonts w:ascii="宋体" w:eastAsia="宋体" w:hAnsi="宋体" w:cs="宋体" w:hint="eastAsia"/>
          <w:sz w:val="24"/>
        </w:rPr>
        <w:t>能力</w:t>
      </w:r>
    </w:p>
    <w:p w14:paraId="3C54EF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（二十二）健全组织机构，定期</w:t>
      </w:r>
      <w:proofErr w:type="gramStart"/>
      <w:r>
        <w:rPr>
          <w:rFonts w:ascii="宋体" w:eastAsia="宋体" w:hAnsi="宋体" w:cs="宋体" w:hint="eastAsia"/>
          <w:sz w:val="24"/>
        </w:rPr>
        <w:t>研究案防</w:t>
      </w:r>
      <w:proofErr w:type="gramEnd"/>
      <w:r>
        <w:rPr>
          <w:rFonts w:ascii="宋体" w:eastAsia="宋体" w:hAnsi="宋体" w:cs="宋体" w:hint="eastAsia"/>
          <w:sz w:val="24"/>
        </w:rPr>
        <w:t>工作。各银行业金融机构和银监局要高度</w:t>
      </w:r>
      <w:proofErr w:type="gramStart"/>
      <w:r>
        <w:rPr>
          <w:rFonts w:ascii="宋体" w:eastAsia="宋体" w:hAnsi="宋体" w:cs="宋体" w:hint="eastAsia"/>
          <w:sz w:val="24"/>
        </w:rPr>
        <w:t>重视案防</w:t>
      </w:r>
      <w:proofErr w:type="gramEnd"/>
      <w:r>
        <w:rPr>
          <w:rFonts w:ascii="宋体" w:eastAsia="宋体" w:hAnsi="宋体" w:cs="宋体" w:hint="eastAsia"/>
          <w:sz w:val="24"/>
        </w:rPr>
        <w:t>工作，加强组织领导，建立以主要领导或分管领导为主要负责人</w:t>
      </w:r>
      <w:proofErr w:type="gramStart"/>
      <w:r>
        <w:rPr>
          <w:rFonts w:ascii="宋体" w:eastAsia="宋体" w:hAnsi="宋体" w:cs="宋体" w:hint="eastAsia"/>
          <w:sz w:val="24"/>
        </w:rPr>
        <w:t>的案防工作</w:t>
      </w:r>
      <w:proofErr w:type="gramEnd"/>
      <w:r>
        <w:rPr>
          <w:rFonts w:ascii="宋体" w:eastAsia="宋体" w:hAnsi="宋体" w:cs="宋体" w:hint="eastAsia"/>
          <w:sz w:val="24"/>
        </w:rPr>
        <w:t>领导机构，定期</w:t>
      </w:r>
      <w:proofErr w:type="gramStart"/>
      <w:r>
        <w:rPr>
          <w:rFonts w:ascii="宋体" w:eastAsia="宋体" w:hAnsi="宋体" w:cs="宋体" w:hint="eastAsia"/>
          <w:sz w:val="24"/>
        </w:rPr>
        <w:t>分析案防</w:t>
      </w:r>
      <w:proofErr w:type="gramEnd"/>
      <w:r>
        <w:rPr>
          <w:rFonts w:ascii="宋体" w:eastAsia="宋体" w:hAnsi="宋体" w:cs="宋体" w:hint="eastAsia"/>
          <w:sz w:val="24"/>
        </w:rPr>
        <w:t>形势，</w:t>
      </w:r>
      <w:proofErr w:type="gramStart"/>
      <w:r>
        <w:rPr>
          <w:rFonts w:ascii="宋体" w:eastAsia="宋体" w:hAnsi="宋体" w:cs="宋体" w:hint="eastAsia"/>
          <w:sz w:val="24"/>
        </w:rPr>
        <w:t>研究案防特</w:t>
      </w:r>
      <w:proofErr w:type="gramEnd"/>
      <w:r>
        <w:rPr>
          <w:rFonts w:ascii="宋体" w:eastAsia="宋体" w:hAnsi="宋体" w:cs="宋体" w:hint="eastAsia"/>
          <w:sz w:val="24"/>
        </w:rPr>
        <w:t>点，</w:t>
      </w:r>
      <w:proofErr w:type="gramStart"/>
      <w:r>
        <w:rPr>
          <w:rFonts w:ascii="宋体" w:eastAsia="宋体" w:hAnsi="宋体" w:cs="宋体" w:hint="eastAsia"/>
          <w:sz w:val="24"/>
        </w:rPr>
        <w:t>统筹案防</w:t>
      </w:r>
      <w:proofErr w:type="gramEnd"/>
      <w:r>
        <w:rPr>
          <w:rFonts w:ascii="宋体" w:eastAsia="宋体" w:hAnsi="宋体" w:cs="宋体" w:hint="eastAsia"/>
          <w:sz w:val="24"/>
        </w:rPr>
        <w:t>工作，加强督促指导，</w:t>
      </w:r>
      <w:proofErr w:type="gramStart"/>
      <w:r>
        <w:rPr>
          <w:rFonts w:ascii="宋体" w:eastAsia="宋体" w:hAnsi="宋体" w:cs="宋体" w:hint="eastAsia"/>
          <w:sz w:val="24"/>
        </w:rPr>
        <w:t>增强案防</w:t>
      </w:r>
      <w:proofErr w:type="gramEnd"/>
      <w:r>
        <w:rPr>
          <w:rFonts w:ascii="宋体" w:eastAsia="宋体" w:hAnsi="宋体" w:cs="宋体" w:hint="eastAsia"/>
          <w:sz w:val="24"/>
        </w:rPr>
        <w:t>工作的前瞻性、科学性和有效性。</w:t>
      </w:r>
    </w:p>
    <w:p w14:paraId="217051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（二十三）加强统筹协调，制定</w:t>
      </w:r>
      <w:proofErr w:type="gramStart"/>
      <w:r>
        <w:rPr>
          <w:rFonts w:ascii="宋体" w:eastAsia="宋体" w:hAnsi="宋体" w:cs="宋体" w:hint="eastAsia"/>
          <w:sz w:val="24"/>
        </w:rPr>
        <w:t>年度案防</w:t>
      </w:r>
      <w:proofErr w:type="gramEnd"/>
      <w:r>
        <w:rPr>
          <w:rFonts w:ascii="宋体" w:eastAsia="宋体" w:hAnsi="宋体" w:cs="宋体" w:hint="eastAsia"/>
          <w:sz w:val="24"/>
        </w:rPr>
        <w:t>工作计划。各银行业金融机构要认真分析本机构</w:t>
      </w:r>
      <w:proofErr w:type="gramStart"/>
      <w:r>
        <w:rPr>
          <w:rFonts w:ascii="宋体" w:eastAsia="宋体" w:hAnsi="宋体" w:cs="宋体" w:hint="eastAsia"/>
          <w:sz w:val="24"/>
        </w:rPr>
        <w:t>的案防工作</w:t>
      </w:r>
      <w:proofErr w:type="gramEnd"/>
      <w:r>
        <w:rPr>
          <w:rFonts w:ascii="宋体" w:eastAsia="宋体" w:hAnsi="宋体" w:cs="宋体" w:hint="eastAsia"/>
          <w:sz w:val="24"/>
        </w:rPr>
        <w:t>，结合</w:t>
      </w:r>
      <w:proofErr w:type="gramStart"/>
      <w:r>
        <w:rPr>
          <w:rFonts w:ascii="宋体" w:eastAsia="宋体" w:hAnsi="宋体" w:cs="宋体" w:hint="eastAsia"/>
          <w:sz w:val="24"/>
        </w:rPr>
        <w:t>自身案防特</w:t>
      </w:r>
      <w:proofErr w:type="gramEnd"/>
      <w:r>
        <w:rPr>
          <w:rFonts w:ascii="宋体" w:eastAsia="宋体" w:hAnsi="宋体" w:cs="宋体" w:hint="eastAsia"/>
          <w:sz w:val="24"/>
        </w:rPr>
        <w:t>点和风险管理能力，研究制定</w:t>
      </w:r>
      <w:proofErr w:type="gramStart"/>
      <w:r>
        <w:rPr>
          <w:rFonts w:ascii="宋体" w:eastAsia="宋体" w:hAnsi="宋体" w:cs="宋体" w:hint="eastAsia"/>
          <w:sz w:val="24"/>
        </w:rPr>
        <w:t>年度案防</w:t>
      </w:r>
      <w:proofErr w:type="gramEnd"/>
      <w:r>
        <w:rPr>
          <w:rFonts w:ascii="宋体" w:eastAsia="宋体" w:hAnsi="宋体" w:cs="宋体" w:hint="eastAsia"/>
          <w:sz w:val="24"/>
        </w:rPr>
        <w:t>工作计划，</w:t>
      </w:r>
      <w:proofErr w:type="gramStart"/>
      <w:r>
        <w:rPr>
          <w:rFonts w:ascii="宋体" w:eastAsia="宋体" w:hAnsi="宋体" w:cs="宋体" w:hint="eastAsia"/>
          <w:sz w:val="24"/>
        </w:rPr>
        <w:t>明确案防</w:t>
      </w:r>
      <w:proofErr w:type="gramEnd"/>
      <w:r>
        <w:rPr>
          <w:rFonts w:ascii="宋体" w:eastAsia="宋体" w:hAnsi="宋体" w:cs="宋体" w:hint="eastAsia"/>
          <w:sz w:val="24"/>
        </w:rPr>
        <w:t>工作目标、主要工作任务和要求，加强统筹协调，做好组织推动，抓好任务落实、监督检查和总结考核，确保</w:t>
      </w:r>
      <w:proofErr w:type="gramStart"/>
      <w:r>
        <w:rPr>
          <w:rFonts w:ascii="宋体" w:eastAsia="宋体" w:hAnsi="宋体" w:cs="宋体" w:hint="eastAsia"/>
          <w:sz w:val="24"/>
        </w:rPr>
        <w:t>各项案防</w:t>
      </w:r>
      <w:proofErr w:type="gramEnd"/>
      <w:r>
        <w:rPr>
          <w:rFonts w:ascii="宋体" w:eastAsia="宋体" w:hAnsi="宋体" w:cs="宋体" w:hint="eastAsia"/>
          <w:sz w:val="24"/>
        </w:rPr>
        <w:t>工作落到实处。</w:t>
      </w:r>
    </w:p>
    <w:p w14:paraId="6CF09F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（二十四）</w:t>
      </w:r>
      <w:proofErr w:type="gramStart"/>
      <w:r>
        <w:rPr>
          <w:rFonts w:ascii="宋体" w:eastAsia="宋体" w:hAnsi="宋体" w:cs="宋体" w:hint="eastAsia"/>
          <w:sz w:val="24"/>
        </w:rPr>
        <w:t>明确案防</w:t>
      </w:r>
      <w:proofErr w:type="gramEnd"/>
      <w:r>
        <w:rPr>
          <w:rFonts w:ascii="宋体" w:eastAsia="宋体" w:hAnsi="宋体" w:cs="宋体" w:hint="eastAsia"/>
          <w:sz w:val="24"/>
        </w:rPr>
        <w:t>牵头部门，提供必要资源保障。银行业金融机构应明确负责合</w:t>
      </w:r>
      <w:proofErr w:type="gramStart"/>
      <w:r>
        <w:rPr>
          <w:rFonts w:ascii="宋体" w:eastAsia="宋体" w:hAnsi="宋体" w:cs="宋体" w:hint="eastAsia"/>
          <w:sz w:val="24"/>
        </w:rPr>
        <w:t>规</w:t>
      </w:r>
      <w:proofErr w:type="gramEnd"/>
      <w:r>
        <w:rPr>
          <w:rFonts w:ascii="宋体" w:eastAsia="宋体" w:hAnsi="宋体" w:cs="宋体" w:hint="eastAsia"/>
          <w:sz w:val="24"/>
        </w:rPr>
        <w:t>管理工作的部门作为本</w:t>
      </w:r>
      <w:proofErr w:type="gramStart"/>
      <w:r>
        <w:rPr>
          <w:rFonts w:ascii="宋体" w:eastAsia="宋体" w:hAnsi="宋体" w:cs="宋体" w:hint="eastAsia"/>
          <w:sz w:val="24"/>
        </w:rPr>
        <w:t>机构案防牵头</w:t>
      </w:r>
      <w:proofErr w:type="gramEnd"/>
      <w:r>
        <w:rPr>
          <w:rFonts w:ascii="宋体" w:eastAsia="宋体" w:hAnsi="宋体" w:cs="宋体" w:hint="eastAsia"/>
          <w:sz w:val="24"/>
        </w:rPr>
        <w:t>部门，</w:t>
      </w:r>
      <w:proofErr w:type="gramStart"/>
      <w:r>
        <w:rPr>
          <w:rFonts w:ascii="宋体" w:eastAsia="宋体" w:hAnsi="宋体" w:cs="宋体" w:hint="eastAsia"/>
          <w:sz w:val="24"/>
        </w:rPr>
        <w:t>把案防工作</w:t>
      </w:r>
      <w:proofErr w:type="gramEnd"/>
      <w:r>
        <w:rPr>
          <w:rFonts w:ascii="宋体" w:eastAsia="宋体" w:hAnsi="宋体" w:cs="宋体" w:hint="eastAsia"/>
          <w:sz w:val="24"/>
        </w:rPr>
        <w:t>作为其重要职责，并提供与履行职责相适应的资源保障。</w:t>
      </w:r>
      <w:proofErr w:type="gramStart"/>
      <w:r>
        <w:rPr>
          <w:rFonts w:ascii="宋体" w:eastAsia="宋体" w:hAnsi="宋体" w:cs="宋体" w:hint="eastAsia"/>
          <w:sz w:val="24"/>
        </w:rPr>
        <w:t>各银监</w:t>
      </w:r>
      <w:proofErr w:type="gramEnd"/>
      <w:r>
        <w:rPr>
          <w:rFonts w:ascii="宋体" w:eastAsia="宋体" w:hAnsi="宋体" w:cs="宋体" w:hint="eastAsia"/>
          <w:sz w:val="24"/>
        </w:rPr>
        <w:t>局要根据本</w:t>
      </w:r>
      <w:proofErr w:type="gramStart"/>
      <w:r>
        <w:rPr>
          <w:rFonts w:ascii="宋体" w:eastAsia="宋体" w:hAnsi="宋体" w:cs="宋体" w:hint="eastAsia"/>
          <w:sz w:val="24"/>
        </w:rPr>
        <w:t>辖区案防</w:t>
      </w:r>
      <w:proofErr w:type="gramEnd"/>
      <w:r>
        <w:rPr>
          <w:rFonts w:ascii="宋体" w:eastAsia="宋体" w:hAnsi="宋体" w:cs="宋体" w:hint="eastAsia"/>
          <w:sz w:val="24"/>
        </w:rPr>
        <w:t>工作任务需要，配备相应的人力资源，确保各项任务顺利完成。要加强内部组织协调，形成职责清晰、主动负责、协调配合</w:t>
      </w:r>
      <w:proofErr w:type="gramStart"/>
      <w:r>
        <w:rPr>
          <w:rFonts w:ascii="宋体" w:eastAsia="宋体" w:hAnsi="宋体" w:cs="宋体" w:hint="eastAsia"/>
          <w:sz w:val="24"/>
        </w:rPr>
        <w:t>的案防工作</w:t>
      </w:r>
      <w:proofErr w:type="gramEnd"/>
      <w:r>
        <w:rPr>
          <w:rFonts w:ascii="宋体" w:eastAsia="宋体" w:hAnsi="宋体" w:cs="宋体" w:hint="eastAsia"/>
          <w:sz w:val="24"/>
        </w:rPr>
        <w:t>机制。</w:t>
      </w:r>
    </w:p>
    <w:p w14:paraId="662CC0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（二十五）完善考核机制，强化正向激励。各银行业金融机构要加大案防工作考核力度，强化过程考核，</w:t>
      </w:r>
      <w:proofErr w:type="gramStart"/>
      <w:r>
        <w:rPr>
          <w:rFonts w:ascii="宋体" w:eastAsia="宋体" w:hAnsi="宋体" w:cs="宋体" w:hint="eastAsia"/>
          <w:sz w:val="24"/>
        </w:rPr>
        <w:t>提升案防</w:t>
      </w:r>
      <w:proofErr w:type="gramEnd"/>
      <w:r>
        <w:rPr>
          <w:rFonts w:ascii="宋体" w:eastAsia="宋体" w:hAnsi="宋体" w:cs="宋体" w:hint="eastAsia"/>
          <w:sz w:val="24"/>
        </w:rPr>
        <w:t>内控和风险管理在经营绩效考核中的权重。对认真执行各项规章制度，依法合</w:t>
      </w:r>
      <w:proofErr w:type="gramStart"/>
      <w:r>
        <w:rPr>
          <w:rFonts w:ascii="宋体" w:eastAsia="宋体" w:hAnsi="宋体" w:cs="宋体" w:hint="eastAsia"/>
          <w:sz w:val="24"/>
        </w:rPr>
        <w:t>规</w:t>
      </w:r>
      <w:proofErr w:type="gramEnd"/>
      <w:r>
        <w:rPr>
          <w:rFonts w:ascii="宋体" w:eastAsia="宋体" w:hAnsi="宋体" w:cs="宋体" w:hint="eastAsia"/>
          <w:sz w:val="24"/>
        </w:rPr>
        <w:t>经营，全面落实</w:t>
      </w:r>
      <w:proofErr w:type="gramStart"/>
      <w:r>
        <w:rPr>
          <w:rFonts w:ascii="宋体" w:eastAsia="宋体" w:hAnsi="宋体" w:cs="宋体" w:hint="eastAsia"/>
          <w:sz w:val="24"/>
        </w:rPr>
        <w:t>各项案防</w:t>
      </w:r>
      <w:proofErr w:type="gramEnd"/>
      <w:r>
        <w:rPr>
          <w:rFonts w:ascii="宋体" w:eastAsia="宋体" w:hAnsi="宋体" w:cs="宋体" w:hint="eastAsia"/>
          <w:sz w:val="24"/>
        </w:rPr>
        <w:t>工作要求，全年没有发生案件的机构，要加大正向激励力度；对不</w:t>
      </w:r>
      <w:proofErr w:type="gramStart"/>
      <w:r>
        <w:rPr>
          <w:rFonts w:ascii="宋体" w:eastAsia="宋体" w:hAnsi="宋体" w:cs="宋体" w:hint="eastAsia"/>
          <w:sz w:val="24"/>
        </w:rPr>
        <w:t>重视案防</w:t>
      </w:r>
      <w:proofErr w:type="gramEnd"/>
      <w:r>
        <w:rPr>
          <w:rFonts w:ascii="宋体" w:eastAsia="宋体" w:hAnsi="宋体" w:cs="宋体" w:hint="eastAsia"/>
          <w:sz w:val="24"/>
        </w:rPr>
        <w:t>工作、</w:t>
      </w:r>
      <w:proofErr w:type="gramStart"/>
      <w:r>
        <w:rPr>
          <w:rFonts w:ascii="宋体" w:eastAsia="宋体" w:hAnsi="宋体" w:cs="宋体" w:hint="eastAsia"/>
          <w:sz w:val="24"/>
        </w:rPr>
        <w:t>案防措施</w:t>
      </w:r>
      <w:proofErr w:type="gramEnd"/>
      <w:r>
        <w:rPr>
          <w:rFonts w:ascii="宋体" w:eastAsia="宋体" w:hAnsi="宋体" w:cs="宋体" w:hint="eastAsia"/>
          <w:sz w:val="24"/>
        </w:rPr>
        <w:t>不落实引发案件的机构，要加大约束惩戒力度。</w:t>
      </w:r>
    </w:p>
    <w:p w14:paraId="5DE844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（二十六）</w:t>
      </w:r>
      <w:proofErr w:type="gramStart"/>
      <w:r>
        <w:rPr>
          <w:rFonts w:ascii="宋体" w:eastAsia="宋体" w:hAnsi="宋体" w:cs="宋体" w:hint="eastAsia"/>
          <w:sz w:val="24"/>
        </w:rPr>
        <w:t>组织案防</w:t>
      </w:r>
      <w:proofErr w:type="gramEnd"/>
      <w:r>
        <w:rPr>
          <w:rFonts w:ascii="宋体" w:eastAsia="宋体" w:hAnsi="宋体" w:cs="宋体" w:hint="eastAsia"/>
          <w:sz w:val="24"/>
        </w:rPr>
        <w:t>培训，加强调查研究。各银行业金融机构要定期组织开展形式多样的</w:t>
      </w:r>
      <w:proofErr w:type="gramStart"/>
      <w:r>
        <w:rPr>
          <w:rFonts w:ascii="宋体" w:eastAsia="宋体" w:hAnsi="宋体" w:cs="宋体" w:hint="eastAsia"/>
          <w:sz w:val="24"/>
        </w:rPr>
        <w:t>案防教育</w:t>
      </w:r>
      <w:proofErr w:type="gramEnd"/>
      <w:r>
        <w:rPr>
          <w:rFonts w:ascii="宋体" w:eastAsia="宋体" w:hAnsi="宋体" w:cs="宋体" w:hint="eastAsia"/>
          <w:sz w:val="24"/>
        </w:rPr>
        <w:t>培训活动，使员工熟知各项内控和</w:t>
      </w:r>
      <w:proofErr w:type="gramStart"/>
      <w:r>
        <w:rPr>
          <w:rFonts w:ascii="宋体" w:eastAsia="宋体" w:hAnsi="宋体" w:cs="宋体" w:hint="eastAsia"/>
          <w:sz w:val="24"/>
        </w:rPr>
        <w:t>案防</w:t>
      </w:r>
      <w:proofErr w:type="gramEnd"/>
      <w:r>
        <w:rPr>
          <w:rFonts w:ascii="宋体" w:eastAsia="宋体" w:hAnsi="宋体" w:cs="宋体" w:hint="eastAsia"/>
          <w:sz w:val="24"/>
        </w:rPr>
        <w:t>制度。组织对银行业金融机构和监管</w:t>
      </w:r>
      <w:proofErr w:type="gramStart"/>
      <w:r>
        <w:rPr>
          <w:rFonts w:ascii="宋体" w:eastAsia="宋体" w:hAnsi="宋体" w:cs="宋体" w:hint="eastAsia"/>
          <w:sz w:val="24"/>
        </w:rPr>
        <w:t>机构案防部门</w:t>
      </w:r>
      <w:proofErr w:type="gramEnd"/>
      <w:r>
        <w:rPr>
          <w:rFonts w:ascii="宋体" w:eastAsia="宋体" w:hAnsi="宋体" w:cs="宋体" w:hint="eastAsia"/>
          <w:sz w:val="24"/>
        </w:rPr>
        <w:t>主要负责人进行培训，各银行业金融机构和银监局要组织好再培训工作。要改进工作作风，加强调查研究，</w:t>
      </w:r>
      <w:proofErr w:type="gramStart"/>
      <w:r>
        <w:rPr>
          <w:rFonts w:ascii="宋体" w:eastAsia="宋体" w:hAnsi="宋体" w:cs="宋体" w:hint="eastAsia"/>
          <w:sz w:val="24"/>
        </w:rPr>
        <w:t>针对案防</w:t>
      </w:r>
      <w:proofErr w:type="gramEnd"/>
      <w:r>
        <w:rPr>
          <w:rFonts w:ascii="宋体" w:eastAsia="宋体" w:hAnsi="宋体" w:cs="宋体" w:hint="eastAsia"/>
          <w:sz w:val="24"/>
        </w:rPr>
        <w:t>工作重点、热点和难点问题组织开展调研，以调研</w:t>
      </w:r>
      <w:proofErr w:type="gramStart"/>
      <w:r>
        <w:rPr>
          <w:rFonts w:ascii="宋体" w:eastAsia="宋体" w:hAnsi="宋体" w:cs="宋体" w:hint="eastAsia"/>
          <w:sz w:val="24"/>
        </w:rPr>
        <w:t>推动案防</w:t>
      </w:r>
      <w:proofErr w:type="gramEnd"/>
      <w:r>
        <w:rPr>
          <w:rFonts w:ascii="宋体" w:eastAsia="宋体" w:hAnsi="宋体" w:cs="宋体" w:hint="eastAsia"/>
          <w:sz w:val="24"/>
        </w:rPr>
        <w:t>工作。组织开展银行业反欺诈专</w:t>
      </w:r>
      <w:r>
        <w:rPr>
          <w:rFonts w:ascii="宋体" w:eastAsia="宋体" w:hAnsi="宋体" w:cs="宋体" w:hint="eastAsia"/>
          <w:sz w:val="24"/>
        </w:rPr>
        <w:lastRenderedPageBreak/>
        <w:t>题调研，各银行业金融机构和银监局要主动作为，深入研究，报送高质量的调研成果。</w:t>
      </w:r>
    </w:p>
    <w:p w14:paraId="328B52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中国银行业监管委员会办公厅</w:t>
      </w:r>
    </w:p>
    <w:p w14:paraId="25E6EE28"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2014年1月28日</w:t>
      </w:r>
    </w:p>
    <w:p w14:paraId="274B28FC"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92.《商业银行内部控制指引（2014修订）》</w:t>
      </w:r>
    </w:p>
    <w:p w14:paraId="097004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w:t>
      </w:r>
      <w:r>
        <w:rPr>
          <w:rFonts w:ascii="宋体" w:eastAsia="宋体" w:hAnsi="宋体" w:cs="宋体" w:hint="eastAsia"/>
          <w:sz w:val="24"/>
        </w:rPr>
        <w:tab/>
        <w:t>中国银行业监督管理委员会(已撤销)</w:t>
      </w:r>
      <w:r>
        <w:rPr>
          <w:rFonts w:ascii="宋体" w:eastAsia="宋体" w:hAnsi="宋体" w:cs="宋体" w:hint="eastAsia"/>
          <w:sz w:val="24"/>
        </w:rPr>
        <w:tab/>
      </w:r>
    </w:p>
    <w:p w14:paraId="2971D1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文号：银监发〔2014〕40号</w:t>
      </w:r>
      <w:r>
        <w:rPr>
          <w:rFonts w:ascii="宋体" w:eastAsia="宋体" w:hAnsi="宋体" w:cs="宋体" w:hint="eastAsia"/>
          <w:sz w:val="24"/>
        </w:rPr>
        <w:tab/>
      </w:r>
    </w:p>
    <w:p w14:paraId="0E6CA6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7933B6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为促进商业银行建立和健全内部控制，有效防范风险，保障银行体系安全稳健运行，依据《中华人民共和国银行业监督管理法》、《中华人民共和国商业银行法》等法律法规，制定本指引。</w:t>
      </w:r>
    </w:p>
    <w:p w14:paraId="4FDEDC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中华人民共和国境内依法设立的商业银行适用本指引。</w:t>
      </w:r>
    </w:p>
    <w:p w14:paraId="33C352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内部控制是商业银行董事会、监事会、高级管理层和全体员工参与的，通过制定和实施系统化的制度、流程和方法，实现控制目标的动态过程和机制。</w:t>
      </w:r>
    </w:p>
    <w:p w14:paraId="6741BB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商业银行内部控制的目标：</w:t>
      </w:r>
    </w:p>
    <w:p w14:paraId="5FC0B2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（一）保证国家有关法律法规及规章的贯彻执行。</w:t>
      </w:r>
    </w:p>
    <w:p w14:paraId="7E9DC0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（二）保证商业银行发展战略和经营目标的实现。</w:t>
      </w:r>
    </w:p>
    <w:p w14:paraId="04DCF6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（三）保证商业银行风险管理的有效性。</w:t>
      </w:r>
    </w:p>
    <w:p w14:paraId="2BDA45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（四）保证商业银行业务记录、会计信息、财务信息和其他管理信息的真实、准确、完整和及时。</w:t>
      </w:r>
    </w:p>
    <w:p w14:paraId="6FB285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商业银行内部控制应当遵循以下基本原则：</w:t>
      </w:r>
    </w:p>
    <w:p w14:paraId="2EB2CD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（一）全覆盖原则。商业银行内部控制应当贯穿决策、执行和监督全过程，覆盖各项业务流程和管理活动，覆盖所有的部门、岗位和人员。</w:t>
      </w:r>
    </w:p>
    <w:p w14:paraId="1C7503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（二）制衡性原则。商业银行内部控制应当在治理结构、机构设置及权责分配、业务流程等方面形成相互制约、相互监督的机制。</w:t>
      </w:r>
    </w:p>
    <w:p w14:paraId="5017C1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（三）审慎性原则。商业银行内部控制应当坚持风险为本、审慎经营的理念，设立机构或开办业务均应坚持内控优先。</w:t>
      </w:r>
    </w:p>
    <w:p w14:paraId="3A6438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（四）相匹配原则。商业银行内部控制应当与管理模式、业务规模、产品复杂程度、风险状况等相适应，并根据情况变化及时进行调整。</w:t>
      </w:r>
    </w:p>
    <w:p w14:paraId="31E9D7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商业银行应当建立健全内部控制体系，明确内部控制职责，完善内部控制措施，强化内部控制保障，持续开展内部控制评价和监督。</w:t>
      </w:r>
    </w:p>
    <w:p w14:paraId="730FB5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内部控制职责</w:t>
      </w:r>
    </w:p>
    <w:p w14:paraId="3CA8C5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商业银行应当建立由董事会、监事会、高级管理层、内控管理职能部门、内部审计部门、业务部门组成的分工合理、职责明确、报告关系清晰的内部控制治理和组织架构。</w:t>
      </w:r>
    </w:p>
    <w:p w14:paraId="319D0A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董事会负责保证商业银行建立并实施充分有效的内部控制体系，保证商业银行在法律和政策框架内审慎经营；负责明确设定可接受的风险水平，保证高级管理层采取必要的风险控制措施；负责监督高级管理层对内部控制体系的充分性与有效性进行监测和评估。</w:t>
      </w:r>
    </w:p>
    <w:p w14:paraId="709D05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监事会负责监督董事会、高级管理</w:t>
      </w:r>
      <w:proofErr w:type="gramStart"/>
      <w:r>
        <w:rPr>
          <w:rFonts w:ascii="宋体" w:eastAsia="宋体" w:hAnsi="宋体" w:cs="宋体" w:hint="eastAsia"/>
          <w:sz w:val="24"/>
        </w:rPr>
        <w:t>层完善</w:t>
      </w:r>
      <w:proofErr w:type="gramEnd"/>
      <w:r>
        <w:rPr>
          <w:rFonts w:ascii="宋体" w:eastAsia="宋体" w:hAnsi="宋体" w:cs="宋体" w:hint="eastAsia"/>
          <w:sz w:val="24"/>
        </w:rPr>
        <w:t>内部控制体系；负责监督董事会、高级管理层及其成员履行内部控制职责。</w:t>
      </w:r>
    </w:p>
    <w:p w14:paraId="52D657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高级管理</w:t>
      </w:r>
      <w:proofErr w:type="gramStart"/>
      <w:r>
        <w:rPr>
          <w:rFonts w:ascii="宋体" w:eastAsia="宋体" w:hAnsi="宋体" w:cs="宋体" w:hint="eastAsia"/>
          <w:sz w:val="24"/>
        </w:rPr>
        <w:t>层负责</w:t>
      </w:r>
      <w:proofErr w:type="gramEnd"/>
      <w:r>
        <w:rPr>
          <w:rFonts w:ascii="宋体" w:eastAsia="宋体" w:hAnsi="宋体" w:cs="宋体" w:hint="eastAsia"/>
          <w:sz w:val="24"/>
        </w:rPr>
        <w:t>执行董事会决策；负责根据董事会确定的可接受的风险水平，制定系统化的制度、流程和方法，采取相应的风险控制措施；负责建立和完善内部组织机构，保证内部控制的各项职责得到有效履行；负责组织对内部控制体系的充分性与有效性进行监测和评估。</w:t>
      </w:r>
    </w:p>
    <w:p w14:paraId="03D562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商业银行应当指定专门部门作为内控管理职能部门，牵头内部控制体系的统筹规划、组织落实和检查评估。</w:t>
      </w:r>
    </w:p>
    <w:p w14:paraId="2C36D3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商业银行内部审计部门履行内部控制的监督职能，负责对商业银行内部控制的充分性和有效性进行审计，及时报告审计发现的问题，并监督整改。</w:t>
      </w:r>
    </w:p>
    <w:p w14:paraId="4E54E5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商业银行的业务部门负责参与制定与自身职责相关的业务制度和操作流程；负责严格执行相关制度规定；负责组织开展监督检查；负责按照规定时限和路径报告内部控制存在的缺陷，并组织落实整改。</w:t>
      </w:r>
    </w:p>
    <w:p w14:paraId="29FADF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本指引所称商业银行业务部门是指除内部审计部门和内控管理职能部门外</w:t>
      </w:r>
      <w:r>
        <w:rPr>
          <w:rFonts w:ascii="宋体" w:eastAsia="宋体" w:hAnsi="宋体" w:cs="宋体" w:hint="eastAsia"/>
          <w:sz w:val="24"/>
        </w:rPr>
        <w:lastRenderedPageBreak/>
        <w:t>的其他部门。</w:t>
      </w:r>
    </w:p>
    <w:p w14:paraId="185870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内部控制措施</w:t>
      </w:r>
    </w:p>
    <w:p w14:paraId="13DD8D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商业银行应当建立健全内部控制制度体系，对各项业务活动和管理活动制定全面、系统、规范的业务制度和管理制度，并定期进行评估。</w:t>
      </w:r>
    </w:p>
    <w:p w14:paraId="357A8B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商业银行应当合理确定各项业务活动和管理活动的风险控制点，采取适当的控制措施，执行标准统一的业务流程和管理流程，确保规范运作。</w:t>
      </w:r>
    </w:p>
    <w:p w14:paraId="394615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商业银行应当采用科学的风险管理技术和方法，充分识别和评估经营中面临的风险，对各类主要风险进行持续监控。</w:t>
      </w:r>
    </w:p>
    <w:p w14:paraId="50C5C9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商业银行应当建立健全信息系统控制，通过内部控制流程与业务操作系统和管理信息系统的有效结合，加强对业务和管理活动的系统自动控制。</w:t>
      </w:r>
    </w:p>
    <w:p w14:paraId="4EE136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商业银行应当根据经营管理需要，合理确定部门、岗位的职责及权限，形成规范的部门、岗位职责说明，明确相应的报告路线。</w:t>
      </w:r>
    </w:p>
    <w:p w14:paraId="30F8D5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商业银行应当全面系统地分析、梳理业务流程和管理活动中所涉及的不相容岗位，实施相应的分离措施，形成相互制约的岗位安排。</w:t>
      </w:r>
    </w:p>
    <w:p w14:paraId="5523F0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商业银行应当明确重要岗位，并制定重要岗位的内部控制要求，对重要岗位人员实行轮岗或强制休假制度，原则上不相容岗位人员之间不得轮岗。</w:t>
      </w:r>
    </w:p>
    <w:p w14:paraId="5ECBB7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商业银行应当制定规范员工行为的相关制度，明确对员工的禁止性规定，加强对员工行为的监督和排查，建立员工异常行为举报、查处机制。</w:t>
      </w:r>
    </w:p>
    <w:p w14:paraId="483C46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商业银行应当根据各分支机构和各部门的经营能力、管理水平、风险状况和业务发展需要，建立相应的授权体系，明确各级机构、部门、岗位、人员办理业务和事项的权限，并实施动态调整。</w:t>
      </w:r>
    </w:p>
    <w:p w14:paraId="4B581F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商业银行应当严格执行会计准则与制度，及时准确地反映各项业务交易，确保财务会计信息真实、可靠、完整。</w:t>
      </w:r>
    </w:p>
    <w:p w14:paraId="0ECC26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商业银行应当建立有效的核对、监控制度，对各种账证、报表定期进行核对，对现金、有价证券等有形资产和重要凭证及时进行盘点。</w:t>
      </w:r>
    </w:p>
    <w:p w14:paraId="48DB96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第二十四条 商业银行设立新机构、开办新业务、提供新产品和服务，应当对潜在的风险进行评估，并制定相应的管理制度和业务流程。</w:t>
      </w:r>
    </w:p>
    <w:p w14:paraId="2B3758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商业银行应当建立健全外包管理制度，明确外包管理组织架构和管理职责，并至少每年开展一次全面的外包业务风险评估。涉及战略管理、风险管理、内部审计及其他有关核心竞争力的职能不得外包。</w:t>
      </w:r>
    </w:p>
    <w:p w14:paraId="05408E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商业银行应当建立健全客户投诉处理机制，制定投诉处理工作流程，定期汇总分析投诉反映事项，查找问题，有效改进服务和管理。</w:t>
      </w:r>
    </w:p>
    <w:p w14:paraId="18B6E1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内部控制保障</w:t>
      </w:r>
    </w:p>
    <w:p w14:paraId="3AFA89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商业银行应当建立贯穿各级机构、覆盖所有业务和全部流程的管理信息系统和业务操作系统，及时、准确记录经营管理信息，确保信息的完整、连续、准确和</w:t>
      </w:r>
      <w:proofErr w:type="gramStart"/>
      <w:r>
        <w:rPr>
          <w:rFonts w:ascii="宋体" w:eastAsia="宋体" w:hAnsi="宋体" w:cs="宋体" w:hint="eastAsia"/>
          <w:sz w:val="24"/>
        </w:rPr>
        <w:t>可</w:t>
      </w:r>
      <w:proofErr w:type="gramEnd"/>
      <w:r>
        <w:rPr>
          <w:rFonts w:ascii="宋体" w:eastAsia="宋体" w:hAnsi="宋体" w:cs="宋体" w:hint="eastAsia"/>
          <w:sz w:val="24"/>
        </w:rPr>
        <w:t>追溯。</w:t>
      </w:r>
    </w:p>
    <w:p w14:paraId="3872F2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商业银行应当加强对信息的安全控制和保密管理，对各类信息实施分等级安全管理，对信息系统访问实施权限管理，确保信息安全。</w:t>
      </w:r>
    </w:p>
    <w:p w14:paraId="2CD188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商业银行应当建立有效的信息沟通机制，确保董事会、监事会、高级管理层及时了解本行的经营和风险状况，确保相关部门和员工及时了解与其职责相关的制度和信息。</w:t>
      </w:r>
    </w:p>
    <w:p w14:paraId="7D8013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商业银行应当建立与其战略目标相一致的业务连续性管理体系,明确组织结构和管理职能,制定业务连续性计划,组织开展演练和定期的业务连续性管理评估，有效应对运营中断事件,保证业务持续运营。</w:t>
      </w:r>
    </w:p>
    <w:p w14:paraId="358239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商业银行应当制定有利于可持续发展的人力资源政策，将职业道德修养和专业胜任能力作为选拔和聘用员工的重要标准，保证从业人员具备必要的专业资格和从业经验，加强员工培训。</w:t>
      </w:r>
    </w:p>
    <w:p w14:paraId="5FECE5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商业银行应当建立科学的绩效考评体系、合理设定内部控制考评标准，对考评对象在特定期间的内部控制管理活动进行评价，并根据考评结果改进内部控制管理。</w:t>
      </w:r>
    </w:p>
    <w:p w14:paraId="1E2530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商业银行应当对内控管理职能部门和内部审计部门建立区别于业务部门的</w:t>
      </w:r>
      <w:r>
        <w:rPr>
          <w:rFonts w:ascii="宋体" w:eastAsia="宋体" w:hAnsi="宋体" w:cs="宋体" w:hint="eastAsia"/>
          <w:sz w:val="24"/>
        </w:rPr>
        <w:lastRenderedPageBreak/>
        <w:t>绩效考评方式，以利于其有效履行内部控制管理和监督职能。</w:t>
      </w:r>
    </w:p>
    <w:p w14:paraId="13C1CE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商业银行应当培育良好的企业内控文化，引导员工树立合</w:t>
      </w:r>
      <w:proofErr w:type="gramStart"/>
      <w:r>
        <w:rPr>
          <w:rFonts w:ascii="宋体" w:eastAsia="宋体" w:hAnsi="宋体" w:cs="宋体" w:hint="eastAsia"/>
          <w:sz w:val="24"/>
        </w:rPr>
        <w:t>规</w:t>
      </w:r>
      <w:proofErr w:type="gramEnd"/>
      <w:r>
        <w:rPr>
          <w:rFonts w:ascii="宋体" w:eastAsia="宋体" w:hAnsi="宋体" w:cs="宋体" w:hint="eastAsia"/>
          <w:sz w:val="24"/>
        </w:rPr>
        <w:t>意识、风险意识，提高员工的职业道德水准，规范员工行为。</w:t>
      </w:r>
    </w:p>
    <w:p w14:paraId="0D1818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内部控制评价</w:t>
      </w:r>
    </w:p>
    <w:p w14:paraId="707424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商业银行内部控制评价是对商业银行内部控制体系建设、实施和运行结果开展的调查、测试、分析和评估等系统性活动。</w:t>
      </w:r>
    </w:p>
    <w:p w14:paraId="329C01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商业银行应当建立内部控制评价制度，规定内部控制评价的实施主体、频率、内容、程序、方法和标准等，确保内部控制评价工作规范进行。</w:t>
      </w:r>
    </w:p>
    <w:p w14:paraId="25EF85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商业银行内部控制评价应当由董事会指定的部门组织实施。</w:t>
      </w:r>
    </w:p>
    <w:p w14:paraId="70EE81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商业银行应当对纳入并表管理的机构进行内部控制评价，包括商业银行及其附属机构。</w:t>
      </w:r>
    </w:p>
    <w:p w14:paraId="08F41A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商业银行应当根据业务经营情况和风险状况确定内部控制评价的频率，至少每年开展一次。当商业银行发生重大的并购或处置事项、营运模式发生重大改变、外部经营环境发生重大变化，或其他有重大实质影响的事项发生时，应当及时组织开展内部控制评价。</w:t>
      </w:r>
    </w:p>
    <w:p w14:paraId="17A6E8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商业银行应当制定内部控制缺陷认定标准，根据内部控制缺陷的影响程度和发生的可能性划分内部控制缺陷等级，并明确相应的纠正措施和方案。</w:t>
      </w:r>
    </w:p>
    <w:p w14:paraId="791FDD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商业银行应当建立内部控制评价质量控制机制，对评价工作实施全流程质量控制，确保内部控制评价客观公正。</w:t>
      </w:r>
    </w:p>
    <w:p w14:paraId="5682A2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商业银行应当强化内部控制评价结果运用，可将评价结果与被评价机构的绩效考评和授权等挂钩，并作为被评价机构领导班子考评的重要依据。</w:t>
      </w:r>
    </w:p>
    <w:p w14:paraId="6CAD01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商业银行年度内部控制评价报告经董事会审议批准后，于每年4月30日前报送银监会或对其履行法人监管职责的属地银行业监督管理机构。商业银行分支机构应将其内部控制评价情况，按上述时限要求，报送属地银行业监督管理机构。</w:t>
      </w:r>
    </w:p>
    <w:p w14:paraId="442D88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第六章 内部控制监督</w:t>
      </w:r>
    </w:p>
    <w:p w14:paraId="21DE45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商业银行内部审计部门、内控管理职能部门和业务部门均承担内部控制监督检查的职责，应根据分工协调配合，构建覆盖各级机构、各个产品、各个业务流程的监督检查体系。</w:t>
      </w:r>
    </w:p>
    <w:p w14:paraId="6720ED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商业银行应当建立内部控制监督的报告和信息反馈制度，内部审计部门、内控管理职能部门、业务部门人员应将发现的内部控制缺陷，按照规定报告路线及时报告董事会、监事会、高级管理层或相关部门。</w:t>
      </w:r>
    </w:p>
    <w:p w14:paraId="7548F4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商业银行应当建立内部控制问题整改机制，明确整改责任部门，规范整改工作流程，确保整改措施落实到位。</w:t>
      </w:r>
    </w:p>
    <w:p w14:paraId="0AD144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商业银行应当建立内部控制管理责任制，强化责任追究。</w:t>
      </w:r>
    </w:p>
    <w:p w14:paraId="19467F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（一）董事会、高级管理层应当对内部控制的有效性分级负责，并对内部控制失效造成的重大损失承担管理责任。</w:t>
      </w:r>
    </w:p>
    <w:p w14:paraId="408688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（二）内部审计部门、内控管理职能部门应当对未适当履行监督检查和内部控制评价职责承担直接责任。</w:t>
      </w:r>
    </w:p>
    <w:p w14:paraId="042797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（三）业务部门应当对未执行相关制度、流程，未适当履行检查职责，未及时落实整改承担直接责任。</w:t>
      </w:r>
    </w:p>
    <w:p w14:paraId="7DEC56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银行业监督管理机构通过非现场监管和现场检查等方式实施对商业银行内部控制的持续监管，并根据本指引及其他相关法律法规，按年度组织对商业银行内部控制进行评估，提出监管意见，督促商业银行持续加以完善。</w:t>
      </w:r>
    </w:p>
    <w:p w14:paraId="6EBF6B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银监会及其派出机构对内部控制存在缺陷的商业银行，应当责成其限期整改；逾期未整改的，可以根据《中华人民共和国银行业监督管理法》第三十七条有关规定采取监管措施。</w:t>
      </w:r>
    </w:p>
    <w:p w14:paraId="408C09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第四十九条 商业银行违反本指引有关规定的，银监会及其派出机构可以根据《中华人民共和国银行业监督管理法》有关规定采取监管措施。</w:t>
      </w:r>
    </w:p>
    <w:p w14:paraId="574A0B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附则</w:t>
      </w:r>
    </w:p>
    <w:p w14:paraId="4EB741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第五十条 银监会负责监管的其他金融机构参照本指引执行。</w:t>
      </w:r>
    </w:p>
    <w:p w14:paraId="675DBDD7"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第五十一条 本指引自印发之日起施行。</w:t>
      </w:r>
      <w:r>
        <w:rPr>
          <w:rFonts w:ascii="宋体" w:eastAsia="宋体" w:hAnsi="宋体" w:cs="宋体" w:hint="eastAsia"/>
          <w:sz w:val="24"/>
        </w:rPr>
        <w:tab/>
      </w:r>
      <w:r>
        <w:rPr>
          <w:rFonts w:ascii="宋体" w:eastAsia="宋体" w:hAnsi="宋体" w:cs="宋体" w:hint="eastAsia"/>
          <w:sz w:val="24"/>
        </w:rPr>
        <w:tab/>
      </w:r>
    </w:p>
    <w:p w14:paraId="1248C0B8"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93.《商业银行压力测试指引（2014修订）》</w:t>
      </w:r>
    </w:p>
    <w:p w14:paraId="0C15FD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42AFD8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文号：银监发〔2014〕49号</w:t>
      </w:r>
    </w:p>
    <w:p w14:paraId="6F1011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568D13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为提高商业银行风险管理能力，加强系统性风险防范，根据《中华人民共和国银行业监督管理法》、《中华人民共和国商业银行法》、《中华人民共和国外资银行管理条例》等法律法规，制定本指引。</w:t>
      </w:r>
    </w:p>
    <w:p w14:paraId="7D38DE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本指引适用于中华人民共和国境内依法设立的商业银行，包括中资商业银行、外商独资银行和中外合资银行。</w:t>
      </w:r>
    </w:p>
    <w:p w14:paraId="09C9B5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商业银行应当依据本指引健全压力测试体系，提升压力测试能力，定期开展压力测试并确保压力测试结果得到有效应用。</w:t>
      </w:r>
    </w:p>
    <w:p w14:paraId="1A4F34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本指引所称压力测试是一种银行风险管理和监管分析工具，用于分析假定的、极端但可能发生的不利情景对银行整体或资产组合的冲击程度，进而评估其对银行资产质量、盈利能力、资本水平和流动性的负面影响。压力测试有助于监管部门或银行对单家银行、银行集团和银行体系的脆弱性做出评估判断，并采取必要措施。</w:t>
      </w:r>
    </w:p>
    <w:p w14:paraId="6B9D64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银监会及其派出机构依照本指引对商业银行压力测试工作进行监督检查，并采取相应的监管措施。</w:t>
      </w:r>
    </w:p>
    <w:p w14:paraId="1030A1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压力测试管理</w:t>
      </w:r>
    </w:p>
    <w:p w14:paraId="34A614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一般规定</w:t>
      </w:r>
    </w:p>
    <w:p w14:paraId="625BF2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商业银行应当在法人和集团层面建立与规模、业务复杂程度和风险状况相适应的压力测试体系，并将其纳入各个层次的风险管理活动，成为风险管理体系的有机组成部分。商业银行压力测试体系应包含以下基本要素：治理结构、政策文档、方法流程、情景设计、保障支持以及验证评估。</w:t>
      </w:r>
    </w:p>
    <w:p w14:paraId="7C6DCA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压力测试应在商业银行风险管理中发挥以下作用：</w:t>
      </w:r>
    </w:p>
    <w:p w14:paraId="1AEF2C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（一）前瞻性评估压力情景</w:t>
      </w:r>
      <w:proofErr w:type="gramStart"/>
      <w:r>
        <w:rPr>
          <w:rFonts w:ascii="宋体" w:eastAsia="宋体" w:hAnsi="宋体" w:cs="宋体" w:hint="eastAsia"/>
          <w:sz w:val="24"/>
        </w:rPr>
        <w:t>下风险</w:t>
      </w:r>
      <w:proofErr w:type="gramEnd"/>
      <w:r>
        <w:rPr>
          <w:rFonts w:ascii="宋体" w:eastAsia="宋体" w:hAnsi="宋体" w:cs="宋体" w:hint="eastAsia"/>
          <w:sz w:val="24"/>
        </w:rPr>
        <w:t>暴露，识别定位业务的脆弱环节，改进对风险状况的理解，监测风险的变动。</w:t>
      </w:r>
    </w:p>
    <w:p w14:paraId="6477CC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（二）对基于历史数据的计量模型进行补充，识别和管理“尾部”风险，对模型假设进行评估。</w:t>
      </w:r>
    </w:p>
    <w:p w14:paraId="62FA7A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（三）关注新产品和新业务带来的潜在风险。</w:t>
      </w:r>
    </w:p>
    <w:p w14:paraId="3E328A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（四）评估银行资产质量、盈利能力、资本水平和流动性承受压力事件的能力，为银行设定风险偏好、制定资本和流动性规划提供依据。</w:t>
      </w:r>
    </w:p>
    <w:p w14:paraId="3403C8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（五）协助银行制定改进措施。</w:t>
      </w:r>
    </w:p>
    <w:p w14:paraId="102E6F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（六）支持银行内外部对风险偏好和改进措施的沟通交流。</w:t>
      </w:r>
    </w:p>
    <w:p w14:paraId="608974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治理结构</w:t>
      </w:r>
    </w:p>
    <w:p w14:paraId="143E87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商业银行应当建立有效的压力测试治理结构，明确董事会、监事会（监事）、高级管理层以及相关部门在压力测试管理中的职责及报告路线。</w:t>
      </w:r>
    </w:p>
    <w:p w14:paraId="3DE902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商业银行董事会应当承担压力测试管理的最终责任，履行以下职责：</w:t>
      </w:r>
    </w:p>
    <w:p w14:paraId="2F08F0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（一）审核并批准压力测试政策。</w:t>
      </w:r>
    </w:p>
    <w:p w14:paraId="050E8D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（二）监督高级管理层对压力测试进行有效管理。</w:t>
      </w:r>
    </w:p>
    <w:p w14:paraId="1A5B5C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审阅经高管层审定有重大影响的压力测试报告，了解压力测试的关键假设，关注压力测试的结果及其影响，审议后续的重大改进措施，了解改进措施的风险缓释效果，在确定银行风险偏好和风险管理目标时考虑压力测试的结果。</w:t>
      </w:r>
    </w:p>
    <w:p w14:paraId="3DF022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（四）其他有关职责。</w:t>
      </w:r>
    </w:p>
    <w:p w14:paraId="4062BB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董事会可以授权下设的专门委员会履行部分职责。</w:t>
      </w:r>
    </w:p>
    <w:p w14:paraId="26C4B6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商业银行的监事会（监事）应对董事会及高级管理层在压力测试管理中的履职情况进行监督评价，至少每年向股东大会（股东）报告一次。</w:t>
      </w:r>
    </w:p>
    <w:p w14:paraId="639285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商业银行的高级管理层应当履行以下职责：</w:t>
      </w:r>
    </w:p>
    <w:p w14:paraId="070F14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（一）根据外部监管和董事会要求，制定并修订压力测试政策，提交董事会</w:t>
      </w:r>
      <w:r>
        <w:rPr>
          <w:rFonts w:ascii="宋体" w:eastAsia="宋体" w:hAnsi="宋体" w:cs="宋体" w:hint="eastAsia"/>
          <w:sz w:val="24"/>
        </w:rPr>
        <w:lastRenderedPageBreak/>
        <w:t>审核批准。</w:t>
      </w:r>
    </w:p>
    <w:p w14:paraId="688A10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（二）确定压力测试组织结构，明确各部门职责分工，建立保障支持体系，保证银行压力测试工作的顺利开展。</w:t>
      </w:r>
    </w:p>
    <w:p w14:paraId="139AAD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（三）审议压力情景设定，定期组织开展压力测试，评估压力测试结果对银行的影响，制定和落实风险改进措施，将压力测试结果运用到银行的各项经营管理决策中。</w:t>
      </w:r>
    </w:p>
    <w:p w14:paraId="3011AC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（四）向董事会报告压力测试开展情况。</w:t>
      </w:r>
    </w:p>
    <w:p w14:paraId="3112E8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（五）其他有关职责。</w:t>
      </w:r>
    </w:p>
    <w:p w14:paraId="3D653C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商业银行应当指定专门的部门或团队负责压力测试管理，压力测试的管理职能应当相对独立于业务条线。</w:t>
      </w:r>
    </w:p>
    <w:p w14:paraId="6FD515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负责压力测试管理的部门（团队）应具备以下职能：</w:t>
      </w:r>
    </w:p>
    <w:p w14:paraId="5CB732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（一）拟定压力测试政策，提交高级管理层审核批准。</w:t>
      </w:r>
    </w:p>
    <w:p w14:paraId="7B29F5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（二）组织和协调各部门设计压力情景，实施压力测试，汇总并提交压力测试报告。</w:t>
      </w:r>
    </w:p>
    <w:p w14:paraId="13AFD7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（三）推进全行压力测试体系建设，定期维护和更新压力测试体系。</w:t>
      </w:r>
    </w:p>
    <w:p w14:paraId="5BE38C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（四）做好压力测试文档管理，保证文档结果的完备性。</w:t>
      </w:r>
    </w:p>
    <w:p w14:paraId="43A12A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（五）其他有关职责。</w:t>
      </w:r>
    </w:p>
    <w:p w14:paraId="18F871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第三节 政策文档</w:t>
      </w:r>
    </w:p>
    <w:p w14:paraId="0E2C1B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商业银行应制定完备的压力测试政策。压力测试政策包含但不限于：</w:t>
      </w:r>
    </w:p>
    <w:p w14:paraId="4D32AF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（一）压力测试的管理目标。</w:t>
      </w:r>
    </w:p>
    <w:p w14:paraId="2C923D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（二）压力测试的主要类型。</w:t>
      </w:r>
    </w:p>
    <w:p w14:paraId="016087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（三）压力测试的组织结构。</w:t>
      </w:r>
    </w:p>
    <w:p w14:paraId="6F3EC2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（四）压力测试的方法。</w:t>
      </w:r>
    </w:p>
    <w:p w14:paraId="55A5C7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（五）压力测试的流程与频度。</w:t>
      </w:r>
    </w:p>
    <w:p w14:paraId="53D8F5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（六）压力测试的情景假设。</w:t>
      </w:r>
    </w:p>
    <w:p w14:paraId="4544A7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（七）压力测试结果的报告要求及运用。</w:t>
      </w:r>
    </w:p>
    <w:p w14:paraId="75D16C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（八）压力情况下可能采取的改进措施或应急计划。</w:t>
      </w:r>
    </w:p>
    <w:p w14:paraId="7E2D65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（九）压力测试体系的定期评估与重检。</w:t>
      </w:r>
    </w:p>
    <w:p w14:paraId="2EAB59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压力测试政策应根据经营环境变化和业务发展及时进行修订。任何重大的实质性调整应及时提交董事会审议。</w:t>
      </w:r>
    </w:p>
    <w:p w14:paraId="7E8E18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商业银行应通过完备文档记录每一轮压力测试过程，确保压力测试可追溯和复制。文档记录应包括压力测试的目标、风险因素、压力情景、基本假设、方法论、传导机制、数据来源、压力测试的结果及相关管理措施等。</w:t>
      </w:r>
    </w:p>
    <w:p w14:paraId="2C4BB0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第四节 方法流程</w:t>
      </w:r>
    </w:p>
    <w:p w14:paraId="6EB404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商业银行应建立完整的压力测试流程，包括以下步骤：定义测试目标，确定风险因素，设计压力情景，收集测试数据，设定假设条件，确定测试方法，进行压力测试，分析测试结果，确定潜在风险和脆弱环节，汇报测试结果，采取改进措施等。</w:t>
      </w:r>
    </w:p>
    <w:p w14:paraId="0B29DA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商业银行应开展全面的压力测试，总体涵盖各类主要风险和表内外各个主要业务领域，充分考虑各项业务间的相互作用和反馈效应以及风险因子与承压指标间可能存在的非线性关系，有效整合各类风险的压力测试，反映银行及银行集团风险的整体情况。</w:t>
      </w:r>
    </w:p>
    <w:p w14:paraId="5FA22F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商业银行应对快速发展的新产品和新业务以及存在潜在重大风险的业务领域进行专项压力测试。此外，从事复杂业务的商业银行应在压力测试中结合本行实际情况充分考虑资产证券化和包销等复杂业务以及高杠杆交易对手违约的影响。</w:t>
      </w:r>
    </w:p>
    <w:p w14:paraId="6BFCAA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商业银行应定期开展压力测试。压力测试的频度应根据测试目的、风险类型、风险水平、外部环境以及监管要求合理确定，并及时进行调整。在必要情况下，商业银行应对特定领域和风险及时开展专项压力测试。</w:t>
      </w:r>
    </w:p>
    <w:p w14:paraId="571F5C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第二十条 商业银行应尽可能以定量方法来确定压力情景参数、风险因子相关性以及具体传导过程。此外，压力测试工作中应运用定性方法作为补充，通过合理的流程和方法，综合反映各个条线、领域专家意见，以拓展压力测试的适用范围并提高其有效性。</w:t>
      </w:r>
    </w:p>
    <w:p w14:paraId="691F96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根据所考虑因素的复杂性，压力测试方法可分为敏感性分析和情景分析。商业银行应结合使用敏感性分析和情景分析进行压力测试。</w:t>
      </w:r>
    </w:p>
    <w:p w14:paraId="7BE2F4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敏感性分析旨在测量单个重要风险因子或少数几项关系密切的因子在假设变动情况下对银行风险暴露和银行承受风险能力的影响。在进行敏感性分析时，假设的变动程度应达到足够的波动幅度，以反映极端情况对银行的影响。</w:t>
      </w:r>
    </w:p>
    <w:p w14:paraId="4CBE8A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情景分析旨在测量多个风险因子同时发生变化以及某些极端不利事件发生对银行风险暴露和银行承受风险能力的影响。在进行情景分析时，应考虑不同风险因子之间的相关性。</w:t>
      </w:r>
    </w:p>
    <w:p w14:paraId="44D0C8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商业银行应以一个或多个承压指标来反映压力测试的结果和对银行稳健程度的影响。常用承压指标包括但不限于：资产价值、资产质量、会计利润、经济利润、监管资本、经济资本和有关流动性指标。</w:t>
      </w:r>
    </w:p>
    <w:p w14:paraId="189BF4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商业银行应根据压力测试的目的、风险类型、业务种类以及特定要求来选取合适的承压指标。</w:t>
      </w:r>
    </w:p>
    <w:p w14:paraId="31F766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商业银行可采用反向压力测试来识别可能对银行持续经营带来重大影响的压力情景。反向压力测试是从已知的压力测试结果出发，反向寻找银行资产质量、盈利、资本和流动性可能承受的极端压力情景。适于开展反向压力测试的领域包括高风险业务线、未经历过严重压力的新产品和新业务等。规模较大且从事复杂业务的商业银行应开展反向压力测试。</w:t>
      </w:r>
    </w:p>
    <w:p w14:paraId="7B155F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压力测试的结果应向董事会或高级管理层报告。报告的内容应包括压力情景下承压指标的变动、结果所反映的银行潜在风险点以及改进措施。</w:t>
      </w:r>
    </w:p>
    <w:p w14:paraId="7DF69F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商业银行应每年向监管机构提交压力测试开展情况报告。如果压力测试的结果显示银行可能面临重大风险，应及时报告监管机构。</w:t>
      </w:r>
    </w:p>
    <w:p w14:paraId="7943CD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第二十五条 压力测试结果应运用于商业银行的各项管理决策中，包括但不限于：制定战略性业务决策、编制经营规划、设定风险偏好、调整风险限额、开展内部资本充足和流动性评估、实施风险改进措施以及应急计划等。</w:t>
      </w:r>
    </w:p>
    <w:p w14:paraId="3922C1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商业银行应遵循清晰的、预先设置的原则，针对压力测试结果采取必要的改进措施，并确保得到有效实施。改进措施包括但不限于：</w:t>
      </w:r>
    </w:p>
    <w:p w14:paraId="05593A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（一）重组、变现、终止和对</w:t>
      </w:r>
      <w:proofErr w:type="gramStart"/>
      <w:r>
        <w:rPr>
          <w:rFonts w:ascii="宋体" w:eastAsia="宋体" w:hAnsi="宋体" w:cs="宋体" w:hint="eastAsia"/>
          <w:sz w:val="24"/>
        </w:rPr>
        <w:t>冲风险</w:t>
      </w:r>
      <w:proofErr w:type="gramEnd"/>
      <w:r>
        <w:rPr>
          <w:rFonts w:ascii="宋体" w:eastAsia="宋体" w:hAnsi="宋体" w:cs="宋体" w:hint="eastAsia"/>
          <w:sz w:val="24"/>
        </w:rPr>
        <w:t>头寸。</w:t>
      </w:r>
    </w:p>
    <w:p w14:paraId="4B1E98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（二）增加风险缓释。</w:t>
      </w:r>
    </w:p>
    <w:p w14:paraId="6FC1E2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（三）提高信贷审批标准。</w:t>
      </w:r>
    </w:p>
    <w:p w14:paraId="7C2978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（四）调整风险限额。</w:t>
      </w:r>
    </w:p>
    <w:p w14:paraId="5E13D5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（五）压缩资产负债规模，调整资产负债结构，包括增加拨备、留存收益、补充资本和增加流动性储备等。</w:t>
      </w:r>
    </w:p>
    <w:p w14:paraId="39FB53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（六）调整业务发展策略和定价策略。</w:t>
      </w:r>
    </w:p>
    <w:p w14:paraId="79D09C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（七）启动应急计划。</w:t>
      </w:r>
    </w:p>
    <w:p w14:paraId="53107A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商业银行应按照有关信息披露要求向社会公众公开压力测试的相关情况。</w:t>
      </w:r>
    </w:p>
    <w:p w14:paraId="3A3263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第五节 情景设计</w:t>
      </w:r>
    </w:p>
    <w:p w14:paraId="3A1E18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商业银行应在充分识别风险特征的基础上进行情景设计。压力情景应反映银行主要风险因素，不同业务条线情况，外部环境冲击的影响变化；考虑</w:t>
      </w:r>
      <w:proofErr w:type="gramStart"/>
      <w:r>
        <w:rPr>
          <w:rFonts w:ascii="宋体" w:eastAsia="宋体" w:hAnsi="宋体" w:cs="宋体" w:hint="eastAsia"/>
          <w:sz w:val="24"/>
        </w:rPr>
        <w:t>各风险</w:t>
      </w:r>
      <w:proofErr w:type="gramEnd"/>
      <w:r>
        <w:rPr>
          <w:rFonts w:ascii="宋体" w:eastAsia="宋体" w:hAnsi="宋体" w:cs="宋体" w:hint="eastAsia"/>
          <w:sz w:val="24"/>
        </w:rPr>
        <w:t>因子在一系列宏观经济和金融冲击下的相互作用和反馈效应。</w:t>
      </w:r>
    </w:p>
    <w:p w14:paraId="2FA5A6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压力情景一般分为轻度压力、中度压力以及重度压力。三种压力情景按照顺序不断增强，其中轻度压力应比基准情况更为严峻，重度压力应反映极端但可能发生的情况。</w:t>
      </w:r>
    </w:p>
    <w:p w14:paraId="00E7B3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压力情景设计应综合考虑历史性情景和假设性情景。历史性情景设计可参考区域性、系统性金融危机等事件。</w:t>
      </w:r>
    </w:p>
    <w:p w14:paraId="53D75B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商业银行还应从前瞻性视角出发，分析潜在风险，设计假设性情景。</w:t>
      </w:r>
    </w:p>
    <w:p w14:paraId="07D7A0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压力情景的设计应得到相关业务条</w:t>
      </w:r>
      <w:proofErr w:type="gramStart"/>
      <w:r>
        <w:rPr>
          <w:rFonts w:ascii="宋体" w:eastAsia="宋体" w:hAnsi="宋体" w:cs="宋体" w:hint="eastAsia"/>
          <w:sz w:val="24"/>
        </w:rPr>
        <w:t>线专家</w:t>
      </w:r>
      <w:proofErr w:type="gramEnd"/>
      <w:r>
        <w:rPr>
          <w:rFonts w:ascii="宋体" w:eastAsia="宋体" w:hAnsi="宋体" w:cs="宋体" w:hint="eastAsia"/>
          <w:sz w:val="24"/>
        </w:rPr>
        <w:t>的广泛参与，并按照事先确定的流程开展。</w:t>
      </w:r>
    </w:p>
    <w:p w14:paraId="7625CA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压力情景设计涵盖的风险类型应主要包括信用风险（</w:t>
      </w:r>
      <w:proofErr w:type="gramStart"/>
      <w:r>
        <w:rPr>
          <w:rFonts w:ascii="宋体" w:eastAsia="宋体" w:hAnsi="宋体" w:cs="宋体" w:hint="eastAsia"/>
          <w:sz w:val="24"/>
        </w:rPr>
        <w:t>含集中</w:t>
      </w:r>
      <w:proofErr w:type="gramEnd"/>
      <w:r>
        <w:rPr>
          <w:rFonts w:ascii="宋体" w:eastAsia="宋体" w:hAnsi="宋体" w:cs="宋体" w:hint="eastAsia"/>
          <w:sz w:val="24"/>
        </w:rPr>
        <w:t>度风险、国别风险）、市场风险（含银行账户利率风险）、流动性风险、操作风险和声誉风险等，并考虑不同风险之间的相互影响。</w:t>
      </w:r>
    </w:p>
    <w:p w14:paraId="22DD48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针对信用风险的压力情景包括但不限于以下内容：国内及国际主要经济体宏观经济增长下滑，房地产价格出现较大幅度向下波动，贷款质量和抵押品质量恶化，授</w:t>
      </w:r>
      <w:proofErr w:type="gramStart"/>
      <w:r>
        <w:rPr>
          <w:rFonts w:ascii="宋体" w:eastAsia="宋体" w:hAnsi="宋体" w:cs="宋体" w:hint="eastAsia"/>
          <w:sz w:val="24"/>
        </w:rPr>
        <w:t>信较为</w:t>
      </w:r>
      <w:proofErr w:type="gramEnd"/>
      <w:r>
        <w:rPr>
          <w:rFonts w:ascii="宋体" w:eastAsia="宋体" w:hAnsi="宋体" w:cs="宋体" w:hint="eastAsia"/>
          <w:sz w:val="24"/>
        </w:rPr>
        <w:t>集中的企业和主要交易对手信用等级下降乃至违约，部分行业出现集中违约，部分国际业务敞口面临国别风险或转移风险，其他对银行信用风险带来重大影响的情况等。</w:t>
      </w:r>
    </w:p>
    <w:p w14:paraId="1E3D02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针对市场风险的压力情景包括但不限于以下内容：利率重新定价、基准利率不同步以及收益率曲线出现大幅变动、期权行使带来的损失，主要货币汇率出现大的变化，信用价差出现不利走势，商品价格出现大幅波动，股票市场大幅下跌以及货币市场大幅波动等。具体压力情景的选择应考虑银行账户和交易账户的差异。</w:t>
      </w:r>
    </w:p>
    <w:p w14:paraId="258F58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针对流动性风险的压力情景包括但不限于以下内容：流动性资产变现能力大幅下降，批发和零售存款大量流失，批发和零售融资的可获得性下降，交易对手要求追加抵（质）押品或减少融资金额，主要交易对手违约或破产，信用评级下调或声誉风险上升，市场流动性状况出现重大不利变化，表外业务、复杂产品和交易对流动性造成损耗，银行支付清算系统突然中断运行等。</w:t>
      </w:r>
    </w:p>
    <w:p w14:paraId="073507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具体压力情景的设定应充分考虑针对单个银行的特定冲击、影响整个市场的系统性冲击和两者相结合的情景。</w:t>
      </w:r>
    </w:p>
    <w:p w14:paraId="1875B8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针对操作风险的压力情景包括但不限于受到以下重大操作事件影响：内部欺诈事件，外部欺诈事件，就业制度和工作场所安全事件，客户、产品和业务活动事件，实物资产的损坏，信息科技系统事件，执行、交割和流程管理事件等。信息系统事件应充分考虑业务中断系统失灵导致的直接和间接损失。</w:t>
      </w:r>
    </w:p>
    <w:p w14:paraId="773493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商业银行在设计压力情景时应考虑声誉风险的溢出效应，关注</w:t>
      </w:r>
      <w:r>
        <w:rPr>
          <w:rFonts w:ascii="宋体" w:eastAsia="宋体" w:hAnsi="宋体" w:cs="宋体" w:hint="eastAsia"/>
          <w:sz w:val="24"/>
        </w:rPr>
        <w:lastRenderedPageBreak/>
        <w:t>声誉风险对信用风险、流动性风险和市场风险的影响，包括合约性和非合约性的表外风险暴露或资产证券化暴露，出于声誉需要将表外资产转入表内的可能性等。</w:t>
      </w:r>
    </w:p>
    <w:p w14:paraId="370286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第六节 保障支持</w:t>
      </w:r>
    </w:p>
    <w:p w14:paraId="76ECAF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商业银行应当为压力测试工作顺利开展提供必要的保障与支持，包括数据、系统和人力资源等。</w:t>
      </w:r>
    </w:p>
    <w:p w14:paraId="710B79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商业银行应具备相应的数据管理能力，为压力测试提供质量较高、颗粒度较细的数据，确保数据的完整性和准确性。</w:t>
      </w:r>
    </w:p>
    <w:p w14:paraId="603747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商业银行应具备相关信息系统，并能根据压力测试工作需要灵活进行调整，有关系统应当实现以下功能：</w:t>
      </w:r>
    </w:p>
    <w:p w14:paraId="43CB06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（一）支持实现灵活的情景生成。</w:t>
      </w:r>
    </w:p>
    <w:p w14:paraId="5EBF73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（二）支持完成资产组合、业务条线、银行及银行集团整体等不同层面的压力测试。</w:t>
      </w:r>
    </w:p>
    <w:p w14:paraId="71D10A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（三）支持计量各类风险因子对银行各项承压指标的冲击。</w:t>
      </w:r>
    </w:p>
    <w:p w14:paraId="7B7A57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（四）支持测试数据的抽取、转换和加载，并保证测试过程的可复制性。</w:t>
      </w:r>
    </w:p>
    <w:p w14:paraId="1F7F9D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（五）支持满足各类压力测试的监管频度要求。</w:t>
      </w:r>
    </w:p>
    <w:p w14:paraId="7DC8B5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商业银行应具备满足本行压力测试工作需要的专业团队。</w:t>
      </w:r>
    </w:p>
    <w:p w14:paraId="17D761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第七节 验证评估</w:t>
      </w:r>
    </w:p>
    <w:p w14:paraId="3CBFD1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商业银行应确定独立的验证部门或团队对压力测试体系进行持续有效的评估并出具验证评估报告，原则上不低于一年一次，验证部门（团队）的相关职责应涵盖以下内容：</w:t>
      </w:r>
    </w:p>
    <w:p w14:paraId="25D61B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（一）评估压力测试方案是否有效地满足既定目标。</w:t>
      </w:r>
    </w:p>
    <w:p w14:paraId="21ED00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（二）评估压力测试的政策和过程文档是否完备。</w:t>
      </w:r>
    </w:p>
    <w:p w14:paraId="1C35C1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（三）评估压力测试的实施是否按照既定的流程。</w:t>
      </w:r>
    </w:p>
    <w:p w14:paraId="55594A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（四）评估压力测试方法的可靠性。</w:t>
      </w:r>
    </w:p>
    <w:p w14:paraId="5D8E55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（五）评估压力测试的假设是否合理。</w:t>
      </w:r>
    </w:p>
    <w:p w14:paraId="387D50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（六）评估数据质量是否可靠。</w:t>
      </w:r>
    </w:p>
    <w:p w14:paraId="3A784C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（七）评估系统的支持是否有效。</w:t>
      </w:r>
    </w:p>
    <w:p w14:paraId="3413C3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（八）了解压力测试是否纳入银行日常风险管理。</w:t>
      </w:r>
    </w:p>
    <w:p w14:paraId="754288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（九）评估压力测试结果内部应用是否充分。</w:t>
      </w:r>
    </w:p>
    <w:p w14:paraId="147067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（十）内部审计提出的其他相关要求。</w:t>
      </w:r>
    </w:p>
    <w:p w14:paraId="372FD7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商业银行应将压力测试纳入内部审计的范围，内审部门应履行以下职责：</w:t>
      </w:r>
    </w:p>
    <w:p w14:paraId="417352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（一）定期审查和评估压力测试体系的适用性和有效性。内部审计应涵盖对验证评估工作的审计。</w:t>
      </w:r>
    </w:p>
    <w:p w14:paraId="0038D1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（二）评估高级管理层的履职是否充分。</w:t>
      </w:r>
    </w:p>
    <w:p w14:paraId="1ED0D7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（三）评估压力测试结果内部应用是否充分。</w:t>
      </w:r>
    </w:p>
    <w:p w14:paraId="4CEB1A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（四）评估相关部门是否采取了必要的改进措施并有效实施。</w:t>
      </w:r>
    </w:p>
    <w:p w14:paraId="726AC2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（五）定期向董事会报告审计结果。</w:t>
      </w:r>
    </w:p>
    <w:p w14:paraId="04A436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压力测试监管</w:t>
      </w:r>
    </w:p>
    <w:p w14:paraId="2AC536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第一节 监督检查</w:t>
      </w:r>
    </w:p>
    <w:p w14:paraId="6ABDC5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银监会及其派出机构应定期对商业银行压力测试体系进行监督检查，评估银行的压力测试是否与其规模、业务复杂程度和风险状况相适应，采取有效措施以促进银行提升压力测试及风险管理水平。</w:t>
      </w:r>
    </w:p>
    <w:p w14:paraId="0D5F0F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银监会及其派出机构对商业银行压力测试进行检查评估内容包括但不限于：</w:t>
      </w:r>
    </w:p>
    <w:p w14:paraId="12D547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（一）压力测试是否有助于全行层面风险识别和控制能力的提升。</w:t>
      </w:r>
    </w:p>
    <w:p w14:paraId="1B1B34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（二）董事会、监事会和高级管理层是否履行压力测试中应承担的职责。</w:t>
      </w:r>
    </w:p>
    <w:p w14:paraId="7DB21D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（三）压力测试政策是否</w:t>
      </w:r>
      <w:proofErr w:type="gramStart"/>
      <w:r>
        <w:rPr>
          <w:rFonts w:ascii="宋体" w:eastAsia="宋体" w:hAnsi="宋体" w:cs="宋体" w:hint="eastAsia"/>
          <w:sz w:val="24"/>
        </w:rPr>
        <w:t>及时维护</w:t>
      </w:r>
      <w:proofErr w:type="gramEnd"/>
      <w:r>
        <w:rPr>
          <w:rFonts w:ascii="宋体" w:eastAsia="宋体" w:hAnsi="宋体" w:cs="宋体" w:hint="eastAsia"/>
          <w:sz w:val="24"/>
        </w:rPr>
        <w:t>和更新，文档记录是否详细。</w:t>
      </w:r>
    </w:p>
    <w:p w14:paraId="3521B1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（四）压力测试流程是否完整，压力测试内容是否全面，压力测试方法是否合理。</w:t>
      </w:r>
    </w:p>
    <w:p w14:paraId="689BCB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（五）压力测试的结果是否在不同管理层级的经营决策中得到应用。</w:t>
      </w:r>
    </w:p>
    <w:p w14:paraId="3BC8FF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（六）改进措施是否适当并且具有可操作性。</w:t>
      </w:r>
    </w:p>
    <w:p w14:paraId="2910B5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（七）压力测试是否被纳入银行的内部资本充足评估程序（</w:t>
      </w:r>
      <w:proofErr w:type="gramStart"/>
      <w:r>
        <w:rPr>
          <w:rFonts w:ascii="宋体" w:eastAsia="宋体" w:hAnsi="宋体" w:cs="宋体" w:hint="eastAsia"/>
          <w:sz w:val="24"/>
        </w:rPr>
        <w:t>犐犆犃犃犘</w:t>
      </w:r>
      <w:proofErr w:type="gramEnd"/>
      <w:r>
        <w:rPr>
          <w:rFonts w:ascii="宋体" w:eastAsia="宋体" w:hAnsi="宋体" w:cs="宋体" w:hint="eastAsia"/>
          <w:sz w:val="24"/>
        </w:rPr>
        <w:t>）和全面风险管理框架。</w:t>
      </w:r>
    </w:p>
    <w:p w14:paraId="011FD6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（八）情景假设是否合理，是否考虑银行经营环境中现有的风险状况和未来的发展变化因素，是否考虑风险之间的相互作用和反馈效应。</w:t>
      </w:r>
    </w:p>
    <w:p w14:paraId="3D79CB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（九）银行是否具备足够的数据、系统、人力等资源，是否建立清晰的压力测试业务流程。</w:t>
      </w:r>
    </w:p>
    <w:p w14:paraId="0486DE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（十）压力测试的验证评估是否有效。</w:t>
      </w:r>
    </w:p>
    <w:p w14:paraId="451F0E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银监会及其派出机构可通过非现场监管、现场检查等方式，在法人和集团层面，对商业银行压力测试体系有效性进行全面的检查评估。</w:t>
      </w:r>
    </w:p>
    <w:p w14:paraId="536C15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银监会及其派出机构可采取的检查评估手段包括但不限于：</w:t>
      </w:r>
    </w:p>
    <w:p w14:paraId="748BED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（一）要求银行提交压力测试政策、报告等相关文档材料。</w:t>
      </w:r>
    </w:p>
    <w:p w14:paraId="372CA7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（二）对压力测试的各级人员进行访谈，如有必要，可与董事会和高级管理层的相关人员进行沟通交流。</w:t>
      </w:r>
    </w:p>
    <w:p w14:paraId="4728A7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（三）要求银行对压力测试假设的合理性、模型的可靠性和数据的准确性进行解释和说明。</w:t>
      </w:r>
    </w:p>
    <w:p w14:paraId="7DBB5B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（四）要求银行使用监管指定的假设或参数对特定的资产组合进行敏感性分析，对比评估压力测试结果。</w:t>
      </w:r>
    </w:p>
    <w:p w14:paraId="179F6A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（五）利用银行的基础数据独立开展压力测试，以验证银行压力测试结果的可靠性。</w:t>
      </w:r>
    </w:p>
    <w:p w14:paraId="59C9F1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（六）通过同质同类银行的分析对比，评估银行压力测试结果的审慎程度。</w:t>
      </w:r>
    </w:p>
    <w:p w14:paraId="335063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对于在检查评估中发现压力测试体系存在实质性缺陷或者商业银行决策过程中没有充分考虑压力测试结果等情况，银监会及其派出机构可以要求商业银行采取下列措施：</w:t>
      </w:r>
    </w:p>
    <w:p w14:paraId="2DF9C8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（一）对压力测试中的薄弱环节以及实质性的缺陷进行改进，必要时重新进行压力测试并将有关结果报告监管机构。</w:t>
      </w:r>
    </w:p>
    <w:p w14:paraId="629C52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（二）加大压力测试结果在经营决策中的运用。</w:t>
      </w:r>
    </w:p>
    <w:p w14:paraId="2216E9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（三）调整风险限额。</w:t>
      </w:r>
    </w:p>
    <w:p w14:paraId="6403C3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（四）减少对特定行业、国家、地区或资产组合的风险暴露。</w:t>
      </w:r>
    </w:p>
    <w:p w14:paraId="7F764F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（五）提高流动性和资本水平。</w:t>
      </w:r>
    </w:p>
    <w:p w14:paraId="78C202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（六）增加风险缓释。</w:t>
      </w:r>
    </w:p>
    <w:p w14:paraId="45E2FA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（七）实施其他改进措施。</w:t>
      </w:r>
    </w:p>
    <w:p w14:paraId="2FBEDB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在风险评估、监管评级等持续性监管中，银监会及其派出机构应充分考虑压力测试结果所揭示的银行风险状况以及对银行压力测试体系评估中发现的薄弱环节。</w:t>
      </w:r>
    </w:p>
    <w:p w14:paraId="47EC61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第二节 统一的压力测试</w:t>
      </w:r>
    </w:p>
    <w:p w14:paraId="52712F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银监会定期组织商业银行按照统一要求开展压力测试，并可独立开展压力测试，以评估单个银行和银行体系的稳健水平。</w:t>
      </w:r>
    </w:p>
    <w:p w14:paraId="5B279C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第四十九条 对于统一组织商业银行开展的压力测试，银监会提供压力情景，银行根据统一的压力情景开展压力测试并提交报告。银监会与银行就压力测试的具体要求、关键假设等技术环节进行充分沟通，以提升银行压力测试结果的可靠性。</w:t>
      </w:r>
    </w:p>
    <w:p w14:paraId="19AA02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第五十条 银监会可独立开展对特定银行或银行体系的压力测试，以评估外部冲击对特定银行或银行体系风险的影响。银监会独立开展的压力测试应充分考虑到金融机构之间业务的关联性和风险溢出效应。</w:t>
      </w:r>
    </w:p>
    <w:p w14:paraId="2A402B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第五十一条 银监会建立压力测试的专家团队，评估商业银行压力测试的开展情况以及实施统一的压力测试。</w:t>
      </w:r>
    </w:p>
    <w:p w14:paraId="7AC9E8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附则</w:t>
      </w:r>
    </w:p>
    <w:p w14:paraId="2EECA4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第五十二条 除另有规定外，政策性银行、农村合作银行、外国银行分行、信托公司、企业集团财务公司、金融租赁公司、汽车金融公司、消费金融公司参照本指引执行。</w:t>
      </w:r>
    </w:p>
    <w:p w14:paraId="476F8C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第五十三条 本指引由银监会负责解释。</w:t>
      </w:r>
    </w:p>
    <w:p w14:paraId="1D6C22B2"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第五十四条 本指引自2015年1月1日起施行。《商业银行压力测试指引》（银监发〔2007〕91号）同时废止。</w:t>
      </w:r>
    </w:p>
    <w:p w14:paraId="587BD75C"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94.《中国银监会办公厅关于严格执行案件风险防控制度依法追偿涉案债权有关事项的通知》</w:t>
      </w:r>
      <w:r>
        <w:rPr>
          <w:rFonts w:ascii="宋体" w:eastAsia="宋体" w:hAnsi="宋体" w:cs="宋体" w:hint="eastAsia"/>
          <w:b/>
          <w:bCs/>
          <w:sz w:val="24"/>
        </w:rPr>
        <w:tab/>
      </w:r>
    </w:p>
    <w:p w14:paraId="2201D6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发文机构：中国银行业监督管理委员会办公厅(已撤销)</w:t>
      </w:r>
      <w:r>
        <w:rPr>
          <w:rFonts w:ascii="宋体" w:eastAsia="宋体" w:hAnsi="宋体" w:cs="宋体" w:hint="eastAsia"/>
          <w:sz w:val="24"/>
        </w:rPr>
        <w:tab/>
      </w:r>
    </w:p>
    <w:p w14:paraId="3B8798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文号：银监办发〔2015〕141号</w:t>
      </w:r>
      <w:r>
        <w:rPr>
          <w:rFonts w:ascii="宋体" w:eastAsia="宋体" w:hAnsi="宋体" w:cs="宋体" w:hint="eastAsia"/>
          <w:sz w:val="24"/>
        </w:rPr>
        <w:tab/>
        <w:t>全国</w:t>
      </w:r>
    </w:p>
    <w:p w14:paraId="5BF22D61"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局，各政策性银行、大型银行、股份制银行，邮储银行，外资银行，金融资产管理公司，其他会管金融机构：</w:t>
      </w:r>
    </w:p>
    <w:p w14:paraId="74C3DB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为严格执行案件风险</w:t>
      </w:r>
      <w:proofErr w:type="gramStart"/>
      <w:r>
        <w:rPr>
          <w:rFonts w:ascii="宋体" w:eastAsia="宋体" w:hAnsi="宋体" w:cs="宋体" w:hint="eastAsia"/>
          <w:sz w:val="24"/>
        </w:rPr>
        <w:t>防控制</w:t>
      </w:r>
      <w:proofErr w:type="gramEnd"/>
      <w:r>
        <w:rPr>
          <w:rFonts w:ascii="宋体" w:eastAsia="宋体" w:hAnsi="宋体" w:cs="宋体" w:hint="eastAsia"/>
          <w:sz w:val="24"/>
        </w:rPr>
        <w:t>度，督促银行业金融机构进一步加强案件风险防控，依法选择合理的诉讼方式追偿涉案债权，现就有关事项通知如下：</w:t>
      </w:r>
    </w:p>
    <w:p w14:paraId="18DBA5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一、严格性质认定，及时向公安司法机关报案</w:t>
      </w:r>
    </w:p>
    <w:p w14:paraId="3D7632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银行业金融机构要准确把握《中国银监会关于修订银行业金融机构案件定义及案件分类的通知》(银监发［2012］61号)中关于案件的定义，进一步明确案件移送公安、司法机关立案查处的细化标准，严格开展风险事件性质认定。对于分支机构出现的风险事件，要由</w:t>
      </w:r>
      <w:proofErr w:type="gramStart"/>
      <w:r>
        <w:rPr>
          <w:rFonts w:ascii="宋体" w:eastAsia="宋体" w:hAnsi="宋体" w:cs="宋体" w:hint="eastAsia"/>
          <w:sz w:val="24"/>
        </w:rPr>
        <w:t>上级案防</w:t>
      </w:r>
      <w:proofErr w:type="gramEnd"/>
      <w:r>
        <w:rPr>
          <w:rFonts w:ascii="宋体" w:eastAsia="宋体" w:hAnsi="宋体" w:cs="宋体" w:hint="eastAsia"/>
          <w:sz w:val="24"/>
        </w:rPr>
        <w:t>牵头部门负责对风险事件的性质进行认定。各银行业金融机构要明确</w:t>
      </w:r>
      <w:proofErr w:type="gramStart"/>
      <w:r>
        <w:rPr>
          <w:rFonts w:ascii="宋体" w:eastAsia="宋体" w:hAnsi="宋体" w:cs="宋体" w:hint="eastAsia"/>
          <w:sz w:val="24"/>
        </w:rPr>
        <w:t>各级案防牵头</w:t>
      </w:r>
      <w:proofErr w:type="gramEnd"/>
      <w:r>
        <w:rPr>
          <w:rFonts w:ascii="宋体" w:eastAsia="宋体" w:hAnsi="宋体" w:cs="宋体" w:hint="eastAsia"/>
          <w:sz w:val="24"/>
        </w:rPr>
        <w:t>部门，并要求分支机构将本级和</w:t>
      </w:r>
      <w:proofErr w:type="gramStart"/>
      <w:r>
        <w:rPr>
          <w:rFonts w:ascii="宋体" w:eastAsia="宋体" w:hAnsi="宋体" w:cs="宋体" w:hint="eastAsia"/>
          <w:sz w:val="24"/>
        </w:rPr>
        <w:t>上级案防</w:t>
      </w:r>
      <w:proofErr w:type="gramEnd"/>
      <w:r>
        <w:rPr>
          <w:rFonts w:ascii="宋体" w:eastAsia="宋体" w:hAnsi="宋体" w:cs="宋体" w:hint="eastAsia"/>
          <w:sz w:val="24"/>
        </w:rPr>
        <w:t>牵头部门、部门职责、联系人、联系方式等信息报送属地监管机构。</w:t>
      </w:r>
    </w:p>
    <w:p w14:paraId="7A68FE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(二)银行业金融机构</w:t>
      </w:r>
      <w:proofErr w:type="gramStart"/>
      <w:r>
        <w:rPr>
          <w:rFonts w:ascii="宋体" w:eastAsia="宋体" w:hAnsi="宋体" w:cs="宋体" w:hint="eastAsia"/>
          <w:sz w:val="24"/>
        </w:rPr>
        <w:t>上级案防</w:t>
      </w:r>
      <w:proofErr w:type="gramEnd"/>
      <w:r>
        <w:rPr>
          <w:rFonts w:ascii="宋体" w:eastAsia="宋体" w:hAnsi="宋体" w:cs="宋体" w:hint="eastAsia"/>
          <w:sz w:val="24"/>
        </w:rPr>
        <w:t>牵头部门在初步确认分支机构有关风险事件具有案件性质后，要立即向公安、司法机关报案，并配合有关部门开展案件调查，不得瞒报、漏报、迟报。报案存在失职问题的，要严厉追究案发分支机构的</w:t>
      </w:r>
      <w:proofErr w:type="gramStart"/>
      <w:r>
        <w:rPr>
          <w:rFonts w:ascii="宋体" w:eastAsia="宋体" w:hAnsi="宋体" w:cs="宋体" w:hint="eastAsia"/>
          <w:sz w:val="24"/>
        </w:rPr>
        <w:t>上级案防</w:t>
      </w:r>
      <w:proofErr w:type="gramEnd"/>
      <w:r>
        <w:rPr>
          <w:rFonts w:ascii="宋体" w:eastAsia="宋体" w:hAnsi="宋体" w:cs="宋体" w:hint="eastAsia"/>
          <w:sz w:val="24"/>
        </w:rPr>
        <w:t>牵头部门的领导责任。案发分支机构的</w:t>
      </w:r>
      <w:proofErr w:type="gramStart"/>
      <w:r>
        <w:rPr>
          <w:rFonts w:ascii="宋体" w:eastAsia="宋体" w:hAnsi="宋体" w:cs="宋体" w:hint="eastAsia"/>
          <w:sz w:val="24"/>
        </w:rPr>
        <w:t>上级案防</w:t>
      </w:r>
      <w:proofErr w:type="gramEnd"/>
      <w:r>
        <w:rPr>
          <w:rFonts w:ascii="宋体" w:eastAsia="宋体" w:hAnsi="宋体" w:cs="宋体" w:hint="eastAsia"/>
          <w:sz w:val="24"/>
        </w:rPr>
        <w:t>牵头部门应将案件信息确认报告等及时报送属地监管机构。</w:t>
      </w:r>
    </w:p>
    <w:p w14:paraId="28F34A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(三)在对分支机构的风险事件和案件的调查过程中，银行业金融机构要更加突出</w:t>
      </w:r>
      <w:proofErr w:type="gramStart"/>
      <w:r>
        <w:rPr>
          <w:rFonts w:ascii="宋体" w:eastAsia="宋体" w:hAnsi="宋体" w:cs="宋体" w:hint="eastAsia"/>
          <w:sz w:val="24"/>
        </w:rPr>
        <w:t>上级案防</w:t>
      </w:r>
      <w:proofErr w:type="gramEnd"/>
      <w:r>
        <w:rPr>
          <w:rFonts w:ascii="宋体" w:eastAsia="宋体" w:hAnsi="宋体" w:cs="宋体" w:hint="eastAsia"/>
          <w:sz w:val="24"/>
        </w:rPr>
        <w:t>牵头部门的作用，由</w:t>
      </w:r>
      <w:proofErr w:type="gramStart"/>
      <w:r>
        <w:rPr>
          <w:rFonts w:ascii="宋体" w:eastAsia="宋体" w:hAnsi="宋体" w:cs="宋体" w:hint="eastAsia"/>
          <w:sz w:val="24"/>
        </w:rPr>
        <w:t>上级案防</w:t>
      </w:r>
      <w:proofErr w:type="gramEnd"/>
      <w:r>
        <w:rPr>
          <w:rFonts w:ascii="宋体" w:eastAsia="宋体" w:hAnsi="宋体" w:cs="宋体" w:hint="eastAsia"/>
          <w:sz w:val="24"/>
        </w:rPr>
        <w:t>牵头部门根据调查和公安、司法部门的侦查、受理情况，决定以适当的方式追偿银行业金融机构债权，不得为逃避责任以民事诉讼替代刑事诉讼。</w:t>
      </w:r>
    </w:p>
    <w:p w14:paraId="187319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二、厘清岗位职责，</w:t>
      </w:r>
      <w:proofErr w:type="gramStart"/>
      <w:r>
        <w:rPr>
          <w:rFonts w:ascii="宋体" w:eastAsia="宋体" w:hAnsi="宋体" w:cs="宋体" w:hint="eastAsia"/>
          <w:sz w:val="24"/>
        </w:rPr>
        <w:t>完善案防</w:t>
      </w:r>
      <w:proofErr w:type="gramEnd"/>
      <w:r>
        <w:rPr>
          <w:rFonts w:ascii="宋体" w:eastAsia="宋体" w:hAnsi="宋体" w:cs="宋体" w:hint="eastAsia"/>
          <w:sz w:val="24"/>
        </w:rPr>
        <w:t>工作机制</w:t>
      </w:r>
    </w:p>
    <w:p w14:paraId="12AF47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(四)银行业金融机构要持续优化内部保卫、监察、法律、合</w:t>
      </w:r>
      <w:proofErr w:type="gramStart"/>
      <w:r>
        <w:rPr>
          <w:rFonts w:ascii="宋体" w:eastAsia="宋体" w:hAnsi="宋体" w:cs="宋体" w:hint="eastAsia"/>
          <w:sz w:val="24"/>
        </w:rPr>
        <w:t>规</w:t>
      </w:r>
      <w:proofErr w:type="gramEnd"/>
      <w:r>
        <w:rPr>
          <w:rFonts w:ascii="宋体" w:eastAsia="宋体" w:hAnsi="宋体" w:cs="宋体" w:hint="eastAsia"/>
          <w:sz w:val="24"/>
        </w:rPr>
        <w:t>、风险、保全、</w:t>
      </w:r>
      <w:r>
        <w:rPr>
          <w:rFonts w:ascii="宋体" w:eastAsia="宋体" w:hAnsi="宋体" w:cs="宋体" w:hint="eastAsia"/>
          <w:sz w:val="24"/>
        </w:rPr>
        <w:lastRenderedPageBreak/>
        <w:t>内审、稽核</w:t>
      </w:r>
      <w:proofErr w:type="gramStart"/>
      <w:r>
        <w:rPr>
          <w:rFonts w:ascii="宋体" w:eastAsia="宋体" w:hAnsi="宋体" w:cs="宋体" w:hint="eastAsia"/>
          <w:sz w:val="24"/>
        </w:rPr>
        <w:t>等案防部门</w:t>
      </w:r>
      <w:proofErr w:type="gramEnd"/>
      <w:r>
        <w:rPr>
          <w:rFonts w:ascii="宋体" w:eastAsia="宋体" w:hAnsi="宋体" w:cs="宋体" w:hint="eastAsia"/>
          <w:sz w:val="24"/>
        </w:rPr>
        <w:t>的组织架构和职责，强化对案</w:t>
      </w:r>
      <w:proofErr w:type="gramStart"/>
      <w:r>
        <w:rPr>
          <w:rFonts w:ascii="宋体" w:eastAsia="宋体" w:hAnsi="宋体" w:cs="宋体" w:hint="eastAsia"/>
          <w:sz w:val="24"/>
        </w:rPr>
        <w:t>防职能</w:t>
      </w:r>
      <w:proofErr w:type="gramEnd"/>
      <w:r>
        <w:rPr>
          <w:rFonts w:ascii="宋体" w:eastAsia="宋体" w:hAnsi="宋体" w:cs="宋体" w:hint="eastAsia"/>
          <w:sz w:val="24"/>
        </w:rPr>
        <w:t>的条线管理，实行“条线主导、‘双线’报告”，即</w:t>
      </w:r>
      <w:proofErr w:type="gramStart"/>
      <w:r>
        <w:rPr>
          <w:rFonts w:ascii="宋体" w:eastAsia="宋体" w:hAnsi="宋体" w:cs="宋体" w:hint="eastAsia"/>
          <w:sz w:val="24"/>
        </w:rPr>
        <w:t>各级案防部门</w:t>
      </w:r>
      <w:proofErr w:type="gramEnd"/>
      <w:r>
        <w:rPr>
          <w:rFonts w:ascii="宋体" w:eastAsia="宋体" w:hAnsi="宋体" w:cs="宋体" w:hint="eastAsia"/>
          <w:sz w:val="24"/>
        </w:rPr>
        <w:t>除了要向本级经营机构领导报告和负责外，还应主要向</w:t>
      </w:r>
      <w:proofErr w:type="gramStart"/>
      <w:r>
        <w:rPr>
          <w:rFonts w:ascii="宋体" w:eastAsia="宋体" w:hAnsi="宋体" w:cs="宋体" w:hint="eastAsia"/>
          <w:sz w:val="24"/>
        </w:rPr>
        <w:t>上级案防</w:t>
      </w:r>
      <w:proofErr w:type="gramEnd"/>
      <w:r>
        <w:rPr>
          <w:rFonts w:ascii="宋体" w:eastAsia="宋体" w:hAnsi="宋体" w:cs="宋体" w:hint="eastAsia"/>
          <w:sz w:val="24"/>
        </w:rPr>
        <w:t>部门报告负责，实现</w:t>
      </w:r>
      <w:proofErr w:type="gramStart"/>
      <w:r>
        <w:rPr>
          <w:rFonts w:ascii="宋体" w:eastAsia="宋体" w:hAnsi="宋体" w:cs="宋体" w:hint="eastAsia"/>
          <w:sz w:val="24"/>
        </w:rPr>
        <w:t>各级案防部门</w:t>
      </w:r>
      <w:proofErr w:type="gramEnd"/>
      <w:r>
        <w:rPr>
          <w:rFonts w:ascii="宋体" w:eastAsia="宋体" w:hAnsi="宋体" w:cs="宋体" w:hint="eastAsia"/>
          <w:sz w:val="24"/>
        </w:rPr>
        <w:t>与本级经营机构的相对独立。</w:t>
      </w:r>
    </w:p>
    <w:p w14:paraId="6964F2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(五)对于涉案资产的责任认定和清收，应由案发分支机构的上级机构成立专案组总体负责，</w:t>
      </w:r>
      <w:proofErr w:type="gramStart"/>
      <w:r>
        <w:rPr>
          <w:rFonts w:ascii="宋体" w:eastAsia="宋体" w:hAnsi="宋体" w:cs="宋体" w:hint="eastAsia"/>
          <w:sz w:val="24"/>
        </w:rPr>
        <w:t>案防部门</w:t>
      </w:r>
      <w:proofErr w:type="gramEnd"/>
      <w:r>
        <w:rPr>
          <w:rFonts w:ascii="宋体" w:eastAsia="宋体" w:hAnsi="宋体" w:cs="宋体" w:hint="eastAsia"/>
          <w:sz w:val="24"/>
        </w:rPr>
        <w:t>参与，并按照内部职责分工做好案件调查、责任认定和资产清收等工作，不得由案发分支机构主导。</w:t>
      </w:r>
    </w:p>
    <w:p w14:paraId="60ABA3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三、坚持客观公正原则，认真落实案件责任追究制度</w:t>
      </w:r>
    </w:p>
    <w:p w14:paraId="339C24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(六)银行业金融机构要认真执行《银行业金融机构案件问责工作管理暂行办法》等有关案件问责的制度规定，按照依法依规、实事求是、权责对等、责任明确、逐级追究的原则对案件责任人员实施责任追究，</w:t>
      </w:r>
      <w:proofErr w:type="gramStart"/>
      <w:r>
        <w:rPr>
          <w:rFonts w:ascii="宋体" w:eastAsia="宋体" w:hAnsi="宋体" w:cs="宋体" w:hint="eastAsia"/>
          <w:sz w:val="24"/>
        </w:rPr>
        <w:t>防止问</w:t>
      </w:r>
      <w:proofErr w:type="gramEnd"/>
      <w:r>
        <w:rPr>
          <w:rFonts w:ascii="宋体" w:eastAsia="宋体" w:hAnsi="宋体" w:cs="宋体" w:hint="eastAsia"/>
          <w:sz w:val="24"/>
        </w:rPr>
        <w:t>责扩大化和</w:t>
      </w:r>
      <w:proofErr w:type="gramStart"/>
      <w:r>
        <w:rPr>
          <w:rFonts w:ascii="宋体" w:eastAsia="宋体" w:hAnsi="宋体" w:cs="宋体" w:hint="eastAsia"/>
          <w:sz w:val="24"/>
        </w:rPr>
        <w:t>问责不到位</w:t>
      </w:r>
      <w:proofErr w:type="gramEnd"/>
      <w:r>
        <w:rPr>
          <w:rFonts w:ascii="宋体" w:eastAsia="宋体" w:hAnsi="宋体" w:cs="宋体" w:hint="eastAsia"/>
          <w:sz w:val="24"/>
        </w:rPr>
        <w:t>，切实做到“谁的责任谁承担”。对于主动反映、举报案件线索的，可以免予追究案发分支机构和上级机构有关责任人员的责任；对于自查发现、主动揭露案件的，可以从轻或减轻追究案发分支机构和上级机构有关责任人员的责任。对于案发后瞒报或故意漏报、迟报、错报案</w:t>
      </w:r>
      <w:proofErr w:type="gramStart"/>
      <w:r>
        <w:rPr>
          <w:rFonts w:ascii="宋体" w:eastAsia="宋体" w:hAnsi="宋体" w:cs="宋体" w:hint="eastAsia"/>
          <w:sz w:val="24"/>
        </w:rPr>
        <w:t>件信息</w:t>
      </w:r>
      <w:proofErr w:type="gramEnd"/>
      <w:r>
        <w:rPr>
          <w:rFonts w:ascii="宋体" w:eastAsia="宋体" w:hAnsi="宋体" w:cs="宋体" w:hint="eastAsia"/>
          <w:sz w:val="24"/>
        </w:rPr>
        <w:t>和为逃避责任有意以民事诉讼替代刑事诉讼导致损失进一步扩大等问题的，应对案发分支机构和上级机构有关责任人员从重问责。</w:t>
      </w:r>
    </w:p>
    <w:p w14:paraId="082ACA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(七)各级监管机构要做好案件问</w:t>
      </w:r>
      <w:proofErr w:type="gramStart"/>
      <w:r>
        <w:rPr>
          <w:rFonts w:ascii="宋体" w:eastAsia="宋体" w:hAnsi="宋体" w:cs="宋体" w:hint="eastAsia"/>
          <w:sz w:val="24"/>
        </w:rPr>
        <w:t>责政策</w:t>
      </w:r>
      <w:proofErr w:type="gramEnd"/>
      <w:r>
        <w:rPr>
          <w:rFonts w:ascii="宋体" w:eastAsia="宋体" w:hAnsi="宋体" w:cs="宋体" w:hint="eastAsia"/>
          <w:sz w:val="24"/>
        </w:rPr>
        <w:t>的宣传解释工作，引导银行业金融机构开展案件自查自究，鼓励涉案人员投案自首。对于银行业金融机构从业人员在案件中</w:t>
      </w:r>
      <w:proofErr w:type="gramStart"/>
      <w:r>
        <w:rPr>
          <w:rFonts w:ascii="宋体" w:eastAsia="宋体" w:hAnsi="宋体" w:cs="宋体" w:hint="eastAsia"/>
          <w:sz w:val="24"/>
        </w:rPr>
        <w:t>不</w:t>
      </w:r>
      <w:proofErr w:type="gramEnd"/>
      <w:r>
        <w:rPr>
          <w:rFonts w:ascii="宋体" w:eastAsia="宋体" w:hAnsi="宋体" w:cs="宋体" w:hint="eastAsia"/>
          <w:sz w:val="24"/>
        </w:rPr>
        <w:t>涉嫌触犯刑法，且银行业金融机构或其从业人员也无其他违法违规行为的，以及银行业金融机构主动反映、举报案件线索和自查发现、主动揭露案件的，各级监管机构在</w:t>
      </w:r>
      <w:proofErr w:type="gramStart"/>
      <w:r>
        <w:rPr>
          <w:rFonts w:ascii="宋体" w:eastAsia="宋体" w:hAnsi="宋体" w:cs="宋体" w:hint="eastAsia"/>
          <w:sz w:val="24"/>
        </w:rPr>
        <w:t>开展案防</w:t>
      </w:r>
      <w:proofErr w:type="gramEnd"/>
      <w:r>
        <w:rPr>
          <w:rFonts w:ascii="宋体" w:eastAsia="宋体" w:hAnsi="宋体" w:cs="宋体" w:hint="eastAsia"/>
          <w:sz w:val="24"/>
        </w:rPr>
        <w:t>工作评估时，可视情况适当予以区别对待；对于银行业金融机构案发后瞒报或故意漏报、迟报、错报案</w:t>
      </w:r>
      <w:proofErr w:type="gramStart"/>
      <w:r>
        <w:rPr>
          <w:rFonts w:ascii="宋体" w:eastAsia="宋体" w:hAnsi="宋体" w:cs="宋体" w:hint="eastAsia"/>
          <w:sz w:val="24"/>
        </w:rPr>
        <w:t>件信息</w:t>
      </w:r>
      <w:proofErr w:type="gramEnd"/>
      <w:r>
        <w:rPr>
          <w:rFonts w:ascii="宋体" w:eastAsia="宋体" w:hAnsi="宋体" w:cs="宋体" w:hint="eastAsia"/>
          <w:sz w:val="24"/>
        </w:rPr>
        <w:t>和为逃避责任有意以民事诉讼替代刑事诉讼导致损失进一步扩大等问题的，各级监管机构在</w:t>
      </w:r>
      <w:proofErr w:type="gramStart"/>
      <w:r>
        <w:rPr>
          <w:rFonts w:ascii="宋体" w:eastAsia="宋体" w:hAnsi="宋体" w:cs="宋体" w:hint="eastAsia"/>
          <w:sz w:val="24"/>
        </w:rPr>
        <w:t>开展案防</w:t>
      </w:r>
      <w:proofErr w:type="gramEnd"/>
      <w:r>
        <w:rPr>
          <w:rFonts w:ascii="宋体" w:eastAsia="宋体" w:hAnsi="宋体" w:cs="宋体" w:hint="eastAsia"/>
          <w:sz w:val="24"/>
        </w:rPr>
        <w:t>工作评估时，应相应降低考核评价结果。</w:t>
      </w:r>
    </w:p>
    <w:p w14:paraId="6CA9CF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四、开展风险排查，及时发现案件风险隐患</w:t>
      </w:r>
    </w:p>
    <w:p w14:paraId="498C3A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(八)银行业金融机构要严格执行《银行业金融机构案件风险排查管理办法》，</w:t>
      </w:r>
      <w:r>
        <w:rPr>
          <w:rFonts w:ascii="宋体" w:eastAsia="宋体" w:hAnsi="宋体" w:cs="宋体" w:hint="eastAsia"/>
          <w:sz w:val="24"/>
        </w:rPr>
        <w:lastRenderedPageBreak/>
        <w:t>将案件风险排查工作制度化、常态化、规范化，结合自身业务特点、风险状况、</w:t>
      </w:r>
      <w:proofErr w:type="gramStart"/>
      <w:r>
        <w:rPr>
          <w:rFonts w:ascii="宋体" w:eastAsia="宋体" w:hAnsi="宋体" w:cs="宋体" w:hint="eastAsia"/>
          <w:sz w:val="24"/>
        </w:rPr>
        <w:t>案防形势</w:t>
      </w:r>
      <w:proofErr w:type="gramEnd"/>
      <w:r>
        <w:rPr>
          <w:rFonts w:ascii="宋体" w:eastAsia="宋体" w:hAnsi="宋体" w:cs="宋体" w:hint="eastAsia"/>
          <w:sz w:val="24"/>
        </w:rPr>
        <w:t>以及监管要求，确定排查的范围和内容，组织各级分支机构认真开展排查工作。对于排查中发现的案件疑点和线索，应交由问题所在分支机构的</w:t>
      </w:r>
      <w:proofErr w:type="gramStart"/>
      <w:r>
        <w:rPr>
          <w:rFonts w:ascii="宋体" w:eastAsia="宋体" w:hAnsi="宋体" w:cs="宋体" w:hint="eastAsia"/>
          <w:sz w:val="24"/>
        </w:rPr>
        <w:t>上级案防</w:t>
      </w:r>
      <w:proofErr w:type="gramEnd"/>
      <w:r>
        <w:rPr>
          <w:rFonts w:ascii="宋体" w:eastAsia="宋体" w:hAnsi="宋体" w:cs="宋体" w:hint="eastAsia"/>
          <w:sz w:val="24"/>
        </w:rPr>
        <w:t>部门直接组织深入检查，不得由分支机构自行开展检查。对于已经暴露出来的案件和风险事件，要重新审视追偿债权的诉讼方式是否合理，对于确实存在为逃避责任有意以民事诉讼替代刑事诉讼问题的，应立即整改，及时报案，尽快移送公安、司法机关。</w:t>
      </w:r>
    </w:p>
    <w:p w14:paraId="23BB77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银行业金融机构要跟踪了解内部员工的异常行为，及时发现内部员工参与作案的线索，切实做到“早发现、早干预、早处置”，防患于未然。发现内部员工存在失职读职、违纪违法等行为的，要从严惩处，构成犯罪的，一律移送公安司法机关。</w:t>
      </w:r>
    </w:p>
    <w:p w14:paraId="69E502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五、强化合</w:t>
      </w:r>
      <w:proofErr w:type="gramStart"/>
      <w:r>
        <w:rPr>
          <w:rFonts w:ascii="宋体" w:eastAsia="宋体" w:hAnsi="宋体" w:cs="宋体" w:hint="eastAsia"/>
          <w:sz w:val="24"/>
        </w:rPr>
        <w:t>规</w:t>
      </w:r>
      <w:proofErr w:type="gramEnd"/>
      <w:r>
        <w:rPr>
          <w:rFonts w:ascii="宋体" w:eastAsia="宋体" w:hAnsi="宋体" w:cs="宋体" w:hint="eastAsia"/>
          <w:sz w:val="24"/>
        </w:rPr>
        <w:t>理念，</w:t>
      </w:r>
      <w:proofErr w:type="gramStart"/>
      <w:r>
        <w:rPr>
          <w:rFonts w:ascii="宋体" w:eastAsia="宋体" w:hAnsi="宋体" w:cs="宋体" w:hint="eastAsia"/>
          <w:sz w:val="24"/>
        </w:rPr>
        <w:t>提升案防</w:t>
      </w:r>
      <w:proofErr w:type="gramEnd"/>
      <w:r>
        <w:rPr>
          <w:rFonts w:ascii="宋体" w:eastAsia="宋体" w:hAnsi="宋体" w:cs="宋体" w:hint="eastAsia"/>
          <w:sz w:val="24"/>
        </w:rPr>
        <w:t>制度执行力</w:t>
      </w:r>
    </w:p>
    <w:p w14:paraId="119D08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(十)银行业金融机构要改进绩效考评体系，突出合</w:t>
      </w:r>
      <w:proofErr w:type="gramStart"/>
      <w:r>
        <w:rPr>
          <w:rFonts w:ascii="宋体" w:eastAsia="宋体" w:hAnsi="宋体" w:cs="宋体" w:hint="eastAsia"/>
          <w:sz w:val="24"/>
        </w:rPr>
        <w:t>规</w:t>
      </w:r>
      <w:proofErr w:type="gramEnd"/>
      <w:r>
        <w:rPr>
          <w:rFonts w:ascii="宋体" w:eastAsia="宋体" w:hAnsi="宋体" w:cs="宋体" w:hint="eastAsia"/>
          <w:sz w:val="24"/>
        </w:rPr>
        <w:t>经营和风险管理的重要性，合</w:t>
      </w:r>
      <w:proofErr w:type="gramStart"/>
      <w:r>
        <w:rPr>
          <w:rFonts w:ascii="宋体" w:eastAsia="宋体" w:hAnsi="宋体" w:cs="宋体" w:hint="eastAsia"/>
          <w:sz w:val="24"/>
        </w:rPr>
        <w:t>规</w:t>
      </w:r>
      <w:proofErr w:type="gramEnd"/>
      <w:r>
        <w:rPr>
          <w:rFonts w:ascii="宋体" w:eastAsia="宋体" w:hAnsi="宋体" w:cs="宋体" w:hint="eastAsia"/>
          <w:sz w:val="24"/>
        </w:rPr>
        <w:t>经营类指标和风险管理类指标权重应当明显高于其他类指标。要强化高管人员对案防工作的领导责任，</w:t>
      </w:r>
      <w:proofErr w:type="gramStart"/>
      <w:r>
        <w:rPr>
          <w:rFonts w:ascii="宋体" w:eastAsia="宋体" w:hAnsi="宋体" w:cs="宋体" w:hint="eastAsia"/>
          <w:sz w:val="24"/>
        </w:rPr>
        <w:t>督促高</w:t>
      </w:r>
      <w:proofErr w:type="gramEnd"/>
      <w:r>
        <w:rPr>
          <w:rFonts w:ascii="宋体" w:eastAsia="宋体" w:hAnsi="宋体" w:cs="宋体" w:hint="eastAsia"/>
          <w:sz w:val="24"/>
        </w:rPr>
        <w:t>管人员更加重视</w:t>
      </w:r>
      <w:proofErr w:type="gramStart"/>
      <w:r>
        <w:rPr>
          <w:rFonts w:ascii="宋体" w:eastAsia="宋体" w:hAnsi="宋体" w:cs="宋体" w:hint="eastAsia"/>
          <w:sz w:val="24"/>
        </w:rPr>
        <w:t>提升案防</w:t>
      </w:r>
      <w:proofErr w:type="gramEnd"/>
      <w:r>
        <w:rPr>
          <w:rFonts w:ascii="宋体" w:eastAsia="宋体" w:hAnsi="宋体" w:cs="宋体" w:hint="eastAsia"/>
          <w:sz w:val="24"/>
        </w:rPr>
        <w:t>制度执行力。</w:t>
      </w:r>
    </w:p>
    <w:p w14:paraId="5056D6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(十一)银行业金融机构要针对全体员工持续开展法律合</w:t>
      </w:r>
      <w:proofErr w:type="gramStart"/>
      <w:r>
        <w:rPr>
          <w:rFonts w:ascii="宋体" w:eastAsia="宋体" w:hAnsi="宋体" w:cs="宋体" w:hint="eastAsia"/>
          <w:sz w:val="24"/>
        </w:rPr>
        <w:t>规</w:t>
      </w:r>
      <w:proofErr w:type="gramEnd"/>
      <w:r>
        <w:rPr>
          <w:rFonts w:ascii="宋体" w:eastAsia="宋体" w:hAnsi="宋体" w:cs="宋体" w:hint="eastAsia"/>
          <w:sz w:val="24"/>
        </w:rPr>
        <w:t>教育培训，以监管机构和银行业金融机构自身</w:t>
      </w:r>
      <w:proofErr w:type="gramStart"/>
      <w:r>
        <w:rPr>
          <w:rFonts w:ascii="宋体" w:eastAsia="宋体" w:hAnsi="宋体" w:cs="宋体" w:hint="eastAsia"/>
          <w:sz w:val="24"/>
        </w:rPr>
        <w:t>的案防制度</w:t>
      </w:r>
      <w:proofErr w:type="gramEnd"/>
      <w:r>
        <w:rPr>
          <w:rFonts w:ascii="宋体" w:eastAsia="宋体" w:hAnsi="宋体" w:cs="宋体" w:hint="eastAsia"/>
          <w:sz w:val="24"/>
        </w:rPr>
        <w:t>以及《刑法》中关于金融犯罪的有关规定为主要内容，督促员工增强遵章守纪意识，树立良好的职业道德情操，营造“不想为”、“不敢为”和“不能为”</w:t>
      </w:r>
      <w:proofErr w:type="gramStart"/>
      <w:r>
        <w:rPr>
          <w:rFonts w:ascii="宋体" w:eastAsia="宋体" w:hAnsi="宋体" w:cs="宋体" w:hint="eastAsia"/>
          <w:sz w:val="24"/>
        </w:rPr>
        <w:t>的案防内控</w:t>
      </w:r>
      <w:proofErr w:type="gramEnd"/>
      <w:r>
        <w:rPr>
          <w:rFonts w:ascii="宋体" w:eastAsia="宋体" w:hAnsi="宋体" w:cs="宋体" w:hint="eastAsia"/>
          <w:sz w:val="24"/>
        </w:rPr>
        <w:t>文化，切实提高员工对案防和内控制度的执行力。</w:t>
      </w:r>
    </w:p>
    <w:p w14:paraId="2E66B9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中国银行业监督管理委员会办公厅</w:t>
      </w:r>
    </w:p>
    <w:p w14:paraId="35E96809"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2015年9月2日</w:t>
      </w:r>
    </w:p>
    <w:p w14:paraId="5648E6E0"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95.《国务院关于进一步做好防范和处置非法集资工作的意见》</w:t>
      </w:r>
    </w:p>
    <w:p w14:paraId="45CE15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发文机构：国务院</w:t>
      </w:r>
      <w:r>
        <w:rPr>
          <w:rFonts w:ascii="宋体" w:eastAsia="宋体" w:hAnsi="宋体" w:cs="宋体" w:hint="eastAsia"/>
          <w:sz w:val="24"/>
        </w:rPr>
        <w:tab/>
        <w:t xml:space="preserve">                         文号：国发〔2015〕59号</w:t>
      </w:r>
    </w:p>
    <w:p w14:paraId="0E25B3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各省、自治区、直辖市人民政府，国务院各部委、各直属机构：</w:t>
      </w:r>
    </w:p>
    <w:p w14:paraId="575F6C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近年来，在处置非法集资部际联席会议（以下简称部际联席会议）成员单位和地方人民政府的共同努力下，防范和处置非法集资工作取得积极进展。但是，当前非法集资形势严峻，案件高发频发，涉案领域增多，作案方式花样翻新，部分地区案件集中暴露，并有扩散蔓延趋势。按照党中央、国务院决策部署，为有效遏制非法集资高发蔓延势头，加大防范和处置工作力度，切实保护人民群众合法权益，防范系统性区域性金融风险，现提出以下意见：</w:t>
      </w:r>
    </w:p>
    <w:p w14:paraId="02CE6E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一、充分认识当前形势下做好防范和处置非法集资工作的重要性和紧迫性</w:t>
      </w:r>
    </w:p>
    <w:p w14:paraId="44826D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长期以来，我国经济社会保持较快发展，资金需求旺盛，融资难、融资</w:t>
      </w:r>
      <w:proofErr w:type="gramStart"/>
      <w:r>
        <w:rPr>
          <w:rFonts w:ascii="宋体" w:eastAsia="宋体" w:hAnsi="宋体" w:cs="宋体" w:hint="eastAsia"/>
          <w:sz w:val="24"/>
        </w:rPr>
        <w:t>贵问题</w:t>
      </w:r>
      <w:proofErr w:type="gramEnd"/>
      <w:r>
        <w:rPr>
          <w:rFonts w:ascii="宋体" w:eastAsia="宋体" w:hAnsi="宋体" w:cs="宋体" w:hint="eastAsia"/>
          <w:sz w:val="24"/>
        </w:rPr>
        <w:t>比较突出，民间投资渠道狭窄的现实困难和非法集资高额回报的巨大诱惑交织共存。当前，经济下行压力较大，企业生产经营困难增多，各类不规范民间融资介入较深的行业领域风险集中暴露，非法集资问题日益凸显。一些案件由于参与群众多、财产损失大，频繁引发群体性事件，甚至导致极端过激事件发生，影响社会稳定。</w:t>
      </w:r>
    </w:p>
    <w:p w14:paraId="5AA3A4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防范和处置非法集资是一项长期、复杂、艰巨的系统性工程。各地区、各有关部门要高度重视，从保持经济平稳发展和维护社会和谐稳定的大局出发，加大防范和处置力度，建立和完善长效机制，坚决守住不发生系统性区域性金融风险底线。</w:t>
      </w:r>
    </w:p>
    <w:p w14:paraId="52E220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二、总体要求</w:t>
      </w:r>
    </w:p>
    <w:p w14:paraId="48046B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指导思想。深入贯彻党的十八大和十八届三中、四中全会精神，认真落实党中央、国务院决策部署，主动适应经济发展新常态，坚持系统治理、依法治理、综合治理、源头治理，进一步健全责任明确、上下联动、齐抓共管、配合有力的工作格局，加大防范预警、案件处置、宣传教育等工作力度，开正门、堵邪路，逐步建立防打结合、</w:t>
      </w:r>
      <w:proofErr w:type="gramStart"/>
      <w:r>
        <w:rPr>
          <w:rFonts w:ascii="宋体" w:eastAsia="宋体" w:hAnsi="宋体" w:cs="宋体" w:hint="eastAsia"/>
          <w:sz w:val="24"/>
        </w:rPr>
        <w:t>打早打</w:t>
      </w:r>
      <w:proofErr w:type="gramEnd"/>
      <w:r>
        <w:rPr>
          <w:rFonts w:ascii="宋体" w:eastAsia="宋体" w:hAnsi="宋体" w:cs="宋体" w:hint="eastAsia"/>
          <w:sz w:val="24"/>
        </w:rPr>
        <w:t>小、综合施策、标本兼治的综合治理长效机制。</w:t>
      </w:r>
    </w:p>
    <w:p w14:paraId="6CACE5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（二）基本原则。</w:t>
      </w:r>
    </w:p>
    <w:p w14:paraId="3FEA2B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一是防打结合，</w:t>
      </w:r>
      <w:proofErr w:type="gramStart"/>
      <w:r>
        <w:rPr>
          <w:rFonts w:ascii="宋体" w:eastAsia="宋体" w:hAnsi="宋体" w:cs="宋体" w:hint="eastAsia"/>
          <w:sz w:val="24"/>
        </w:rPr>
        <w:t>打早打</w:t>
      </w:r>
      <w:proofErr w:type="gramEnd"/>
      <w:r>
        <w:rPr>
          <w:rFonts w:ascii="宋体" w:eastAsia="宋体" w:hAnsi="宋体" w:cs="宋体" w:hint="eastAsia"/>
          <w:sz w:val="24"/>
        </w:rPr>
        <w:t>小。既要解决好浮出水面的问题，讲求策略方法，依法、有序、稳妥处置风险；更要做好防范预警，尽可能使非法集资不发生、少发生，一旦发生要</w:t>
      </w:r>
      <w:proofErr w:type="gramStart"/>
      <w:r>
        <w:rPr>
          <w:rFonts w:ascii="宋体" w:eastAsia="宋体" w:hAnsi="宋体" w:cs="宋体" w:hint="eastAsia"/>
          <w:sz w:val="24"/>
        </w:rPr>
        <w:t>打早打</w:t>
      </w:r>
      <w:proofErr w:type="gramEnd"/>
      <w:r>
        <w:rPr>
          <w:rFonts w:ascii="宋体" w:eastAsia="宋体" w:hAnsi="宋体" w:cs="宋体" w:hint="eastAsia"/>
          <w:sz w:val="24"/>
        </w:rPr>
        <w:t>小，在苗头时期、涉</w:t>
      </w:r>
      <w:proofErr w:type="gramStart"/>
      <w:r>
        <w:rPr>
          <w:rFonts w:ascii="宋体" w:eastAsia="宋体" w:hAnsi="宋体" w:cs="宋体" w:hint="eastAsia"/>
          <w:sz w:val="24"/>
        </w:rPr>
        <w:t>众范围</w:t>
      </w:r>
      <w:proofErr w:type="gramEnd"/>
      <w:r>
        <w:rPr>
          <w:rFonts w:ascii="宋体" w:eastAsia="宋体" w:hAnsi="宋体" w:cs="宋体" w:hint="eastAsia"/>
          <w:sz w:val="24"/>
        </w:rPr>
        <w:t>较小时解决问题。</w:t>
      </w:r>
    </w:p>
    <w:p w14:paraId="15A375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二是突出重点，依法打击。抓住非法集资重点领域、重点区域、重大案件，依法持续严厉打击，最大限度追赃挽损，强化跨区域、跨部门协作配合，防范好处置风险的风险，有效维护社会稳定。</w:t>
      </w:r>
    </w:p>
    <w:p w14:paraId="3AD2BF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三是疏堵结合，标本兼治。进一步深化金融改革，大力发展普惠金融，提升金融服务水平。完善民间融资制度，合理引导和规范民间金融发展。</w:t>
      </w:r>
    </w:p>
    <w:p w14:paraId="41FDD3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是齐抓共管，形成合力。地方各级人民政府牵头，统筹指挥；中央层面，部际联席会议顶层推动、协调督导，各部门协同配合，加强监督管理。强化宣传教育，积极引导和发动广大群众参与到防范和处置非法集资工作中来。</w:t>
      </w:r>
    </w:p>
    <w:p w14:paraId="41A4FC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主要目标。非法集资高发势头得到遏制，存量风险及时化解，增量风险逐步减少，大案要案依法、稳妥处置。非法集资监测到位、预警及时、防范得力，一旦发现苗头要及早引导、规范、处置。政策法规进一步完善，处置非法集资工作纳入法治化轨道。广大人民群众相关法律意识和风险意识显著提高，买者自负、风险自担的意识氛围逐步形成。金融服务水平进一步提高，投融资体系进一步完善，非法集资生存土壤逐步消除。</w:t>
      </w:r>
    </w:p>
    <w:p w14:paraId="7185F6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三、落实责任，强化机制</w:t>
      </w:r>
    </w:p>
    <w:p w14:paraId="3B3BCC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省级人民政府是防范和处置非法集资的第一责任人。省级人民政府对本行政区域防范和处置非法集资工作负总责，要切实担负起第一责任人的责任。地方各级人民政府要有效落实属地管理职责，充分发挥资源统筹调动、靠近基层一线优势，做好本行政区域</w:t>
      </w:r>
      <w:proofErr w:type="gramStart"/>
      <w:r>
        <w:rPr>
          <w:rFonts w:ascii="宋体" w:eastAsia="宋体" w:hAnsi="宋体" w:cs="宋体" w:hint="eastAsia"/>
          <w:sz w:val="24"/>
        </w:rPr>
        <w:t>内风险</w:t>
      </w:r>
      <w:proofErr w:type="gramEnd"/>
      <w:r>
        <w:rPr>
          <w:rFonts w:ascii="宋体" w:eastAsia="宋体" w:hAnsi="宋体" w:cs="宋体" w:hint="eastAsia"/>
          <w:sz w:val="24"/>
        </w:rPr>
        <w:t>排查、监测预警、案件查处、善后处置、宣传教育和维护稳定等工作，确保本行政区域防范和处置非法集资工作组织到位、体系完善、机制健全、保障有力。建立目标责任制，将防范和处置非法集资工作纳入领导班子和领导干部综合考核评价内容，明确责任，表彰奖励先进，对工作失职、渎职行为严肃追究责任。进一步规范约束地方各级领导干部参与民间经济金</w:t>
      </w:r>
      <w:r>
        <w:rPr>
          <w:rFonts w:ascii="宋体" w:eastAsia="宋体" w:hAnsi="宋体" w:cs="宋体" w:hint="eastAsia"/>
          <w:sz w:val="24"/>
        </w:rPr>
        <w:lastRenderedPageBreak/>
        <w:t>融活动。</w:t>
      </w:r>
    </w:p>
    <w:p w14:paraId="0029A3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落实部门监督管理职责。各行业主管、监管部门要将防控本行业领域非法集资作为履行监督管理职责的重要内容，加强日常监管。按照监管与市场准入、行业管理挂钩原则，确保所有行业领域非法集资监管防范不留真空。对需要经过市场准入许可的行业领域，由准入监管部门负责本行业领域非法集资的防范、监测和预警工作；对无需市场准入许可，但有明确主管部门指导、规范和促进的行业领域，由主管部门牵头负责本行业领域非法集资的防范、监测和预警工作；对没有明确主管、监管部门的行业领域，由地方各级人民政府组织协调相关部门，充分利用现有市场监管手段，强化综合监管，防范非法集资风险。</w:t>
      </w:r>
    </w:p>
    <w:p w14:paraId="5883C4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完善组织协调机制。进一步完善中央和地方防范和处置非法集资工作机制。中央层面，充分发挥部际联席会议作用，银监会作为牵头单位要进一步强化部门联动，加强顶层推动，加大督促指导力度，增强工作合力。地方各级人民政府要建立健全防范和处置非法集资工作领导小组工作机制，由政府分管领导担任组长，明确专门机构和专职人员，落实职责分工，优化工作程序，强化制度约束，提升工作质效。</w:t>
      </w:r>
    </w:p>
    <w:p w14:paraId="5209A1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四、以防为主，及时化解</w:t>
      </w:r>
    </w:p>
    <w:p w14:paraId="5684B7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全面加强监测预警。各地区要建立立体化、社会化、信息化的监测预警体系，充分发挥网格化管理和基层群众自治的经验和优势，群防群治，贴近一线开展预警防范工作。创新工作方法，充分利用互联网、大数据等技术手段加强对非法集资的监测预警。部际联席会议要积极整合各地区、各有关部门信息资源，推动实现工商市场主体公示信息、人民银行征信信息、公安打击违法犯罪信息、法院立案判决执行信息等相关信息的依法互通共享，进一步发挥好全国统一的信用信息共享交换平台作用，加强风险</w:t>
      </w:r>
      <w:proofErr w:type="gramStart"/>
      <w:r>
        <w:rPr>
          <w:rFonts w:ascii="宋体" w:eastAsia="宋体" w:hAnsi="宋体" w:cs="宋体" w:hint="eastAsia"/>
          <w:sz w:val="24"/>
        </w:rPr>
        <w:t>研</w:t>
      </w:r>
      <w:proofErr w:type="gramEnd"/>
      <w:r>
        <w:rPr>
          <w:rFonts w:ascii="宋体" w:eastAsia="宋体" w:hAnsi="宋体" w:cs="宋体" w:hint="eastAsia"/>
          <w:sz w:val="24"/>
        </w:rPr>
        <w:t>判，及时预警提示。</w:t>
      </w:r>
    </w:p>
    <w:p w14:paraId="3C7570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强化事中事后监管。行业主管、监管部门要加强对所主管、监管机构和业务的风险排查和行政执法，做到早发现、早预防、早处置。对一般工商企业，各地区要综合运用信用分类监管、定向抽查检查、信息公示、风险警示约谈、市场准入限制等手段，加强市场监督管理，加强部门间信息共享和对失信主体的联合惩戒，探索建立多部门联动综合执法机制，提升执法效果。对非法集资主体（包</w:t>
      </w:r>
      <w:r>
        <w:rPr>
          <w:rFonts w:ascii="宋体" w:eastAsia="宋体" w:hAnsi="宋体" w:cs="宋体" w:hint="eastAsia"/>
          <w:sz w:val="24"/>
        </w:rPr>
        <w:lastRenderedPageBreak/>
        <w:t>括法人、实际控制人、代理人、中间人等）建立经营异常名录和信用记录，并纳入全国统一的信用信息共享交换平台。充分发挥行业协会作用，加强行业自律管理，促进市场主体自我约束、诚信经营。</w:t>
      </w:r>
    </w:p>
    <w:p w14:paraId="00588F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发挥金融机构监测防控作用。加强金融机构内部管理，确保分支机构和员工不参与非法集资。加强金融机构对社会公众的宣传教育，在营业场所醒目位置张贴警示标识。金融机构在严格执行大额可疑资金报告制度基础上，对各类账户交易中具有分散转入集中转出、定期批量小额转出等特征的涉嫌非法集资资金异动进行分析识别，并将有关情况及时提供给地方各级防范和处置非法集资工作领导小组办公室。人民银行、银监会、证监会、保监会、外汇局要指导和督促金融机构做好对涉嫌非法集资可疑资金的监测工作，</w:t>
      </w:r>
      <w:proofErr w:type="gramStart"/>
      <w:r>
        <w:rPr>
          <w:rFonts w:ascii="宋体" w:eastAsia="宋体" w:hAnsi="宋体" w:cs="宋体" w:hint="eastAsia"/>
          <w:sz w:val="24"/>
        </w:rPr>
        <w:t>建立问</w:t>
      </w:r>
      <w:proofErr w:type="gramEnd"/>
      <w:r>
        <w:rPr>
          <w:rFonts w:ascii="宋体" w:eastAsia="宋体" w:hAnsi="宋体" w:cs="宋体" w:hint="eastAsia"/>
          <w:sz w:val="24"/>
        </w:rPr>
        <w:t>责制度。</w:t>
      </w:r>
    </w:p>
    <w:p w14:paraId="6097F0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发动群众防范预警。充分调动广大群众积极性，探索建立群众自动自发、广泛参与的防范预警机制。加快建立非法集资举报奖励制度，强化正面激励，加大奖励力度，鼓励广大群众积极参与，并做好保密、人身安全保护等工作。部际联席会议研究制订举报奖励办法，地方各级人民政府组织实施。</w:t>
      </w:r>
    </w:p>
    <w:p w14:paraId="3FF1CB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五、依法打击，稳妥处置</w:t>
      </w:r>
    </w:p>
    <w:p w14:paraId="3A1D5D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防控重点领域、重点区域风险。各地区、各有关部门要坚决依法惩处非法集资违法犯罪活动，密切关注投资理财、非融资性担保、P2P网络借贷等新的高发重点领域，以及投资公司、农民专业合作社、民办教育机构、养老机构等新的风险点，加强风险监控。案件高发地区要把防范和处置非法集资工作放在突出重要位置，遏制案件高发态势，消化存量风险，最大限度追赃挽损，维护金融和社会秩序稳定。公安机关要积极统筹调配力量，抓住重点环节，会同有关部门综合采取措施，及时发现并快速、全面、深入侦办案件，提高打击效能。有关部门要全力配合，依法开展涉案资产查封、资金账户查询和冻结等必要的协助工作。</w:t>
      </w:r>
    </w:p>
    <w:p w14:paraId="1391BC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（十二）依法妥善处置跨省案件。坚持统一指挥协调、统一办案要求、统一资产处置、分别侦查诉讼、分别</w:t>
      </w:r>
      <w:proofErr w:type="gramStart"/>
      <w:r>
        <w:rPr>
          <w:rFonts w:ascii="宋体" w:eastAsia="宋体" w:hAnsi="宋体" w:cs="宋体" w:hint="eastAsia"/>
          <w:sz w:val="24"/>
        </w:rPr>
        <w:t>落实维稳的</w:t>
      </w:r>
      <w:proofErr w:type="gramEnd"/>
      <w:r>
        <w:rPr>
          <w:rFonts w:ascii="宋体" w:eastAsia="宋体" w:hAnsi="宋体" w:cs="宋体" w:hint="eastAsia"/>
          <w:sz w:val="24"/>
        </w:rPr>
        <w:t>工作原则。牵头省份要积极主动落实牵头责任，依法合</w:t>
      </w:r>
      <w:proofErr w:type="gramStart"/>
      <w:r>
        <w:rPr>
          <w:rFonts w:ascii="宋体" w:eastAsia="宋体" w:hAnsi="宋体" w:cs="宋体" w:hint="eastAsia"/>
          <w:sz w:val="24"/>
        </w:rPr>
        <w:t>规</w:t>
      </w:r>
      <w:proofErr w:type="gramEnd"/>
      <w:r>
        <w:rPr>
          <w:rFonts w:ascii="宋体" w:eastAsia="宋体" w:hAnsi="宋体" w:cs="宋体" w:hint="eastAsia"/>
          <w:sz w:val="24"/>
        </w:rPr>
        <w:t>、公平公正地制定统一处置方案，加强与其他涉案地区的沟通协调，定期通报工作进展情况。协办省份要大力支持配合，切实履行协作义务。</w:t>
      </w:r>
      <w:r>
        <w:rPr>
          <w:rFonts w:ascii="宋体" w:eastAsia="宋体" w:hAnsi="宋体" w:cs="宋体" w:hint="eastAsia"/>
          <w:sz w:val="24"/>
        </w:rPr>
        <w:lastRenderedPageBreak/>
        <w:t>强化全局观念，加强系统内的指挥、指导和监督，完善内部制约激励机制，切实推动、保障依法办案，防止遗漏犯罪事实；加强沟通、</w:t>
      </w:r>
      <w:proofErr w:type="gramStart"/>
      <w:r>
        <w:rPr>
          <w:rFonts w:ascii="宋体" w:eastAsia="宋体" w:hAnsi="宋体" w:cs="宋体" w:hint="eastAsia"/>
          <w:sz w:val="24"/>
        </w:rPr>
        <w:t>协商及跨区域</w:t>
      </w:r>
      <w:proofErr w:type="gramEnd"/>
      <w:r>
        <w:rPr>
          <w:rFonts w:ascii="宋体" w:eastAsia="宋体" w:hAnsi="宋体" w:cs="宋体" w:hint="eastAsia"/>
          <w:sz w:val="24"/>
        </w:rPr>
        <w:t>、跨部门协作，共同解决办案难题，提高案件查处效率。</w:t>
      </w:r>
    </w:p>
    <w:p w14:paraId="58E622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三）坚持分类施策，维护社会稳定。综合运用经济、行政、法律等措施，讲究执法策略、方式、尺度和时机，依法合理制定涉案资产的处置政策和方案，分类处置非法集资问题，防止矛盾激化，努力实现执法效果与经济效果、社会效果相统一。</w:t>
      </w:r>
      <w:proofErr w:type="gramStart"/>
      <w:r>
        <w:rPr>
          <w:rFonts w:ascii="宋体" w:eastAsia="宋体" w:hAnsi="宋体" w:cs="宋体" w:hint="eastAsia"/>
          <w:sz w:val="24"/>
        </w:rPr>
        <w:t>落实维稳属地</w:t>
      </w:r>
      <w:proofErr w:type="gramEnd"/>
      <w:r>
        <w:rPr>
          <w:rFonts w:ascii="宋体" w:eastAsia="宋体" w:hAnsi="宋体" w:cs="宋体" w:hint="eastAsia"/>
          <w:sz w:val="24"/>
        </w:rPr>
        <w:t>责任，畅通群众诉求反映渠道，及时回应群众诉求，积极导入法治轨道，严格依法处置案件，切实有效维护社会稳定。</w:t>
      </w:r>
    </w:p>
    <w:p w14:paraId="0FB6C1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六、广泛宣传，加强教育</w:t>
      </w:r>
    </w:p>
    <w:p w14:paraId="71204F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四）建立上下联动的宣传教育工作机制。建立部际联席会议统一规划，宣传主管部门协调推动，行业主管、监管部门指导落实，相关部门积极参与，各省（区、市）全面落实，中央和地方上下联动的宣传教育工作机制。</w:t>
      </w:r>
    </w:p>
    <w:p w14:paraId="7F8946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五）加大顶层引领和推动力度。中央层面要加强顶层设计，制定防范和处置非法集资宣传总体规划，推动全国范围内宣传教育工作。部际联席会议要组织协调中央媒体大力开展宣传教育，加强舆论引导。行业主管、监管部门要根据行业领域风险特点，制定防范和处置非法集资法律政策宣传方案，有针对性地开展本行业领域宣传教育活动。</w:t>
      </w:r>
    </w:p>
    <w:p w14:paraId="5068A3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六）深入推进地方强化宣传教育工作。地方各级人民政府要建立健全常态化的宣传教育工作机制，贴近基层、贴近群众、贴近生活，推动防范和处置非法集资宣传教育活动进机关、进工厂、进学校、进家庭、进社区、进村屯，实现宣传教育广覆盖，引导广大群众对非法集资不参与、能识别、敢揭发。充分运用电视、广播、报刊、网络、电信、公共交通设施等各类媒介或载体，以法律政策解读、典型案件剖析、投资风险教育等方式，提高宣传教育的广泛性、针对性、有效性。加强广告监测和检查，强化媒体自律责任，封堵涉嫌非法集资的资讯信息，净化社会舆论环境。</w:t>
      </w:r>
    </w:p>
    <w:p w14:paraId="59658F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七、完善法规，健全制度</w:t>
      </w:r>
    </w:p>
    <w:p w14:paraId="284096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（十七）进一步健全完善处置非法集资相关法律法规。梳理非法集资有关法</w:t>
      </w:r>
      <w:r>
        <w:rPr>
          <w:rFonts w:ascii="宋体" w:eastAsia="宋体" w:hAnsi="宋体" w:cs="宋体" w:hint="eastAsia"/>
          <w:sz w:val="24"/>
        </w:rPr>
        <w:lastRenderedPageBreak/>
        <w:t>律规定适用中存在的问题，对罪名适用、量刑标准、刑民交叉、涉案财物处置等问题进行重点研究，推动制定和完善相关法律法规及司法解释。建立健全非法集资刑事诉讼涉案财物保管移送、审前返还、先行处置、违法所得追缴、执行等制度程序。修订《非法金融机构和非法金融业务活动取缔办法》，研究地方各级人民政府与司法机关在案件查处和善后处置阶段的职责划分，完善非法集资案件处置依据。</w:t>
      </w:r>
    </w:p>
    <w:p w14:paraId="50CDE5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（十八）加快民间融资和金融新业</w:t>
      </w:r>
      <w:proofErr w:type="gramStart"/>
      <w:r>
        <w:rPr>
          <w:rFonts w:ascii="宋体" w:eastAsia="宋体" w:hAnsi="宋体" w:cs="宋体" w:hint="eastAsia"/>
          <w:sz w:val="24"/>
        </w:rPr>
        <w:t>态法规</w:t>
      </w:r>
      <w:proofErr w:type="gramEnd"/>
      <w:r>
        <w:rPr>
          <w:rFonts w:ascii="宋体" w:eastAsia="宋体" w:hAnsi="宋体" w:cs="宋体" w:hint="eastAsia"/>
          <w:sz w:val="24"/>
        </w:rPr>
        <w:t>制度建设。尽快出台非存款类放贷组织条例，规范民间融资市场主体，拓宽合法融资渠道。尽快出台P2P网络借贷、</w:t>
      </w:r>
      <w:proofErr w:type="gramStart"/>
      <w:r>
        <w:rPr>
          <w:rFonts w:ascii="宋体" w:eastAsia="宋体" w:hAnsi="宋体" w:cs="宋体" w:hint="eastAsia"/>
          <w:sz w:val="24"/>
        </w:rPr>
        <w:t>股权众筹融资</w:t>
      </w:r>
      <w:proofErr w:type="gramEnd"/>
      <w:r>
        <w:rPr>
          <w:rFonts w:ascii="宋体" w:eastAsia="宋体" w:hAnsi="宋体" w:cs="宋体" w:hint="eastAsia"/>
          <w:sz w:val="24"/>
        </w:rPr>
        <w:t>等监管规则，促进互联网金融规范发展。深入研究规范投资理财、非融资性担保等民间投融资中介机构的政策措施，及时出台与商事制度改革相配套的有关政策。</w:t>
      </w:r>
    </w:p>
    <w:p w14:paraId="05DE15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（十九）完善工作制度和程序。建立</w:t>
      </w:r>
      <w:proofErr w:type="gramStart"/>
      <w:r>
        <w:rPr>
          <w:rFonts w:ascii="宋体" w:eastAsia="宋体" w:hAnsi="宋体" w:cs="宋体" w:hint="eastAsia"/>
          <w:sz w:val="24"/>
        </w:rPr>
        <w:t>健全跨</w:t>
      </w:r>
      <w:proofErr w:type="gramEnd"/>
      <w:r>
        <w:rPr>
          <w:rFonts w:ascii="宋体" w:eastAsia="宋体" w:hAnsi="宋体" w:cs="宋体" w:hint="eastAsia"/>
          <w:sz w:val="24"/>
        </w:rPr>
        <w:t>区域案件执法争议处理机制，完善不同区域间</w:t>
      </w:r>
      <w:proofErr w:type="gramStart"/>
      <w:r>
        <w:rPr>
          <w:rFonts w:ascii="宋体" w:eastAsia="宋体" w:hAnsi="宋体" w:cs="宋体" w:hint="eastAsia"/>
          <w:sz w:val="24"/>
        </w:rPr>
        <w:t>跨执法</w:t>
      </w:r>
      <w:proofErr w:type="gramEnd"/>
      <w:r>
        <w:rPr>
          <w:rFonts w:ascii="宋体" w:eastAsia="宋体" w:hAnsi="宋体" w:cs="宋体" w:hint="eastAsia"/>
          <w:sz w:val="24"/>
        </w:rPr>
        <w:t>部门、司法部门查处工作的衔接配合程序。建立健全防范和处置非法集资信息共享、风险排查、事件处置、协调办案、责任追究、激励约束等制度，修订完善处置非法集资工作操作流程。探索在防范和处置有关环节引进法律、审计、评估等中介服务。</w:t>
      </w:r>
    </w:p>
    <w:p w14:paraId="33F2E4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八、深化改革，疏堵并举</w:t>
      </w:r>
    </w:p>
    <w:p w14:paraId="082445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加大金融服务实体经济力度。进一步落实国务院决策部署，研究制定新举措，不断提升金融服务实体经济的质量和水平。不断完善金融市场体系，推动健全多层次资本市场体系，鼓励、规范和引导民间资本进入金融服务领域，大力发展普惠金融，增加对中小</w:t>
      </w:r>
      <w:proofErr w:type="gramStart"/>
      <w:r>
        <w:rPr>
          <w:rFonts w:ascii="宋体" w:eastAsia="宋体" w:hAnsi="宋体" w:cs="宋体" w:hint="eastAsia"/>
          <w:sz w:val="24"/>
        </w:rPr>
        <w:t>微企业</w:t>
      </w:r>
      <w:proofErr w:type="gramEnd"/>
      <w:r>
        <w:rPr>
          <w:rFonts w:ascii="宋体" w:eastAsia="宋体" w:hAnsi="宋体" w:cs="宋体" w:hint="eastAsia"/>
          <w:sz w:val="24"/>
        </w:rPr>
        <w:t>有效资金供给，加大对经济社会发展薄弱环节的支持力度。</w:t>
      </w:r>
    </w:p>
    <w:p w14:paraId="729B88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一）规范民间投融资发展。鼓励和引导民间投融资健康发展，大幅放宽民间投资市场准入，拓宽民间投融资渠道。完善民间借贷日常信息监测机制，引导民间借贷利率合理化。推进完善社会信用体系，逐步建立完善全国统一、公开、透明的信用信息共享交换平台，营造诚实守信的金融生态环境。</w:t>
      </w:r>
    </w:p>
    <w:p w14:paraId="53D2D2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九、夯实基础，强化保障</w:t>
      </w:r>
    </w:p>
    <w:p w14:paraId="59E74D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（二十二）加强基础支持工作。在当前非法集资高发多发形势下，要进一步做好防范和处置非法集资的人员、经费等保障工作。各级人民政府要合理保障防范和处置非法集资工作相关经费，并纳入同级政府预算。</w:t>
      </w:r>
    </w:p>
    <w:p w14:paraId="19A50B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各地区、各有关部门要认真落实本意</w:t>
      </w:r>
      <w:proofErr w:type="gramStart"/>
      <w:r>
        <w:rPr>
          <w:rFonts w:ascii="宋体" w:eastAsia="宋体" w:hAnsi="宋体" w:cs="宋体" w:hint="eastAsia"/>
          <w:sz w:val="24"/>
        </w:rPr>
        <w:t>见提出</w:t>
      </w:r>
      <w:proofErr w:type="gramEnd"/>
      <w:r>
        <w:rPr>
          <w:rFonts w:ascii="宋体" w:eastAsia="宋体" w:hAnsi="宋体" w:cs="宋体" w:hint="eastAsia"/>
          <w:sz w:val="24"/>
        </w:rPr>
        <w:t>的各项任务，结合本地区、本部门实际，研究制定具体工作方案，采取切实有力措施。部际联席会议要督促检查本意见落实情况，重大情况及时向国务院报告。</w:t>
      </w:r>
    </w:p>
    <w:p w14:paraId="6BBC28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国务院</w:t>
      </w:r>
    </w:p>
    <w:p w14:paraId="2C774B32"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2015年10月19日</w:t>
      </w:r>
    </w:p>
    <w:p w14:paraId="778C9281"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96.《国务院办公厅关于加强金融消费者权益保护工作的指导意见》</w:t>
      </w:r>
      <w:r>
        <w:rPr>
          <w:rFonts w:ascii="宋体" w:eastAsia="宋体" w:hAnsi="宋体" w:cs="宋体" w:hint="eastAsia"/>
          <w:b/>
          <w:bCs/>
          <w:sz w:val="24"/>
        </w:rPr>
        <w:tab/>
      </w:r>
    </w:p>
    <w:p w14:paraId="66DD5A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发文机构：国务院办公厅</w:t>
      </w:r>
      <w:r>
        <w:rPr>
          <w:rFonts w:ascii="宋体" w:eastAsia="宋体" w:hAnsi="宋体" w:cs="宋体" w:hint="eastAsia"/>
          <w:b/>
          <w:bCs/>
          <w:sz w:val="24"/>
        </w:rPr>
        <w:tab/>
        <w:t xml:space="preserve">               </w:t>
      </w:r>
      <w:r>
        <w:rPr>
          <w:rFonts w:ascii="宋体" w:eastAsia="宋体" w:hAnsi="宋体" w:cs="宋体" w:hint="eastAsia"/>
          <w:sz w:val="24"/>
        </w:rPr>
        <w:t>文号：国办发〔2015〕81号</w:t>
      </w:r>
    </w:p>
    <w:p w14:paraId="54F108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各省、自治区、直辖市人民政府，国务院各部委、各直属机构：</w:t>
      </w:r>
    </w:p>
    <w:p w14:paraId="3DDAEA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消费者是金融市场的重要参与者，也是金融业持续健康发展的推动者。加强金融消费者权益保护工作，是防范和化解金融风险的重要内容，对提升金融消费者信心、维护金融安全与稳定、促进社会公平正义和社会和谐具有积极意义。随着我国金融市场改革发展不断深化，金融产品与服务日趋丰富，在为金融消费者带来便利的同时，也存在提供金融产品与服务的行为不规范，金融消费纠纷频发，金融消费者权益保护意识不强、识别风险能力亟待提高等问题。为规范和引导金融机构提供金融产品和服务的行为，构建公平、公正的市场环境，加强金融消费者权益保护工作，经国务院同意，现提出如下意见：</w:t>
      </w:r>
    </w:p>
    <w:p w14:paraId="125757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一、指导思想</w:t>
      </w:r>
    </w:p>
    <w:p w14:paraId="3BB76E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党的十八大和十八届三中、四中、五中全会精神为指导，认真落实党中央、国务院决策部署，坚持市场化和法治化原则，坚持审慎监管与行为监管相结合，建立健全金融消费者权益保护监管机制和保障机制，规范金融机构行为，培育公平竞争和诚信的市场环境，切实保护金融消费者合法权益，防范和化解金融风险，促进金融业持续健康发展。</w:t>
      </w:r>
    </w:p>
    <w:p w14:paraId="07283C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二、工作要求</w:t>
      </w:r>
    </w:p>
    <w:p w14:paraId="2DB1DD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人民银行、银监会、证监会、保监会（以下统称金融管理部门）要按照职责分工，密切配合，切实做好金融消费者权益保护工作。金融管理部门和地方人民政府要加强合作，探索建立中央和地方人民政府金融消费者权益保护协调机制。</w:t>
      </w:r>
    </w:p>
    <w:p w14:paraId="1B9B38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银行业机构、证券业机构、保险业机构以及其他从事金融或与金融相关业务的机构（以下统称金融机构）应当遵循平等自愿、诚实守信等原则，充分尊重并自觉保障金融消费者的财产安全权、知情权、自主选择权、公平交易权、依法求偿权、受教育权、受尊重权、信息安全权等基本权利，依法、合</w:t>
      </w:r>
      <w:proofErr w:type="gramStart"/>
      <w:r>
        <w:rPr>
          <w:rFonts w:ascii="宋体" w:eastAsia="宋体" w:hAnsi="宋体" w:cs="宋体" w:hint="eastAsia"/>
          <w:sz w:val="24"/>
        </w:rPr>
        <w:t>规</w:t>
      </w:r>
      <w:proofErr w:type="gramEnd"/>
      <w:r>
        <w:rPr>
          <w:rFonts w:ascii="宋体" w:eastAsia="宋体" w:hAnsi="宋体" w:cs="宋体" w:hint="eastAsia"/>
          <w:sz w:val="24"/>
        </w:rPr>
        <w:t>开展经营活动。</w:t>
      </w:r>
    </w:p>
    <w:p w14:paraId="2CD315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（三）金融领域相关社会组织应当发挥自身优势，积极参与金融消费者权益保护工作，协助金融消费者依法维权，推动金融知识普及，在金融消费者权益保护中发挥重要作用。</w:t>
      </w:r>
    </w:p>
    <w:p w14:paraId="38EC1C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三、规范金融机构行为</w:t>
      </w:r>
    </w:p>
    <w:p w14:paraId="550D33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（一）健全金融消费者权益保护机制。金融机构应当将保护金融消费者合法权益纳入公司治理、企业文化建设和经营发展战略中统筹规划，落实人员配备和经费预算，完善金融消费者权益保护工作机制。</w:t>
      </w:r>
    </w:p>
    <w:p w14:paraId="767A1A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建立金融消费者适当性制度。金融机构应当对金融产品和服务的风险及专业复杂程度进行评估并实施分级动态管理，完善金融消费者风险偏好、风险认知和风险承受能力测评制度，将合适的金融产品和服务提供给适当的金融消费者。</w:t>
      </w:r>
    </w:p>
    <w:p w14:paraId="456085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保障金融消费者财产安全权。金融机构应当依法保障金融消费者在购买金融产品和接受金融服务过程中的财产安全。金融机构应当审慎经营，采取严格的内控措施和科学的技术监控手段，严格区分机构自身资产与客户资产，不得挪用、占用客户资金。</w:t>
      </w:r>
    </w:p>
    <w:p w14:paraId="22DEF2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保障金融消费者知情权。金融机构应当以通俗易懂的语言，及时、真实、准确、全面地向金融消费者披露可能影响其决策的信息，充分提示风险，不得发布夸大产品收益、掩饰产品风险等欺诈信息，不得作虚假或引人误解的宣传。</w:t>
      </w:r>
    </w:p>
    <w:p w14:paraId="5DF746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保障金融消费者自主选择权。金融机构应当在法律法规和监管规定允许范围内，充分尊重金融消费者意愿，由消费者自主选择、自行决定是否购买金融产品或接受金融服务，不得强买强卖，不得违背金融消费者意愿搭售产品和服务，不得附加其他不合理条件，不得采用引人误解的手段诱使金融消费者购买其他产品。</w:t>
      </w:r>
    </w:p>
    <w:p w14:paraId="72561F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保障金融消费者公平交易权。金融机构不得设置违反公平原则的交易条件，在格式合同中不得加重金融消费者责任、限制或者排除金融消费者合法权利，不得限制金融消费者寻求法律救济途径，不得减轻、免除本机构损害金融消费者合法权益应当承担的民事责任。</w:t>
      </w:r>
    </w:p>
    <w:p w14:paraId="6CFE03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七）保障金融消费者依法求偿权。金融机构应当切实履行金融消费者投诉处理主体责任，在机构内部建立多层级投诉处理机制，完善投诉处理程序，建立投诉办理情况查询系统，提高金融消费者投诉处理质量和效率，接受社会监督。</w:t>
      </w:r>
    </w:p>
    <w:p w14:paraId="67CA18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保障金融消费者受教育权。金融机构应当进一步强化金融消费者教育，积极组织或参与金融知识普及活动，开展广泛、持续的日常性金融消费者教育，帮助金融消费者提高对金融产品和服务的认知能力及自我保护能力，提升金融消费者金融素养和诚实守信意识。</w:t>
      </w:r>
    </w:p>
    <w:p w14:paraId="4F100E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（九）保障金融消费者受尊重权。金融机构应当尊重金融消费者的人格尊严和民族风俗习惯，不得因金融消费者性别、年龄、种族、民族或国籍等不同进行歧视性差别对待。</w:t>
      </w:r>
    </w:p>
    <w:p w14:paraId="360790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（十）保障金融消费者信息安全权。金融机构应当采取有效措施加强对第三方合作机构的管理，明确双方权利义务关系，严格防控金融消费者信息泄露风险，保障金融消费者信息安全。</w:t>
      </w:r>
    </w:p>
    <w:p w14:paraId="5B4C8F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四、完善监督管理机制</w:t>
      </w:r>
    </w:p>
    <w:p w14:paraId="232444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完善金融消费者权益保护法律法规和规章制度。金融管理部门要推动及时修订与金融消费者权益保护相关的行政法规，积极推进金融消费者权益保护相关立法的基础性工作，研究探索金融消费者权益保护特别立法；逐步建立完善金融消费者权益保护规章制度，明确监管目标、原则、标准、措施和程序，指导建立金融消费者权益保护业务标准。</w:t>
      </w:r>
    </w:p>
    <w:p w14:paraId="4159C7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加强金融消费者权益保护监督管理。金融管理部门要促进审慎监管与行为监管形成合力，依法加强监督检查，及时查处侵害金融消费者合法权益的行为；创新非现场监管方式，合理运用评估等手段，进一步提高非现场监管有效性；建立健全金融消费者投诉处理机制，有效督办、处理金融消费者投诉案件；完善风险提示和信息披露机制，加强创新型金融产品风险识别、监测和预警，防范风险扩散，加大对非法金融活动的惩处力度，维护金融市场有序运行。</w:t>
      </w:r>
    </w:p>
    <w:p w14:paraId="2C4C10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（三）健全金融消费者权益保护工作机制。金融管理部门要健全机构设置，强化责任落实和人员保障；加强金融消费者权益保护协调机制建设，建立跨领域</w:t>
      </w:r>
      <w:r>
        <w:rPr>
          <w:rFonts w:ascii="宋体" w:eastAsia="宋体" w:hAnsi="宋体" w:cs="宋体" w:hint="eastAsia"/>
          <w:sz w:val="24"/>
        </w:rPr>
        <w:lastRenderedPageBreak/>
        <w:t>的金融消费者教育、金融消费争议处理和监管执法合作机制，加强信息共享，协调解决金融消费者权益保护领域的重大问题，形成监管合力；强化国际监管合作与交流，推动金融消费者权益跨境监管和保护。</w:t>
      </w:r>
    </w:p>
    <w:p w14:paraId="7D1674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促进金融市场公平竞争。金融管理部门要有效运用市场约束手段防止金融机构不正当竞争行为，鼓励金融机构以提高客户满意度为中心开发更多适应金融消费者需要的金融产品和服务，提升服务水平，公平参与市场竞争。</w:t>
      </w:r>
    </w:p>
    <w:p w14:paraId="618EBB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五、建立健全保障机制</w:t>
      </w:r>
    </w:p>
    <w:p w14:paraId="3BB616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提升金融消费者权益保护水平。有关部门和地方人民政府要在各自职责范围内积极支持和配合金融消费者权益保护工作，健全全方位、多领域的金融消费者权益保护工作保障机制，依法打击各类金融违法犯罪活动，有效保护金融消费者合法权益。</w:t>
      </w:r>
    </w:p>
    <w:p w14:paraId="53893B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建立重大突发事件协作机制。对于涉及金融消费者权益保护的重大突发事件，地方人民政府负责协调本行政区域内各方力量做好应急处置工作。金融管理部门要积极协同配合，协调相关金融机构做好应急响应及处置工作。</w:t>
      </w:r>
    </w:p>
    <w:p w14:paraId="52C287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建立金融知识普及长效机制。金融管理部门、金融机构、相关社会组织要加强研究，综合运用多种方式，推动金融消费者宣传教育工作深入开展。教育部要将金融知识普及教育纳入国民教育体系，切实提高国民金融素养。</w:t>
      </w:r>
    </w:p>
    <w:p w14:paraId="0BC5DF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建立金融消费纠纷多元化解决机制。金融管理部门、金融机构要建立和完善金融消费投诉处理机制，畅通投诉受理和处理渠道，建立金融消费纠纷第三方调解、仲裁机制，形成包括自行和解、外部调解、仲裁和诉讼在内的金融消费纠纷多元化解决机制，及时有效解决金融消费争议。</w:t>
      </w:r>
    </w:p>
    <w:p w14:paraId="412CDE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促进普惠金融发展。金融管理部门要根据国家发展普惠金融有关要求，扩大普惠金融覆盖面，提高渗透率。金融机构应当重视金融消费者需求的多元性与差异性，积极支持欠发达地区和低收入群体等获得必要、及时的基本金融产品和服务。</w:t>
      </w:r>
    </w:p>
    <w:p w14:paraId="716CCF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（六）优化金融发展环境。建立以政府为主导、社会广泛参与的金融发展环境优化机制，加强社会信用体系建设，增强金融机构、金融消费者契约精神和信</w:t>
      </w:r>
      <w:r>
        <w:rPr>
          <w:rFonts w:ascii="宋体" w:eastAsia="宋体" w:hAnsi="宋体" w:cs="宋体" w:hint="eastAsia"/>
          <w:sz w:val="24"/>
        </w:rPr>
        <w:lastRenderedPageBreak/>
        <w:t>用意识，推动金融消费者权益保护环境评估工作，为保护金融消费者合法权益创造良好金融发展环境。</w:t>
      </w:r>
    </w:p>
    <w:p w14:paraId="7664C1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地区、各有关部门要按照党中央、国务院决策部署，加强组织领导，注重沟通协调，强化组织和能力建设，在人力、财力、物力等方面给予充分支持。各有关部门要结合实际，抓紧研究制定具体实施办法，采取有效措施，切实承担起金融消费者权益保护监管职责，保护金融消费者合法权益，共同营造良好社会氛围，促进金融业持续健康发展，为实现全面建成小康社会的宏伟目标</w:t>
      </w:r>
      <w:proofErr w:type="gramStart"/>
      <w:r>
        <w:rPr>
          <w:rFonts w:ascii="宋体" w:eastAsia="宋体" w:hAnsi="宋体" w:cs="宋体" w:hint="eastAsia"/>
          <w:sz w:val="24"/>
        </w:rPr>
        <w:t>作出</w:t>
      </w:r>
      <w:proofErr w:type="gramEnd"/>
      <w:r>
        <w:rPr>
          <w:rFonts w:ascii="宋体" w:eastAsia="宋体" w:hAnsi="宋体" w:cs="宋体" w:hint="eastAsia"/>
          <w:sz w:val="24"/>
        </w:rPr>
        <w:t>贡献。</w:t>
      </w:r>
    </w:p>
    <w:p w14:paraId="1264F5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国务院办公厅</w:t>
      </w:r>
    </w:p>
    <w:p w14:paraId="46183E7E"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2015年11月4日</w:t>
      </w:r>
    </w:p>
    <w:p w14:paraId="2B224FC7"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97.《关于全面推进法治央企建设的意见》</w:t>
      </w:r>
      <w:r>
        <w:rPr>
          <w:rFonts w:ascii="宋体" w:eastAsia="宋体" w:hAnsi="宋体" w:cs="宋体" w:hint="eastAsia"/>
          <w:b/>
          <w:bCs/>
          <w:sz w:val="24"/>
        </w:rPr>
        <w:tab/>
      </w:r>
    </w:p>
    <w:p w14:paraId="5E5B3D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发文机构：国务院国有资产监督管理委员会</w:t>
      </w:r>
      <w:r>
        <w:rPr>
          <w:rFonts w:ascii="宋体" w:eastAsia="宋体" w:hAnsi="宋体" w:cs="宋体" w:hint="eastAsia"/>
          <w:sz w:val="24"/>
        </w:rPr>
        <w:tab/>
      </w:r>
    </w:p>
    <w:p w14:paraId="6D4A27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文号：国</w:t>
      </w:r>
      <w:proofErr w:type="gramStart"/>
      <w:r>
        <w:rPr>
          <w:rFonts w:ascii="宋体" w:eastAsia="宋体" w:hAnsi="宋体" w:cs="宋体" w:hint="eastAsia"/>
          <w:sz w:val="24"/>
        </w:rPr>
        <w:t>资发法规</w:t>
      </w:r>
      <w:proofErr w:type="gramEnd"/>
      <w:r>
        <w:rPr>
          <w:rFonts w:ascii="宋体" w:eastAsia="宋体" w:hAnsi="宋体" w:cs="宋体" w:hint="eastAsia"/>
          <w:sz w:val="24"/>
        </w:rPr>
        <w:t>〔2015〕166号</w:t>
      </w:r>
    </w:p>
    <w:p w14:paraId="50D961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党的十八届三中、四中全会</w:t>
      </w:r>
      <w:proofErr w:type="gramStart"/>
      <w:r>
        <w:rPr>
          <w:rFonts w:ascii="宋体" w:eastAsia="宋体" w:hAnsi="宋体" w:cs="宋体" w:hint="eastAsia"/>
          <w:sz w:val="24"/>
        </w:rPr>
        <w:t>作出</w:t>
      </w:r>
      <w:proofErr w:type="gramEnd"/>
      <w:r>
        <w:rPr>
          <w:rFonts w:ascii="宋体" w:eastAsia="宋体" w:hAnsi="宋体" w:cs="宋体" w:hint="eastAsia"/>
          <w:sz w:val="24"/>
        </w:rPr>
        <w:t>全面深化改革和全面推进依法治国的重大战略部署。习近平总书记强调，要把全面依法治国放在“四个全面”战略布局中来把握。中央企业是我国国民经济的重要支柱，是落实全面依法治国战略的重要主体，应当在建设社会主义法治国家中发挥重要作用。近年来，中央企业深入推进法治建设，依法经营管理水平不断提升，依法治企能力明显增强，为改革发展提供了重要的支撑保障。但与此同时，中央企业法治工作与全面依法治国的要求相比还有不小差距。新形势下，全面建设法治央企，是贯彻落实全面依法治国战略的重要内容，是进一步深化国企改革的必然要求，也是提升企业核心竞争力，做</w:t>
      </w:r>
      <w:proofErr w:type="gramStart"/>
      <w:r>
        <w:rPr>
          <w:rFonts w:ascii="宋体" w:eastAsia="宋体" w:hAnsi="宋体" w:cs="宋体" w:hint="eastAsia"/>
          <w:sz w:val="24"/>
        </w:rPr>
        <w:t>强做</w:t>
      </w:r>
      <w:proofErr w:type="gramEnd"/>
      <w:r>
        <w:rPr>
          <w:rFonts w:ascii="宋体" w:eastAsia="宋体" w:hAnsi="宋体" w:cs="宋体" w:hint="eastAsia"/>
          <w:sz w:val="24"/>
        </w:rPr>
        <w:t>优做大中央企业的迫切需要。为此，现就全面推进法治</w:t>
      </w:r>
      <w:proofErr w:type="gramStart"/>
      <w:r>
        <w:rPr>
          <w:rFonts w:ascii="宋体" w:eastAsia="宋体" w:hAnsi="宋体" w:cs="宋体" w:hint="eastAsia"/>
          <w:sz w:val="24"/>
        </w:rPr>
        <w:t>央企建设</w:t>
      </w:r>
      <w:proofErr w:type="gramEnd"/>
      <w:r>
        <w:rPr>
          <w:rFonts w:ascii="宋体" w:eastAsia="宋体" w:hAnsi="宋体" w:cs="宋体" w:hint="eastAsia"/>
          <w:sz w:val="24"/>
        </w:rPr>
        <w:t>提出以下意见：</w:t>
      </w:r>
    </w:p>
    <w:p w14:paraId="3E910B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一、总体要求</w:t>
      </w:r>
    </w:p>
    <w:p w14:paraId="5D7A44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指导思想。认真贯彻落实党的十八届三中、四中、五中全会精神和习近平总书记系列重要讲话精神，按照全面依法治国战略部署，围绕中央企业改革发展总体目标，适应市场化、现代化、国际化发展需要，坚持依法治理、依法经营、依法管理共同推进，坚持法治体系、法治能力、法治文化一体建设，加强制度创新，以健全公司法人治理结构为基础，以促进依法经营管理为重点，以提升企业法律管理能力为手段，切实加强对企业法治建设的组织领导，大力推动企业治理体系和治理能力现代化，促进中央企业健康可持续发展。</w:t>
      </w:r>
    </w:p>
    <w:p w14:paraId="36A447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（二）基本原则。</w:t>
      </w:r>
    </w:p>
    <w:p w14:paraId="575DFC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坚持围绕中心，服务发展大局。紧紧围绕中央企业改革发展中心任务，充分发挥法治在推进分类改革、完善现代企业制度、发展混合所有制经济、强化监督防止国有资产流失等重点改革任务中的重要作用，支撑企业实施自主创新、转型升级等重大发展战略，为中央企业改革发展提供坚实的法治保障。</w:t>
      </w:r>
    </w:p>
    <w:p w14:paraId="4BBDFF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——坚持全面覆盖，突出工作重点。把依法治企要求全面融入企业决策运营</w:t>
      </w:r>
      <w:r>
        <w:rPr>
          <w:rFonts w:ascii="宋体" w:eastAsia="宋体" w:hAnsi="宋体" w:cs="宋体" w:hint="eastAsia"/>
          <w:sz w:val="24"/>
        </w:rPr>
        <w:lastRenderedPageBreak/>
        <w:t>各个环节，贯穿各业务领域、各管理层级、各工作岗位，努力实现法治工作全流程、全覆盖，同时突出依法治理、依法合</w:t>
      </w:r>
      <w:proofErr w:type="gramStart"/>
      <w:r>
        <w:rPr>
          <w:rFonts w:ascii="宋体" w:eastAsia="宋体" w:hAnsi="宋体" w:cs="宋体" w:hint="eastAsia"/>
          <w:sz w:val="24"/>
        </w:rPr>
        <w:t>规</w:t>
      </w:r>
      <w:proofErr w:type="gramEnd"/>
      <w:r>
        <w:rPr>
          <w:rFonts w:ascii="宋体" w:eastAsia="宋体" w:hAnsi="宋体" w:cs="宋体" w:hint="eastAsia"/>
          <w:sz w:val="24"/>
        </w:rPr>
        <w:t>经营、依法规范管理等重点领域法治建设。</w:t>
      </w:r>
    </w:p>
    <w:p w14:paraId="52F8CF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——坚持权责明确，强化协同配合。切实加强对法治</w:t>
      </w:r>
      <w:proofErr w:type="gramStart"/>
      <w:r>
        <w:rPr>
          <w:rFonts w:ascii="宋体" w:eastAsia="宋体" w:hAnsi="宋体" w:cs="宋体" w:hint="eastAsia"/>
          <w:sz w:val="24"/>
        </w:rPr>
        <w:t>央企建设</w:t>
      </w:r>
      <w:proofErr w:type="gramEnd"/>
      <w:r>
        <w:rPr>
          <w:rFonts w:ascii="宋体" w:eastAsia="宋体" w:hAnsi="宋体" w:cs="宋体" w:hint="eastAsia"/>
          <w:sz w:val="24"/>
        </w:rPr>
        <w:t>的组织领导，明确企业主要负责人、总法律顾问、法律事务机构、其他部门在推进法治建设中的责任，有效整合资源，增强工作合力，形成上下联动、部门协同的法治建设大格局。</w:t>
      </w:r>
    </w:p>
    <w:p w14:paraId="2E2DB1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坚持领导带头，确保全员参与。牢牢抓住领导干部这个“关键少数”，大力提升领导干部的法治思维和依法办事能力，充分发挥领导干部尊法学法守法用法的示范作用，进一步强化普法宣传教育，提高全员法治素养，充分调动职工的积极性和主动性，努力形成全员守法的良好氛围。</w:t>
      </w:r>
    </w:p>
    <w:p w14:paraId="2A011B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（三）总体目标。到2020年，中央企业依法治理能力进一步增强，依法合</w:t>
      </w:r>
      <w:proofErr w:type="gramStart"/>
      <w:r>
        <w:rPr>
          <w:rFonts w:ascii="宋体" w:eastAsia="宋体" w:hAnsi="宋体" w:cs="宋体" w:hint="eastAsia"/>
          <w:sz w:val="24"/>
        </w:rPr>
        <w:t>规</w:t>
      </w:r>
      <w:proofErr w:type="gramEnd"/>
      <w:r>
        <w:rPr>
          <w:rFonts w:ascii="宋体" w:eastAsia="宋体" w:hAnsi="宋体" w:cs="宋体" w:hint="eastAsia"/>
          <w:sz w:val="24"/>
        </w:rPr>
        <w:t>经营水平显著提升，依法规范管理能力不断强化，全员法治素质明显提高，企业法治文化更加浓厚，依法治企能力达到国际同行业先进水平，努力成为治理完善、经营合</w:t>
      </w:r>
      <w:proofErr w:type="gramStart"/>
      <w:r>
        <w:rPr>
          <w:rFonts w:ascii="宋体" w:eastAsia="宋体" w:hAnsi="宋体" w:cs="宋体" w:hint="eastAsia"/>
          <w:sz w:val="24"/>
        </w:rPr>
        <w:t>规</w:t>
      </w:r>
      <w:proofErr w:type="gramEnd"/>
      <w:r>
        <w:rPr>
          <w:rFonts w:ascii="宋体" w:eastAsia="宋体" w:hAnsi="宋体" w:cs="宋体" w:hint="eastAsia"/>
          <w:sz w:val="24"/>
        </w:rPr>
        <w:t>、管理规范、守法诚信的法治央</w:t>
      </w:r>
      <w:proofErr w:type="gramStart"/>
      <w:r>
        <w:rPr>
          <w:rFonts w:ascii="宋体" w:eastAsia="宋体" w:hAnsi="宋体" w:cs="宋体" w:hint="eastAsia"/>
          <w:sz w:val="24"/>
        </w:rPr>
        <w:t>企</w:t>
      </w:r>
      <w:proofErr w:type="gramEnd"/>
      <w:r>
        <w:rPr>
          <w:rFonts w:ascii="宋体" w:eastAsia="宋体" w:hAnsi="宋体" w:cs="宋体" w:hint="eastAsia"/>
          <w:sz w:val="24"/>
        </w:rPr>
        <w:t>。</w:t>
      </w:r>
    </w:p>
    <w:p w14:paraId="07994B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二、切实增强依法治理能力</w:t>
      </w:r>
    </w:p>
    <w:p w14:paraId="1EF84F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（四）充分发挥章程在公司治理中的统领作用。根据企业行业特点、管理架构等实际，依法完善公司章程，合理配置股东权利义务，明确议事规则和决策机制。突出章程在规范</w:t>
      </w:r>
      <w:proofErr w:type="gramStart"/>
      <w:r>
        <w:rPr>
          <w:rFonts w:ascii="宋体" w:eastAsia="宋体" w:hAnsi="宋体" w:cs="宋体" w:hint="eastAsia"/>
          <w:sz w:val="24"/>
        </w:rPr>
        <w:t>各治理</w:t>
      </w:r>
      <w:proofErr w:type="gramEnd"/>
      <w:r>
        <w:rPr>
          <w:rFonts w:ascii="宋体" w:eastAsia="宋体" w:hAnsi="宋体" w:cs="宋体" w:hint="eastAsia"/>
          <w:sz w:val="24"/>
        </w:rPr>
        <w:t>主体权责关系中的基础性作用，依法厘清股东（大）会、董事会、监事会、经理层的职责边界，明确履职程序。依据章程建立健全企业各项基本制度、管理机制和工作体系，细化董事会、经理层工作规则等配套办法。把加强党的领导和完善公司治理统一起来，明确党组织在公司治理结构中的法定地位，将党建工作总体要求纳入公司章程。加强对章程落实情况的监督，坚决纠正与章程不符的规定和行为。高度重视子企业章程制定工作，依法依章程对子企业规范行使股东权，处理好维护出资人权益与尊重子企业经营自主权的关系。充分</w:t>
      </w:r>
      <w:proofErr w:type="gramStart"/>
      <w:r>
        <w:rPr>
          <w:rFonts w:ascii="宋体" w:eastAsia="宋体" w:hAnsi="宋体" w:cs="宋体" w:hint="eastAsia"/>
          <w:sz w:val="24"/>
        </w:rPr>
        <w:t>发挥总</w:t>
      </w:r>
      <w:proofErr w:type="gramEnd"/>
      <w:r>
        <w:rPr>
          <w:rFonts w:ascii="宋体" w:eastAsia="宋体" w:hAnsi="宋体" w:cs="宋体" w:hint="eastAsia"/>
          <w:sz w:val="24"/>
        </w:rPr>
        <w:t>法律顾问和法律事务机构在章程制定、执行和监督中的重要作用，确保章程依法制定、依法实施。</w:t>
      </w:r>
    </w:p>
    <w:p w14:paraId="371B9C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（五）完善</w:t>
      </w:r>
      <w:proofErr w:type="gramStart"/>
      <w:r>
        <w:rPr>
          <w:rFonts w:ascii="宋体" w:eastAsia="宋体" w:hAnsi="宋体" w:cs="宋体" w:hint="eastAsia"/>
          <w:sz w:val="24"/>
        </w:rPr>
        <w:t>各治理</w:t>
      </w:r>
      <w:proofErr w:type="gramEnd"/>
      <w:r>
        <w:rPr>
          <w:rFonts w:ascii="宋体" w:eastAsia="宋体" w:hAnsi="宋体" w:cs="宋体" w:hint="eastAsia"/>
          <w:sz w:val="24"/>
        </w:rPr>
        <w:t>主体依法履职保障机制。按照《公司法》、《企业国有资产法》等法律法规，进一步完善公司法人治理结构，提升治理主体依法</w:t>
      </w:r>
      <w:proofErr w:type="gramStart"/>
      <w:r>
        <w:rPr>
          <w:rFonts w:ascii="宋体" w:eastAsia="宋体" w:hAnsi="宋体" w:cs="宋体" w:hint="eastAsia"/>
          <w:sz w:val="24"/>
        </w:rPr>
        <w:t>履</w:t>
      </w:r>
      <w:proofErr w:type="gramEnd"/>
      <w:r>
        <w:rPr>
          <w:rFonts w:ascii="宋体" w:eastAsia="宋体" w:hAnsi="宋体" w:cs="宋体" w:hint="eastAsia"/>
          <w:sz w:val="24"/>
        </w:rPr>
        <w:t>职能力。优化董事会知识结构，通过加强法律培训、选拔法律专业人员担任董事等方式，提升董事会依法决策水平。明确负责推进企业法治建设的专门委员会，对经理层依法治企情况进行监督，并将企业法治建设情况作为董事会年度工作报告的重要内容。董事会审议事项涉及法律问题的，总法律顾问应列席会议并提出法律意见。加大监事会对依法治企情况和董事、高级管理人员依法履职情况的监督力度，配备具有法律专业背景的专职监事，将企业合</w:t>
      </w:r>
      <w:proofErr w:type="gramStart"/>
      <w:r>
        <w:rPr>
          <w:rFonts w:ascii="宋体" w:eastAsia="宋体" w:hAnsi="宋体" w:cs="宋体" w:hint="eastAsia"/>
          <w:sz w:val="24"/>
        </w:rPr>
        <w:t>规</w:t>
      </w:r>
      <w:proofErr w:type="gramEnd"/>
      <w:r>
        <w:rPr>
          <w:rFonts w:ascii="宋体" w:eastAsia="宋体" w:hAnsi="宋体" w:cs="宋体" w:hint="eastAsia"/>
          <w:sz w:val="24"/>
        </w:rPr>
        <w:t>经营、依法管理作为当期监督的重要内容。总法律顾问应当全面参与经理层的经营管理活动，充分发挥法律审核把关作用。健全党组织参与重大决策机制，强化党组织对企业领导人员依法行权履职的监督，确保企业决策部署及其执行过程符合党和国家方针政策、法律法规。</w:t>
      </w:r>
    </w:p>
    <w:p w14:paraId="394F0F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三、着力强化依法合</w:t>
      </w:r>
      <w:proofErr w:type="gramStart"/>
      <w:r>
        <w:rPr>
          <w:rFonts w:ascii="宋体" w:eastAsia="宋体" w:hAnsi="宋体" w:cs="宋体" w:hint="eastAsia"/>
          <w:sz w:val="24"/>
        </w:rPr>
        <w:t>规</w:t>
      </w:r>
      <w:proofErr w:type="gramEnd"/>
      <w:r>
        <w:rPr>
          <w:rFonts w:ascii="宋体" w:eastAsia="宋体" w:hAnsi="宋体" w:cs="宋体" w:hint="eastAsia"/>
          <w:sz w:val="24"/>
        </w:rPr>
        <w:t>经营</w:t>
      </w:r>
    </w:p>
    <w:p w14:paraId="290F7B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健全依法决策机制。进一步完善“三重一大”等决策制度，细化各层级决策范围、事项和权限。健全依法决策程序，严格落实职工参与、专家论证、风险评估、法律审核、集体决策等程序要求。完善重大决策合法性审查机制，未经合法性审查或者经审查不合法的，不得提交决策会议讨论。高度重视对重大改革事项的法律论证，切实防范法律风险，确保各项改革措施于法有据。中央企业</w:t>
      </w:r>
      <w:proofErr w:type="gramStart"/>
      <w:r>
        <w:rPr>
          <w:rFonts w:ascii="宋体" w:eastAsia="宋体" w:hAnsi="宋体" w:cs="宋体" w:hint="eastAsia"/>
          <w:sz w:val="24"/>
        </w:rPr>
        <w:t>报请国</w:t>
      </w:r>
      <w:proofErr w:type="gramEnd"/>
      <w:r>
        <w:rPr>
          <w:rFonts w:ascii="宋体" w:eastAsia="宋体" w:hAnsi="宋体" w:cs="宋体" w:hint="eastAsia"/>
          <w:sz w:val="24"/>
        </w:rPr>
        <w:t>资委审批事项涉及法律问题的，应当出具总法律顾问签字的法律意见书。依法健全以职工代表大会为基本形式的企业民主管理制度，规范职工董事、职工监事产生的程序，切实发挥其在参与决策和公司治理中的作用。</w:t>
      </w:r>
    </w:p>
    <w:p w14:paraId="5211F6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依法参与市场竞争。严格执行有关反垄断、安全生产、环境保护、节能减排、产品质量、知识产权、劳动用工等国家法律法规和市场规则，坚决杜绝违法违规行为。崇尚契约精神，重合同、守信用，公平参与市场竞争，自觉维护市场秩序。认真履行社会责任，切实维护消费者和其他利益相关方的合法权益。明确法律事务机构的合同管理职责，严格落实合同法律审核制度，充分发挥法律审核在规范市场竞争、防止违法违规行为中的重要作用。提升依法维权能力，加大对侵权行为的追责力度，妥善解决法律纠纷案件，切实维护自身合法权益。</w:t>
      </w:r>
    </w:p>
    <w:p w14:paraId="16372B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（八）依法开展国际化经营。在实施走出去战略、参与“一带一路”建设、</w:t>
      </w:r>
      <w:r>
        <w:rPr>
          <w:rFonts w:ascii="宋体" w:eastAsia="宋体" w:hAnsi="宋体" w:cs="宋体" w:hint="eastAsia"/>
          <w:sz w:val="24"/>
        </w:rPr>
        <w:lastRenderedPageBreak/>
        <w:t>推进国际产能和装备制造合作过程中，严格按照国际规则、所在国法律和我国相关法律法规开展境外业务，有效防范法律风险。建立境外重大项目法律顾问提前介入工作机制，将法律论证与市场论证、技术论证、财务论证有机结合，实现从可行性论证到立项决策、从谈判签约到项目实施全程参与，确保法律风险防范全覆盖。突出境外法律风险防范重点，高度重视国家安全审查、反垄断审查、反倾销反补贴调查和知识产权等领域的法律风险，深入做好尽职调查，组织拟定防范预案。建立健全涉外重大法律纠纷案件预警和应对机制。完善境外法治工作组织体系，推动境外重要子企业或业务相对集中的区域设立法律事务机构或配备专职法律顾问。</w:t>
      </w:r>
    </w:p>
    <w:p w14:paraId="5D79DF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四、进一步加强依法规范管理</w:t>
      </w:r>
    </w:p>
    <w:p w14:paraId="278290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完善企业规章制度体系。根据国家法律法规和国有资产监管制度，结合企业实际，进一步完善财务管理、劳动用工、物资采购等各项规章制度。完善规章制度制定工作机制，广泛吸纳业务骨干、专家学者等共同参与规章制度的研究制定，加强对规章制度的法律审核，确保各项制度依法合</w:t>
      </w:r>
      <w:proofErr w:type="gramStart"/>
      <w:r>
        <w:rPr>
          <w:rFonts w:ascii="宋体" w:eastAsia="宋体" w:hAnsi="宋体" w:cs="宋体" w:hint="eastAsia"/>
          <w:sz w:val="24"/>
        </w:rPr>
        <w:t>规</w:t>
      </w:r>
      <w:proofErr w:type="gramEnd"/>
      <w:r>
        <w:rPr>
          <w:rFonts w:ascii="宋体" w:eastAsia="宋体" w:hAnsi="宋体" w:cs="宋体" w:hint="eastAsia"/>
          <w:sz w:val="24"/>
        </w:rPr>
        <w:t>。健全规章制度实施机制，提高制度执行力，通过加强宣贯培训、纳入业务流程、明确岗位守则等方式，确保各项制度得到有效落实。探索建立规章制度评估机制，定期开展规章制度梳理工作，对规章制度执行情况进行评价，及时堵塞制度漏洞，形成制度体系完整闭环。强化规章制度落实监督机制，法律、审计、纪检和相关业务部门定期对制度落实情况进行监督检查，对违规行为严格督促整改、开展责任追究。</w:t>
      </w:r>
    </w:p>
    <w:p w14:paraId="56ED40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依法规范重点领域和关键环节管理。加强对企业投资融资、改制重组、对外担保、产权流转、物资采购、招标投标等重点领域的管理，通过信息化手段，确保流程规范、公开透明，坚决杜绝暗箱操作。在推进混合所有制、员工持股、股权激励等改革过程中，坚持依法规范操作，确保法律事务机构全程参与，严控法律风险，防止国有资产流失。高度重视对企业内部审批、执行等关键环节的管理，强化对权力集中、资金密集、资源富集、资产聚集的部门和岗位的监督，</w:t>
      </w:r>
      <w:proofErr w:type="gramStart"/>
      <w:r>
        <w:rPr>
          <w:rFonts w:ascii="宋体" w:eastAsia="宋体" w:hAnsi="宋体" w:cs="宋体" w:hint="eastAsia"/>
          <w:sz w:val="24"/>
        </w:rPr>
        <w:t>实行分事行权</w:t>
      </w:r>
      <w:proofErr w:type="gramEnd"/>
      <w:r>
        <w:rPr>
          <w:rFonts w:ascii="宋体" w:eastAsia="宋体" w:hAnsi="宋体" w:cs="宋体" w:hint="eastAsia"/>
          <w:sz w:val="24"/>
        </w:rPr>
        <w:t>、分岗设权、分级授权，定期轮岗，强化内部流程控制，防止权力滥用。严格执行信息披露制度，依法加大信息公开力度，积极打造阳光央</w:t>
      </w:r>
      <w:proofErr w:type="gramStart"/>
      <w:r>
        <w:rPr>
          <w:rFonts w:ascii="宋体" w:eastAsia="宋体" w:hAnsi="宋体" w:cs="宋体" w:hint="eastAsia"/>
          <w:sz w:val="24"/>
        </w:rPr>
        <w:t>企</w:t>
      </w:r>
      <w:proofErr w:type="gramEnd"/>
      <w:r>
        <w:rPr>
          <w:rFonts w:ascii="宋体" w:eastAsia="宋体" w:hAnsi="宋体" w:cs="宋体" w:hint="eastAsia"/>
          <w:sz w:val="24"/>
        </w:rPr>
        <w:t>。完善企业内部监督体系，形成法律与审计、纪检监察、巡视、财务等部门的监督合力。</w:t>
      </w:r>
    </w:p>
    <w:p w14:paraId="66DB15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十一）大力提升法律管理水平。进一步深化法律风险防范机制，加快促进法律管理与经营管理的深度融合，将法律审核嵌入管理流程，使法律审核成为经营管理的必经环节，在确保规章制度、经济合同、重要决策法律审核率100%的同时，通过开展后评估等方式，不断提高审核质量。加快提升合</w:t>
      </w:r>
      <w:proofErr w:type="gramStart"/>
      <w:r>
        <w:rPr>
          <w:rFonts w:ascii="宋体" w:eastAsia="宋体" w:hAnsi="宋体" w:cs="宋体" w:hint="eastAsia"/>
          <w:sz w:val="24"/>
        </w:rPr>
        <w:t>规</w:t>
      </w:r>
      <w:proofErr w:type="gramEnd"/>
      <w:r>
        <w:rPr>
          <w:rFonts w:ascii="宋体" w:eastAsia="宋体" w:hAnsi="宋体" w:cs="宋体" w:hint="eastAsia"/>
          <w:sz w:val="24"/>
        </w:rPr>
        <w:t>管理能力，建立由总法律顾问领导，法律事务机构作为牵头部门，相关部门共同参与、齐抓共管的合</w:t>
      </w:r>
      <w:proofErr w:type="gramStart"/>
      <w:r>
        <w:rPr>
          <w:rFonts w:ascii="宋体" w:eastAsia="宋体" w:hAnsi="宋体" w:cs="宋体" w:hint="eastAsia"/>
          <w:sz w:val="24"/>
        </w:rPr>
        <w:t>规</w:t>
      </w:r>
      <w:proofErr w:type="gramEnd"/>
      <w:r>
        <w:rPr>
          <w:rFonts w:ascii="宋体" w:eastAsia="宋体" w:hAnsi="宋体" w:cs="宋体" w:hint="eastAsia"/>
          <w:sz w:val="24"/>
        </w:rPr>
        <w:t>管理工作体系，研究制定统一有效、全面覆盖、内容明确的合规制度准则，加强合</w:t>
      </w:r>
      <w:proofErr w:type="gramStart"/>
      <w:r>
        <w:rPr>
          <w:rFonts w:ascii="宋体" w:eastAsia="宋体" w:hAnsi="宋体" w:cs="宋体" w:hint="eastAsia"/>
          <w:sz w:val="24"/>
        </w:rPr>
        <w:t>规</w:t>
      </w:r>
      <w:proofErr w:type="gramEnd"/>
      <w:r>
        <w:rPr>
          <w:rFonts w:ascii="宋体" w:eastAsia="宋体" w:hAnsi="宋体" w:cs="宋体" w:hint="eastAsia"/>
          <w:sz w:val="24"/>
        </w:rPr>
        <w:t>教育培训，努力形成全员合</w:t>
      </w:r>
      <w:proofErr w:type="gramStart"/>
      <w:r>
        <w:rPr>
          <w:rFonts w:ascii="宋体" w:eastAsia="宋体" w:hAnsi="宋体" w:cs="宋体" w:hint="eastAsia"/>
          <w:sz w:val="24"/>
        </w:rPr>
        <w:t>规</w:t>
      </w:r>
      <w:proofErr w:type="gramEnd"/>
      <w:r>
        <w:rPr>
          <w:rFonts w:ascii="宋体" w:eastAsia="宋体" w:hAnsi="宋体" w:cs="宋体" w:hint="eastAsia"/>
          <w:sz w:val="24"/>
        </w:rPr>
        <w:t>的良性机制。探索建立法律、合</w:t>
      </w:r>
      <w:proofErr w:type="gramStart"/>
      <w:r>
        <w:rPr>
          <w:rFonts w:ascii="宋体" w:eastAsia="宋体" w:hAnsi="宋体" w:cs="宋体" w:hint="eastAsia"/>
          <w:sz w:val="24"/>
        </w:rPr>
        <w:t>规</w:t>
      </w:r>
      <w:proofErr w:type="gramEnd"/>
      <w:r>
        <w:rPr>
          <w:rFonts w:ascii="宋体" w:eastAsia="宋体" w:hAnsi="宋体" w:cs="宋体" w:hint="eastAsia"/>
          <w:sz w:val="24"/>
        </w:rPr>
        <w:t>、风险、内控一体化管理平台。加强知识产权管理，强化知识产权保护，为企业自主创新、转型升级、品牌建设提供有力支撑。健全完善法律风险防范、纠纷案件处理等各项法律管理制度，探索创新法律管理方式方法，大力推进信息化建设，提高管理效能。</w:t>
      </w:r>
    </w:p>
    <w:p w14:paraId="7DDFDE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五、加强组织领导</w:t>
      </w:r>
    </w:p>
    <w:p w14:paraId="105908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强化领导责任。企业主要负责人充分发挥“关键少数”作用，认真履行推进本企业法治建设第一责任人职责，把法治建设作为谋划部署全局工作的重要内容，对工作中的重点难点问题，亲自研究、亲自部署、亲自协调、亲自督办。明确法治建设领导机构，加快形成企业主要负责人负总责、总法律顾问牵头推进、法律事务机构具体实施、各部门共同参与的工作机制。研究制定本企业法治</w:t>
      </w:r>
      <w:proofErr w:type="gramStart"/>
      <w:r>
        <w:rPr>
          <w:rFonts w:ascii="宋体" w:eastAsia="宋体" w:hAnsi="宋体" w:cs="宋体" w:hint="eastAsia"/>
          <w:sz w:val="24"/>
        </w:rPr>
        <w:t>央企建设</w:t>
      </w:r>
      <w:proofErr w:type="gramEnd"/>
      <w:r>
        <w:rPr>
          <w:rFonts w:ascii="宋体" w:eastAsia="宋体" w:hAnsi="宋体" w:cs="宋体" w:hint="eastAsia"/>
          <w:sz w:val="24"/>
        </w:rPr>
        <w:t>实施方案，将中央企业法制工作新五年规划各项要求作为重要内容，与企业“十三五”规划相衔接，同步实施、同步推进。积极为企业法治建设提供必要的制度、人员、机构和经费等保障。</w:t>
      </w:r>
    </w:p>
    <w:p w14:paraId="42B299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（十三）完善激励约束机制。将合</w:t>
      </w:r>
      <w:proofErr w:type="gramStart"/>
      <w:r>
        <w:rPr>
          <w:rFonts w:ascii="宋体" w:eastAsia="宋体" w:hAnsi="宋体" w:cs="宋体" w:hint="eastAsia"/>
          <w:sz w:val="24"/>
        </w:rPr>
        <w:t>规</w:t>
      </w:r>
      <w:proofErr w:type="gramEnd"/>
      <w:r>
        <w:rPr>
          <w:rFonts w:ascii="宋体" w:eastAsia="宋体" w:hAnsi="宋体" w:cs="宋体" w:hint="eastAsia"/>
          <w:sz w:val="24"/>
        </w:rPr>
        <w:t>经营等依法治企情况纳入对中央企业领导人员的考核体系。完善企业领导班子知识结构，在相同条件下，优先提拔使用法治素养好、依法办事能力强的干部。建立法治工作激励机制，对于在法治建设中</w:t>
      </w:r>
      <w:proofErr w:type="gramStart"/>
      <w:r>
        <w:rPr>
          <w:rFonts w:ascii="宋体" w:eastAsia="宋体" w:hAnsi="宋体" w:cs="宋体" w:hint="eastAsia"/>
          <w:sz w:val="24"/>
        </w:rPr>
        <w:t>作出</w:t>
      </w:r>
      <w:proofErr w:type="gramEnd"/>
      <w:r>
        <w:rPr>
          <w:rFonts w:ascii="宋体" w:eastAsia="宋体" w:hAnsi="宋体" w:cs="宋体" w:hint="eastAsia"/>
          <w:sz w:val="24"/>
        </w:rPr>
        <w:t>突出贡献，有效防范重大法律风险、避免或挽回重大损失的集体或个人，应当予以表彰和奖励。落实问责制度，企业重大经营活动因未经法律审核，或者虽经审核但未采纳正确法律意见而造成重大损失的，追究企业相关领导人员责任；经过法律审核，但因重大失职未发现严重法律风险造成重大损失的，追究相关法律工作人员责任。对因违法违规发生重大法律纠纷案件造成企业重大损失的，或</w:t>
      </w:r>
      <w:r>
        <w:rPr>
          <w:rFonts w:ascii="宋体" w:eastAsia="宋体" w:hAnsi="宋体" w:cs="宋体" w:hint="eastAsia"/>
          <w:sz w:val="24"/>
        </w:rPr>
        <w:lastRenderedPageBreak/>
        <w:t>者违反规定、未履行或未正确履行职责造成企业资产损失的，在业绩考核中扣减分值，并按照有关规定追究相关人员责任。实行重大法律风险事项报告制度，中央企业对可能引发重大法律纠纷案件、造成重大资产损失的法律风险事项，应当及时向国资委报告。</w:t>
      </w:r>
    </w:p>
    <w:p w14:paraId="58A765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四）加强法治工作队伍建设。在中央企业及其重要子企业全面推行总法律顾问制度，并在公司章程中予以明确。总法律顾问应当具有法学专业背景或者法律相关职业资格。设立董事会的中央企业，总法律顾问可以由董事会聘任。总法律顾问作为企业高级管理人员，全面领导企业法律管理工作，统一协调处理经营管理中的法律事务，全面参与重大经营决策，领导企业法律事务机构开展相关工作。建立</w:t>
      </w:r>
      <w:proofErr w:type="gramStart"/>
      <w:r>
        <w:rPr>
          <w:rFonts w:ascii="宋体" w:eastAsia="宋体" w:hAnsi="宋体" w:cs="宋体" w:hint="eastAsia"/>
          <w:sz w:val="24"/>
        </w:rPr>
        <w:t>健全总</w:t>
      </w:r>
      <w:proofErr w:type="gramEnd"/>
      <w:r>
        <w:rPr>
          <w:rFonts w:ascii="宋体" w:eastAsia="宋体" w:hAnsi="宋体" w:cs="宋体" w:hint="eastAsia"/>
          <w:sz w:val="24"/>
        </w:rPr>
        <w:t>法律顾问述职制度。对标同行业世界一流企业，加快健全企业法治工作体系，中央企业及其重要子企业设立独立的法律事务机构，配备与经营管理需求相适应的企业法律顾问。建立健全企业法律顾问职业发展规划，将企业法律顾问纳入人才培养体系，提升企业法律顾问队伍专职化、专业化水平。建立健全企业法律顾问专业人员评价体系，完善职业岗位等级评审制度，实行与职级和专业技术等级相匹配的差异化薪酬分配办法。</w:t>
      </w:r>
    </w:p>
    <w:p w14:paraId="28ED42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（十五）打造企业法治文化。大力推进法治文化建设，弘扬法治精神，增强法治理念，努力使全体员工成为法治的忠实崇尚者、自觉</w:t>
      </w:r>
      <w:proofErr w:type="gramStart"/>
      <w:r>
        <w:rPr>
          <w:rFonts w:ascii="宋体" w:eastAsia="宋体" w:hAnsi="宋体" w:cs="宋体" w:hint="eastAsia"/>
          <w:sz w:val="24"/>
        </w:rPr>
        <w:t>践行</w:t>
      </w:r>
      <w:proofErr w:type="gramEnd"/>
      <w:r>
        <w:rPr>
          <w:rFonts w:ascii="宋体" w:eastAsia="宋体" w:hAnsi="宋体" w:cs="宋体" w:hint="eastAsia"/>
          <w:sz w:val="24"/>
        </w:rPr>
        <w:t>者、坚定捍卫者。全面开展普法宣传教育，加强法律、宣传与各业务部门的协同联动，推进法治宣传教育制度化、常态化。完善学法用法制度，将法治学习作为企业党委（党组）中心组学习、管理培训、员工教育的必修课，形成全员尊法学法守法用法的良好氛围。积极树立推进法治</w:t>
      </w:r>
      <w:proofErr w:type="gramStart"/>
      <w:r>
        <w:rPr>
          <w:rFonts w:ascii="宋体" w:eastAsia="宋体" w:hAnsi="宋体" w:cs="宋体" w:hint="eastAsia"/>
          <w:sz w:val="24"/>
        </w:rPr>
        <w:t>央企建设</w:t>
      </w:r>
      <w:proofErr w:type="gramEnd"/>
      <w:r>
        <w:rPr>
          <w:rFonts w:ascii="宋体" w:eastAsia="宋体" w:hAnsi="宋体" w:cs="宋体" w:hint="eastAsia"/>
          <w:sz w:val="24"/>
        </w:rPr>
        <w:t>中涌现出的优秀企业、集体和个人典型，充分发挥引领带动作用。</w:t>
      </w:r>
    </w:p>
    <w:p w14:paraId="31175DA6"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地方国有资产监督管理机构参照本意见,积极推进所出资企业法治建设。</w:t>
      </w:r>
    </w:p>
    <w:p w14:paraId="687072CF" w14:textId="77777777" w:rsidR="00F50CD8" w:rsidRDefault="00000000">
      <w:pPr>
        <w:spacing w:afterLines="50" w:after="156" w:line="360" w:lineRule="auto"/>
        <w:ind w:firstLineChars="200" w:firstLine="482"/>
        <w:rPr>
          <w:rFonts w:ascii="宋体" w:eastAsia="宋体" w:hAnsi="宋体" w:cs="宋体" w:hint="eastAsia"/>
          <w:sz w:val="24"/>
        </w:rPr>
      </w:pPr>
      <w:r>
        <w:rPr>
          <w:rFonts w:ascii="宋体" w:eastAsia="宋体" w:hAnsi="宋体" w:cs="宋体" w:hint="eastAsia"/>
          <w:b/>
          <w:bCs/>
          <w:sz w:val="24"/>
        </w:rPr>
        <w:lastRenderedPageBreak/>
        <w:t>98.《中国银监会办公厅关于进一步做好防范和处置非法集资工作的通知》</w:t>
      </w:r>
    </w:p>
    <w:p w14:paraId="3CF150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发文机构：中国银行业监督管理委员会办公厅(已撤销)</w:t>
      </w:r>
      <w:r>
        <w:rPr>
          <w:rFonts w:ascii="宋体" w:eastAsia="宋体" w:hAnsi="宋体" w:cs="宋体" w:hint="eastAsia"/>
          <w:sz w:val="24"/>
        </w:rPr>
        <w:tab/>
      </w:r>
    </w:p>
    <w:p w14:paraId="10A2A9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文号：银监办发〔2015〕196号</w:t>
      </w:r>
    </w:p>
    <w:p w14:paraId="4B57671F"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局，各政策性银行、大型银行、股份制银行，邮政储蓄银行，外资银行，金融资产管理公司，其他会管金融机构：</w:t>
      </w:r>
    </w:p>
    <w:p w14:paraId="731BDC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近日，国务院印发了《关于进一步做好防范和处置非法集资工作的意见》（国发〔2015〕59号），并召开电视电话会议，对下一步做好防范和处置非法集资工作进行了全面部署。为贯彻落实国务院决策部署，切实履行银行业有关职责，做好防范和处置非法集资各方面工作，现将有关事项通知如下：</w:t>
      </w:r>
    </w:p>
    <w:p w14:paraId="0EE590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一、充分认识当前形势下做好防范和处置非法集资工作的重要意义</w:t>
      </w:r>
    </w:p>
    <w:p w14:paraId="17EB45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2014年以来，非法集资问题日益严峻，发案数量、涉案金额和参与集资人数大幅上升，达历年最高峰值。涉及全国近90%的地市州盟，并从东部地区快速向中西部扩散，投资理财、非融资性担保、P2P网络借贷、农民专业合作社等领域涉嫌非法集资问题严重，大案要案高发，有的案件涉案金额数十亿元，涉及人数几万人甚至几十万人，频繁引发群体性事件，甚至导致极端过激事件发生，严重影响社会稳定。非法集资风险还通过多种渠道逐渐向银行业传递，一些不法分子拉拢银行员工、借助银行渠道违规销售自身理财产品，通过宣称与银行有资金托管、跨业合作等业务往来，恶意盗用银行信用，相关案件涉案金额往往上亿元甚至几十亿元，涉及多家银行业金融机构，</w:t>
      </w:r>
      <w:proofErr w:type="gramStart"/>
      <w:r>
        <w:rPr>
          <w:rFonts w:ascii="宋体" w:eastAsia="宋体" w:hAnsi="宋体" w:cs="宋体" w:hint="eastAsia"/>
          <w:sz w:val="24"/>
        </w:rPr>
        <w:t>群访上访</w:t>
      </w:r>
      <w:proofErr w:type="gramEnd"/>
      <w:r>
        <w:rPr>
          <w:rFonts w:ascii="宋体" w:eastAsia="宋体" w:hAnsi="宋体" w:cs="宋体" w:hint="eastAsia"/>
          <w:sz w:val="24"/>
        </w:rPr>
        <w:t>事件不断增加，引发社会广泛关注，不仅严重损害银行业整体形象，也给相关银行业金融机构带来极大的法律和声誉风险。</w:t>
      </w:r>
    </w:p>
    <w:p w14:paraId="37CA19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防范和处置非法集资，关系人民群众切实利益，关系经济金融健康发展，关系社会稳定大局，关系银行业金融机构防范自身风险、维护良好声誉、保护金融消费者合法权益。</w:t>
      </w:r>
      <w:proofErr w:type="gramStart"/>
      <w:r>
        <w:rPr>
          <w:rFonts w:ascii="宋体" w:eastAsia="宋体" w:hAnsi="宋体" w:cs="宋体" w:hint="eastAsia"/>
          <w:sz w:val="24"/>
        </w:rPr>
        <w:t>各银监</w:t>
      </w:r>
      <w:proofErr w:type="gramEnd"/>
      <w:r>
        <w:rPr>
          <w:rFonts w:ascii="宋体" w:eastAsia="宋体" w:hAnsi="宋体" w:cs="宋体" w:hint="eastAsia"/>
          <w:sz w:val="24"/>
        </w:rPr>
        <w:t>局、银行业金融机构要把思想统一到中央的决策和部署上来，把防范和处置非法集资作为当前维护金融社会稳定、防范银行业风险的一件大事抓紧抓好，既要看到非法集资问题的复杂性和严峻性，更要看到遏制非法集资的特殊重要性和现实紧迫性，认真履行自身职责，切实落实风险防控、宣传</w:t>
      </w:r>
      <w:r>
        <w:rPr>
          <w:rFonts w:ascii="宋体" w:eastAsia="宋体" w:hAnsi="宋体" w:cs="宋体" w:hint="eastAsia"/>
          <w:sz w:val="24"/>
        </w:rPr>
        <w:lastRenderedPageBreak/>
        <w:t>教育、监测预警、涉案账户查控等各项工作要求，坚决遏制非法集资高发蔓延势头，坚决守住不发生系统性区域性风险底线。</w:t>
      </w:r>
    </w:p>
    <w:p w14:paraId="5F35C6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二、加强内部管理，切实防范非法集资风险向银行业传递</w:t>
      </w:r>
    </w:p>
    <w:p w14:paraId="2D1736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要“看好自己的门，管好自己的人”，确保分支机构和员工不参与非法集资活动。要进一步加强银行内控体系建设，根据《关于进一步加强银行业务和员工行为管理的通知》（银监办发〔2014〕57号）、《关于加强银行业金融机构内控管理 有效防范柜面业务操作风险的通知》（银监办发〔2015〕97号）等要求，严格规范银行销售投资理财产品的业务流程，强化营业场所和员工行为管理，认真落实轮岗、对账、内审、授权等管理要求，强化制度管人的有效性。要全面排查员工异常行为和账户异常交易，针对员工私售“飞单”参与非法集资等问题进行专项排查，探索建立跨行联动排查机制，坚决遏制住员工违法违规行为多发频发的势头。要严格责任追究，以“零容忍”态度对待违规违纪行为，加快推动全国银行业从业人员处罚信息系统建设，防范违规员工“带病”流动，强化职业操守教育，建设合</w:t>
      </w:r>
      <w:proofErr w:type="gramStart"/>
      <w:r>
        <w:rPr>
          <w:rFonts w:ascii="宋体" w:eastAsia="宋体" w:hAnsi="宋体" w:cs="宋体" w:hint="eastAsia"/>
          <w:sz w:val="24"/>
        </w:rPr>
        <w:t>规</w:t>
      </w:r>
      <w:proofErr w:type="gramEnd"/>
      <w:r>
        <w:rPr>
          <w:rFonts w:ascii="宋体" w:eastAsia="宋体" w:hAnsi="宋体" w:cs="宋体" w:hint="eastAsia"/>
          <w:sz w:val="24"/>
        </w:rPr>
        <w:t>文化，打造作风过硬、纪律严明的银行业员工队伍。</w:t>
      </w:r>
    </w:p>
    <w:p w14:paraId="6E8368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三、加强源头治理，大力开展面向公众的宣传教育</w:t>
      </w:r>
    </w:p>
    <w:p w14:paraId="425377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要承担对社会公众的宣传教育义务，加强对广大群众的金融知识和风险警示教育，通过宣传让群众辨清什么是合法、什么是非法，不轻易上当、不主动参与，自觉抵制非法集资。要依托营业网点优势，有效利用营业厅内外部资源环境，通过设置宣传专栏、张贴警示标识、印发材料、风险提示、案例宣传等方式向广大金融消费者进行宣传，确保机构网点100%参与。要创新方式方法，充分运用各类宣传媒介和载体，开展包括网络宣传、媒体宣传、在基层网点醒目位置张贴标示、社会宣传等形式多样的宣传教育活动。要将日常宣传与集中宣传相结合，积极配合地方有关部门开展宣传月活动，加强协调联动，将防范打击非法集资宣传教育与风险管理、银行业消费者权益保护等工作相结合，推动宣传教育工作常态化、制度化。</w:t>
      </w:r>
    </w:p>
    <w:p w14:paraId="171D8F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四、加强资金监测，发挥银行业金融机构监测防控作用</w:t>
      </w:r>
    </w:p>
    <w:p w14:paraId="641F74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资金流向监测是发现并防范非法集资的关键，非法集资大部分通过银行转账，银行是发现非法集资的前哨，必须站好岗、把好关。要充分利用各种技术手段，加强对涉嫌非法集资可疑资金的实时监测预警，及早发现并报告非法集资资金动向，在严格执行大额可疑资金报告制度基础上，对各类账户交易中具有分散转入集中转出、定期批量小额转出等资金异动进行监测分析，将涉嫌非法集资线索及时提供给地方各级打击和处置非法集资工作领导小组办公室。要建立健全监测预警非法集资工作机制，制定工作制度和操作规程，明确线索搜集、记录分析、识别判断、报告移送等各项工作程序。要实行领导责任制，明确具体责任部门和人员，加大对下属分支机构执行情况的监督检查力度。</w:t>
      </w:r>
    </w:p>
    <w:p w14:paraId="25C88A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五、积极协同配合，做好涉案账户查控等相关工作</w:t>
      </w:r>
    </w:p>
    <w:p w14:paraId="196947C6"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局、银行业金融机构要严格执行《银行业金融机构协助人民检察院 公安机关 国家安全机关查询冻结工作规定》（银监发〔2014〕53号），加强与相关行政部门、司法机关的协同配合和信息共享，积极配合有关部门依法开展对非法集资案件涉案资产查封、资金账户查询和冻结等工作。对于重大、复杂案件，</w:t>
      </w:r>
      <w:proofErr w:type="gramStart"/>
      <w:r>
        <w:rPr>
          <w:rFonts w:ascii="宋体" w:eastAsia="宋体" w:hAnsi="宋体" w:cs="宋体" w:hint="eastAsia"/>
          <w:sz w:val="24"/>
        </w:rPr>
        <w:t>各银监</w:t>
      </w:r>
      <w:proofErr w:type="gramEnd"/>
      <w:r>
        <w:rPr>
          <w:rFonts w:ascii="宋体" w:eastAsia="宋体" w:hAnsi="宋体" w:cs="宋体" w:hint="eastAsia"/>
          <w:sz w:val="24"/>
        </w:rPr>
        <w:t>局应配合公安机关进行重点协调和部署，做好有关银行业金融机构的督促和指导工作。同时，</w:t>
      </w:r>
      <w:proofErr w:type="gramStart"/>
      <w:r>
        <w:rPr>
          <w:rFonts w:ascii="宋体" w:eastAsia="宋体" w:hAnsi="宋体" w:cs="宋体" w:hint="eastAsia"/>
          <w:sz w:val="24"/>
        </w:rPr>
        <w:t>各银监</w:t>
      </w:r>
      <w:proofErr w:type="gramEnd"/>
      <w:r>
        <w:rPr>
          <w:rFonts w:ascii="宋体" w:eastAsia="宋体" w:hAnsi="宋体" w:cs="宋体" w:hint="eastAsia"/>
          <w:sz w:val="24"/>
        </w:rPr>
        <w:t>局和银行业金融机构要根据银监会和公安部相关工作部署，大力推进涉案账户资金网络查控平台建设应用，切实提高涉案资金查控的合法性、及时性、准确性。</w:t>
      </w:r>
    </w:p>
    <w:p w14:paraId="76F33A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六、建立工作责任制，加强考核奖惩和责任追究</w:t>
      </w:r>
    </w:p>
    <w:p w14:paraId="6C1B8D84"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银行业金融机构要建立防范处置非法集资工作责任制，建立健全考核奖惩和责任追究制度，明确风险防控、宣传教育、监测预警、涉案账户查控等各项工作职责分工，对直接责任人、机构负责人和业务条线管理人员等严格厘清责任并明确相应的奖惩措施。对非法集资资金从银行转账的，要认真分析，查找原因，采取对策；对员工参与非法集资、做“义务宣传员”的，要严肃调查，追究责任，构成犯罪的及时移交司法机关；对发现线索，为国家、人民群众挽回损失的，要予以表彰奖励。</w:t>
      </w:r>
    </w:p>
    <w:p w14:paraId="7810F90F"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各级监管机构要加大对银行业金融机构的指导督促力度，及时通报各地工作情况，适时进行督导检查，并</w:t>
      </w:r>
      <w:proofErr w:type="gramStart"/>
      <w:r>
        <w:rPr>
          <w:rFonts w:ascii="宋体" w:eastAsia="宋体" w:hAnsi="宋体" w:cs="宋体" w:hint="eastAsia"/>
          <w:sz w:val="24"/>
        </w:rPr>
        <w:t>建立问</w:t>
      </w:r>
      <w:proofErr w:type="gramEnd"/>
      <w:r>
        <w:rPr>
          <w:rFonts w:ascii="宋体" w:eastAsia="宋体" w:hAnsi="宋体" w:cs="宋体" w:hint="eastAsia"/>
          <w:sz w:val="24"/>
        </w:rPr>
        <w:t>责制度，对于工作落实到位、成绩突出的，</w:t>
      </w:r>
      <w:r>
        <w:rPr>
          <w:rFonts w:ascii="宋体" w:eastAsia="宋体" w:hAnsi="宋体" w:cs="宋体" w:hint="eastAsia"/>
          <w:sz w:val="24"/>
        </w:rPr>
        <w:lastRenderedPageBreak/>
        <w:t>予以表彰奖励；对于重视不够、措施不力的，采取相应监管措施。</w:t>
      </w:r>
    </w:p>
    <w:p w14:paraId="3E2FBB3F"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99.《中国银监会办公厅关于规范金融资产管理公司不良资产收购业务的通知》</w:t>
      </w:r>
    </w:p>
    <w:p w14:paraId="482F31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5578F5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文号：银监办发〔2016〕56号</w:t>
      </w:r>
    </w:p>
    <w:p w14:paraId="1C653699"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局，各金融资产管理公司：</w:t>
      </w:r>
    </w:p>
    <w:p w14:paraId="71EC54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近年来，四家金融资产管理公司（以下简称资产公司）充分发挥自身专业优势，加大不良资产收购和处置力度，在化解金融和实体企业风险、服务实体经济发展方面发挥了积极作用，但部分资产公司存在着不良资产收购业务不规范不审慎、项目风险有所暴露等问题。为规范资产公司不良资产收购业务，促进合</w:t>
      </w:r>
      <w:proofErr w:type="gramStart"/>
      <w:r>
        <w:rPr>
          <w:rFonts w:ascii="宋体" w:eastAsia="宋体" w:hAnsi="宋体" w:cs="宋体" w:hint="eastAsia"/>
          <w:sz w:val="24"/>
        </w:rPr>
        <w:t>规</w:t>
      </w:r>
      <w:proofErr w:type="gramEnd"/>
      <w:r>
        <w:rPr>
          <w:rFonts w:ascii="宋体" w:eastAsia="宋体" w:hAnsi="宋体" w:cs="宋体" w:hint="eastAsia"/>
          <w:sz w:val="24"/>
        </w:rPr>
        <w:t>经营、稳健发展，根据《金融企业不良资产批量转让管理办法》（财金〔２０１２〕６号）、《金融资产管理公司开展非金融机构不良资产业务管理办法》（财金〔２０１５〕５６号）等相关规定，现就有关事项通知如下：</w:t>
      </w:r>
    </w:p>
    <w:p w14:paraId="127AAE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一、规范开展金融机构不良资产收购业务</w:t>
      </w:r>
    </w:p>
    <w:p w14:paraId="078EAD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资产公司收购银行业金融机构不良资产要严格遵守真实性、洁净性和整体性原则，通过评估或估值程序进行市场公允定价，实现资产和风险的真实、完全转移。不得与转让方在转让合同等正式法律文件之外签订或达成影响资产和风险真实完全转移的改变交易结构、风险承担主体及相关权益转移过程等的协议或约定，不得设置任何显性或隐性的回购条款，不得违规进行利益输送，不得为银行业金融机构规避资产质量监管提供通道。</w:t>
      </w:r>
    </w:p>
    <w:p w14:paraId="079499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资产公司委托银行业金融机构协助或代理处置不良资产，应当基于商业原则，制定相应的委托代理处置方案并按内部管理流程进行审批，有利于提高效率、降低成本，实现不良资产回收价值的最大化。委托方与受托方应按照委托合同约定履行各自的权利和义务，不得约定各种形式的实质上由受托方承担清收保底义务的条款。</w:t>
      </w:r>
    </w:p>
    <w:p w14:paraId="6ACC5E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二、规范开展非金融机构不良资产收购业务</w:t>
      </w:r>
    </w:p>
    <w:p w14:paraId="3D5132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（三）资产公司要严格按照《金融资产管理公司开展非金融机构不良资产业</w:t>
      </w:r>
      <w:r>
        <w:rPr>
          <w:rFonts w:ascii="宋体" w:eastAsia="宋体" w:hAnsi="宋体" w:cs="宋体" w:hint="eastAsia"/>
          <w:sz w:val="24"/>
        </w:rPr>
        <w:lastRenderedPageBreak/>
        <w:t>务管理办法》中非金融机构不良资产的定义，通过评估或估值程序对企业的资产进行价值判断，收购非金融机构存量不良资产，不得收购非金融机构的正常资产。</w:t>
      </w:r>
    </w:p>
    <w:p w14:paraId="6EFA24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资产公司收购非金融机构不良债权或资产，应以真实价值或实物存在为标的，严禁收购企业之间虚构的或尚未发生的应收账款等非真实存在的债权、资产，不得借收购不良债权、资产名义为企业或项目提供融资。</w:t>
      </w:r>
    </w:p>
    <w:p w14:paraId="0D5F74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资产公司要切实做好尽职调查工作，全面了解和收集与收购标的真实性、有效性、合法性及认定为不良资产相关的证明材料，包括但不限于：业务发生的基础合同及协议、贸易背景证明、双方企业会计报表、各交易方银行账户流水等资金收付凭证、债权债务关系确认书、资产性质证明等；同时，要对收购标的、债权转让人、债务人、担保情况进行深入调查，全面收集相关征信信息、舆情信息以及是否涉及民间借贷等方面的材料。资产公司应确保尽职调查的独立性，不能单纯依赖于资产出让方、债务方等交易相关方提供的材料。</w:t>
      </w:r>
    </w:p>
    <w:p w14:paraId="21FE40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三、严格落实风险管理责任，切实防范和化解风险</w:t>
      </w:r>
    </w:p>
    <w:p w14:paraId="320649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（六）增强责任意识。资产公司是风险防范和处置的第一责任主体，要建立内部预警机制，完善预警指标体系和风险处置预案，建立风险责任制和内部问责机制，强化内部问责，按半年频度向银监会</w:t>
      </w:r>
      <w:proofErr w:type="gramStart"/>
      <w:r>
        <w:rPr>
          <w:rFonts w:ascii="宋体" w:eastAsia="宋体" w:hAnsi="宋体" w:cs="宋体" w:hint="eastAsia"/>
          <w:sz w:val="24"/>
        </w:rPr>
        <w:t>报送问</w:t>
      </w:r>
      <w:proofErr w:type="gramEnd"/>
      <w:r>
        <w:rPr>
          <w:rFonts w:ascii="宋体" w:eastAsia="宋体" w:hAnsi="宋体" w:cs="宋体" w:hint="eastAsia"/>
          <w:sz w:val="24"/>
        </w:rPr>
        <w:t>责情况。发生风险案件的，要严格按照《银行业金融机构案件问责工作管理暂行办法》（银监办发〔２０１３〕２５５号）</w:t>
      </w:r>
      <w:proofErr w:type="gramStart"/>
      <w:r>
        <w:rPr>
          <w:rFonts w:ascii="宋体" w:eastAsia="宋体" w:hAnsi="宋体" w:cs="宋体" w:hint="eastAsia"/>
          <w:sz w:val="24"/>
        </w:rPr>
        <w:t>做好问</w:t>
      </w:r>
      <w:proofErr w:type="gramEnd"/>
      <w:r>
        <w:rPr>
          <w:rFonts w:ascii="宋体" w:eastAsia="宋体" w:hAnsi="宋体" w:cs="宋体" w:hint="eastAsia"/>
          <w:sz w:val="24"/>
        </w:rPr>
        <w:t>责工作。</w:t>
      </w:r>
    </w:p>
    <w:p w14:paraId="362D99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（七）健全风险管控机制，严格落实风险管理要求。资产公司应加强项目全流程管理，严格落实尽职调查、审查审批、</w:t>
      </w:r>
      <w:proofErr w:type="gramStart"/>
      <w:r>
        <w:rPr>
          <w:rFonts w:ascii="宋体" w:eastAsia="宋体" w:hAnsi="宋体" w:cs="宋体" w:hint="eastAsia"/>
          <w:sz w:val="24"/>
        </w:rPr>
        <w:t>风控措施</w:t>
      </w:r>
      <w:proofErr w:type="gramEnd"/>
      <w:r>
        <w:rPr>
          <w:rFonts w:ascii="宋体" w:eastAsia="宋体" w:hAnsi="宋体" w:cs="宋体" w:hint="eastAsia"/>
          <w:sz w:val="24"/>
        </w:rPr>
        <w:t>、后续管理等各项要求，确保制度执行到位。定期开展风险排查，摸清薄弱环节，加强监督约束。</w:t>
      </w:r>
    </w:p>
    <w:p w14:paraId="0E6097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（八）做实资产分类，防范信用风险。资产公司应严格按照监管部门的有关规定和要求，对以信用风险为主要特征的资产进行准确分类，足额计提风险损失准备。</w:t>
      </w:r>
    </w:p>
    <w:p w14:paraId="2A912A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切实化解内生不良资产。资产公司应及时采取有效措施，切实化解风险，避免风险外溢，确保能自担责任、自负盈亏、自我消化风险。不得采取不合理的展期、重组、内部转让、借新还旧等方式掩盖风险。项目风险及化解情况应</w:t>
      </w:r>
      <w:r>
        <w:rPr>
          <w:rFonts w:ascii="宋体" w:eastAsia="宋体" w:hAnsi="宋体" w:cs="宋体" w:hint="eastAsia"/>
          <w:sz w:val="24"/>
        </w:rPr>
        <w:lastRenderedPageBreak/>
        <w:t>按照相关监管要求报送银监会。</w:t>
      </w:r>
    </w:p>
    <w:p w14:paraId="1E0C75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（十）强化合</w:t>
      </w:r>
      <w:proofErr w:type="gramStart"/>
      <w:r>
        <w:rPr>
          <w:rFonts w:ascii="宋体" w:eastAsia="宋体" w:hAnsi="宋体" w:cs="宋体" w:hint="eastAsia"/>
          <w:sz w:val="24"/>
        </w:rPr>
        <w:t>规</w:t>
      </w:r>
      <w:proofErr w:type="gramEnd"/>
      <w:r>
        <w:rPr>
          <w:rFonts w:ascii="宋体" w:eastAsia="宋体" w:hAnsi="宋体" w:cs="宋体" w:hint="eastAsia"/>
          <w:sz w:val="24"/>
        </w:rPr>
        <w:t>经营意识。资产公司应严格遵守国家经济金融和产业政策，严格执行各项监管规章制度和监管政策，不得通过设立特殊目的实体进入禁止性领域。</w:t>
      </w:r>
    </w:p>
    <w:p w14:paraId="5F0AC8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四、加强风险为本的监管，严守风险底线</w:t>
      </w:r>
    </w:p>
    <w:p w14:paraId="3BC497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（十一）持续加强对资产公司不良资产业务的非现场监管和现场检查，对资产公司在经营中存在的违法违规行为，要依法采取相应的监管措施，并追究有关人员责任。</w:t>
      </w:r>
    </w:p>
    <w:p w14:paraId="7FFC13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w:t>
      </w:r>
      <w:proofErr w:type="gramStart"/>
      <w:r>
        <w:rPr>
          <w:rFonts w:ascii="宋体" w:eastAsia="宋体" w:hAnsi="宋体" w:cs="宋体" w:hint="eastAsia"/>
          <w:sz w:val="24"/>
        </w:rPr>
        <w:t>各银监</w:t>
      </w:r>
      <w:proofErr w:type="gramEnd"/>
      <w:r>
        <w:rPr>
          <w:rFonts w:ascii="宋体" w:eastAsia="宋体" w:hAnsi="宋体" w:cs="宋体" w:hint="eastAsia"/>
          <w:sz w:val="24"/>
        </w:rPr>
        <w:t>局应加强对辖内资产公司分支机构不良资产业务的监管，做好日常风险监测，督促资产公司建立并及时更新风险</w:t>
      </w:r>
      <w:proofErr w:type="gramStart"/>
      <w:r>
        <w:rPr>
          <w:rFonts w:ascii="宋体" w:eastAsia="宋体" w:hAnsi="宋体" w:cs="宋体" w:hint="eastAsia"/>
          <w:sz w:val="24"/>
        </w:rPr>
        <w:t>项目台</w:t>
      </w:r>
      <w:proofErr w:type="gramEnd"/>
      <w:r>
        <w:rPr>
          <w:rFonts w:ascii="宋体" w:eastAsia="宋体" w:hAnsi="宋体" w:cs="宋体" w:hint="eastAsia"/>
          <w:sz w:val="24"/>
        </w:rPr>
        <w:t>账，及时发现风险苗头和风险隐患，做好风险提示，重大风险应及时向银监会报告。对非现场监管和现场检查中发现的违规行为，应当及时采取相应的监管措施。</w:t>
      </w:r>
    </w:p>
    <w:p w14:paraId="047C6A8E"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地方资产管理公司开展金融机构不良资产收购业务适用本通知规定，请有关银监局将本通知以适当</w:t>
      </w:r>
      <w:proofErr w:type="gramStart"/>
      <w:r>
        <w:rPr>
          <w:rFonts w:ascii="宋体" w:eastAsia="宋体" w:hAnsi="宋体" w:cs="宋体" w:hint="eastAsia"/>
          <w:sz w:val="24"/>
        </w:rPr>
        <w:t>方式印送辖内</w:t>
      </w:r>
      <w:proofErr w:type="gramEnd"/>
      <w:r>
        <w:rPr>
          <w:rFonts w:ascii="宋体" w:eastAsia="宋体" w:hAnsi="宋体" w:cs="宋体" w:hint="eastAsia"/>
          <w:sz w:val="24"/>
        </w:rPr>
        <w:t>地方资产管理公司。</w:t>
      </w:r>
    </w:p>
    <w:p w14:paraId="34108275" w14:textId="77777777" w:rsidR="00F50CD8" w:rsidRDefault="00000000">
      <w:pPr>
        <w:spacing w:afterLines="50" w:after="156" w:line="360" w:lineRule="auto"/>
        <w:ind w:firstLineChars="200" w:firstLine="482"/>
        <w:rPr>
          <w:rFonts w:ascii="宋体" w:eastAsia="宋体" w:hAnsi="宋体" w:cs="宋体" w:hint="eastAsia"/>
          <w:sz w:val="24"/>
        </w:rPr>
      </w:pPr>
      <w:r>
        <w:rPr>
          <w:rFonts w:ascii="宋体" w:eastAsia="宋体" w:hAnsi="宋体" w:cs="宋体" w:hint="eastAsia"/>
          <w:b/>
          <w:bCs/>
          <w:sz w:val="24"/>
        </w:rPr>
        <w:lastRenderedPageBreak/>
        <w:t>100.《中国银监会关于进一步加强银行业金融机构境外运营风险管理的通知》</w:t>
      </w:r>
    </w:p>
    <w:p w14:paraId="786997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05D956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文号：银监发〔2016〕5号</w:t>
      </w:r>
    </w:p>
    <w:p w14:paraId="7DDABB95"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局，各政策性银行、大型银行、股份制银行，邮储银行，外资银行，金融资产管理公司，中国银行业协会：</w:t>
      </w:r>
    </w:p>
    <w:p w14:paraId="4B5B4B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为促进银行业金融机构境外业务健康发展，防范境外业务风险，更好地服务实体经济，现就有关事项通知如下：</w:t>
      </w:r>
    </w:p>
    <w:p w14:paraId="0860B7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认真落实监管制度。本通知所指境外业务是指银行业金融机构开展的以境外主体为客户或交易对手，或者以境内主体为客户或交易对手但风险敞口在境外的贷款、拆借、贸易融资、票据承兑和贴现、透支、保理、担保、贷款承诺、信用证、融资租赁等</w:t>
      </w:r>
      <w:proofErr w:type="gramStart"/>
      <w:r>
        <w:rPr>
          <w:rFonts w:ascii="宋体" w:eastAsia="宋体" w:hAnsi="宋体" w:cs="宋体" w:hint="eastAsia"/>
          <w:sz w:val="24"/>
        </w:rPr>
        <w:t>授信类业务</w:t>
      </w:r>
      <w:proofErr w:type="gramEnd"/>
      <w:r>
        <w:rPr>
          <w:rFonts w:ascii="宋体" w:eastAsia="宋体" w:hAnsi="宋体" w:cs="宋体" w:hint="eastAsia"/>
          <w:sz w:val="24"/>
        </w:rPr>
        <w:t>，黄金、外汇、衍生产品等交易类业务以及债权、股权等投资类业务。银行业金融机构开展境外业务，应严格执行《商业银行授信工作尽职指引》（银监发〔2004〕51号）、《银行业金融机构国别风险管理指引》（银监发〔2010〕45号）、《商业银行内部控制指引》（银监发〔2014〕40号）、《商业银行并表管理与监管指引》（银监发〔2014〕54号）等相关监管规定，切实防范境外业务运营风险。</w:t>
      </w:r>
    </w:p>
    <w:p w14:paraId="017E9A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加强风险识别判断。银行业金融机构应加强对境外业务经营发展环境和风险形势的分析评估，充分认识境外业务的复杂性和特殊性，加强对业务所在国家或地区政治经济形势、金融市场走势和金融监管环境的跟踪研究。对已形成的损失或潜在的风险隐患，应及时识别发现，果断采取风险缓释和控制处置措施。</w:t>
      </w:r>
    </w:p>
    <w:p w14:paraId="70EBD9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完善决策管理制度。银行业金融机构境外业务发展速度和规模应与自身经营管理能力相匹配；应结合自身经营特点、比较优势和风险管理能力制定境外业务的中长期发展规划；针对境外业务相对境内业务的特殊性，建立健全覆盖各类境外业务流程的管理制度，由董事会或高管层审核批准并确保全行统一实施。</w:t>
      </w:r>
    </w:p>
    <w:p w14:paraId="2305CF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四、明确境外运营责任。银行业金融机构在开展境外业务时，对于已设立境外分支机构的国家或地区，主要运营责任应由境外分支机构承担，相关业务应在</w:t>
      </w:r>
      <w:r>
        <w:rPr>
          <w:rFonts w:ascii="宋体" w:eastAsia="宋体" w:hAnsi="宋体" w:cs="宋体" w:hint="eastAsia"/>
          <w:sz w:val="24"/>
        </w:rPr>
        <w:lastRenderedPageBreak/>
        <w:t>满足境内监管要求的基础上更侧重于满足境外监管要求；对于尚未设立境外分支机构的国家或地区，银行业金融机构应审慎开展业务，并由母公司承担主要运营责任，相关业务应在满足境外监管要求的基础上更侧重于满足境内监管要求。</w:t>
      </w:r>
    </w:p>
    <w:p w14:paraId="310333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落实贷款“三查”要求。银行业金融机构应严格遵循“了解你的客户”原则，加强对境外借款客户的实地尽职调查，不得完全依赖第三方或借款企业提供的信息；加强授信审批的审慎性，充分评估抵质押品和抵质押手续的合法合</w:t>
      </w:r>
      <w:proofErr w:type="gramStart"/>
      <w:r>
        <w:rPr>
          <w:rFonts w:ascii="宋体" w:eastAsia="宋体" w:hAnsi="宋体" w:cs="宋体" w:hint="eastAsia"/>
          <w:sz w:val="24"/>
        </w:rPr>
        <w:t>规</w:t>
      </w:r>
      <w:proofErr w:type="gramEnd"/>
      <w:r>
        <w:rPr>
          <w:rFonts w:ascii="宋体" w:eastAsia="宋体" w:hAnsi="宋体" w:cs="宋体" w:hint="eastAsia"/>
          <w:sz w:val="24"/>
        </w:rPr>
        <w:t>性和可操作性；定期对授信项目进行贷后检查，持续监测资金流向与用途，授信项目出现不符合授信条件和放款要求的情况时，应及时终止贷款后续资金的投放；加强债项与债务人的同时审核。</w:t>
      </w:r>
    </w:p>
    <w:p w14:paraId="62D827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加强统一授信管理。银行业金融机构应实现对同一客户或集团客户的境内外统一授信；加强统一的客户信用评级体系建设；强化大额授信集中度控制，鼓励与国内外同业通过筹组银团、开展分销等方式有效分散国别、行业和客户集中度风险。</w:t>
      </w:r>
    </w:p>
    <w:p w14:paraId="197D8E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审慎开展自营投资。银行业金融机构应根据自身业务特点、规模和复杂程度，结合总体业务发展战略、管理能力和能够承担的风险水平，审慎开展自营性境外投资类业务，充分考虑投资对象和项目风险、所在国家或地区的经济金融形势变化和市场波动带来的潜在风险。</w:t>
      </w:r>
    </w:p>
    <w:p w14:paraId="00CF54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债权类投资不能完全依赖外部评级，应将债权类投资纳入全行统一的风险管理体系；对于属于并表范围的股权类投资应经董事会审议，并全面评估投资损失可能对银行集团产生的影响。</w:t>
      </w:r>
    </w:p>
    <w:p w14:paraId="2CF819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加强国别风险防控。银行业金融机构的国别风险管理体系应覆盖境外授信、投资、代理行往来、设立境外机构、境外服务提供商提供外包服务等各个环节；强化国别风险限额管理和监测，合理认定不同担保机构和担保方式带来的国别风险变化及转移，确保国别风险准备金计提充足；将国别风险纳入本行的压力测试，并根据压力测试结果制定相应的应急预案。</w:t>
      </w:r>
    </w:p>
    <w:p w14:paraId="450758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九、强化内控合</w:t>
      </w:r>
      <w:proofErr w:type="gramStart"/>
      <w:r>
        <w:rPr>
          <w:rFonts w:ascii="宋体" w:eastAsia="宋体" w:hAnsi="宋体" w:cs="宋体" w:hint="eastAsia"/>
          <w:sz w:val="24"/>
        </w:rPr>
        <w:t>规</w:t>
      </w:r>
      <w:proofErr w:type="gramEnd"/>
      <w:r>
        <w:rPr>
          <w:rFonts w:ascii="宋体" w:eastAsia="宋体" w:hAnsi="宋体" w:cs="宋体" w:hint="eastAsia"/>
          <w:sz w:val="24"/>
        </w:rPr>
        <w:t>管理。银行业金融机构应强化境外业务的合</w:t>
      </w:r>
      <w:proofErr w:type="gramStart"/>
      <w:r>
        <w:rPr>
          <w:rFonts w:ascii="宋体" w:eastAsia="宋体" w:hAnsi="宋体" w:cs="宋体" w:hint="eastAsia"/>
          <w:sz w:val="24"/>
        </w:rPr>
        <w:t>规</w:t>
      </w:r>
      <w:proofErr w:type="gramEnd"/>
      <w:r>
        <w:rPr>
          <w:rFonts w:ascii="宋体" w:eastAsia="宋体" w:hAnsi="宋体" w:cs="宋体" w:hint="eastAsia"/>
          <w:sz w:val="24"/>
        </w:rPr>
        <w:t>管理；加强境外业务授权管理，确保各项境外业务在授权范围内开展；强化对境外业务涉及</w:t>
      </w:r>
      <w:r>
        <w:rPr>
          <w:rFonts w:ascii="宋体" w:eastAsia="宋体" w:hAnsi="宋体" w:cs="宋体" w:hint="eastAsia"/>
          <w:sz w:val="24"/>
        </w:rPr>
        <w:lastRenderedPageBreak/>
        <w:t>的第三方外包服务商的资信和运营标准要求以及考核管理；严格执行跨境法律审查，防范境内外法律冲突风险，切实加强对境外业务外聘律师等中介的管理。</w:t>
      </w:r>
    </w:p>
    <w:p w14:paraId="45EBCB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完善管理信息系统。银行业金融机构应提高境外业务信息系统的自动化程度，在满足境外监管要求的条件下，实现境外业务流程的自动化管理、境外与境内信息系统的实时对接与整合，以及境外业务数据和相关信息向总行的及时报送，满足境外业务发展和管理需求。对境外信息不能与境内实时对接的区域，应审慎开展业务。</w:t>
      </w:r>
    </w:p>
    <w:p w14:paraId="01E0AF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十一、强化岗位人员监督。银行业金融机构应强化境外机构的高管人员和关键岗位轮岗制度，明确轮岗时间和具体安排；加强对重要岗位人员的离岗审计，严格对离岗审计发现问题的责任追究。</w:t>
      </w:r>
    </w:p>
    <w:p w14:paraId="23B732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十二、加强内部审计纠偏。银行业金融机构应加强境外业务管理和风险控制的内部审计，提高内部审计的独立性和频率，扩大内部审计覆盖面，充实境外业务审计人员，做好审计外包管理。</w:t>
      </w:r>
    </w:p>
    <w:p w14:paraId="460913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十三、</w:t>
      </w:r>
      <w:proofErr w:type="gramStart"/>
      <w:r>
        <w:rPr>
          <w:rFonts w:ascii="宋体" w:eastAsia="宋体" w:hAnsi="宋体" w:cs="宋体" w:hint="eastAsia"/>
          <w:sz w:val="24"/>
        </w:rPr>
        <w:t>加大问</w:t>
      </w:r>
      <w:proofErr w:type="gramEnd"/>
      <w:r>
        <w:rPr>
          <w:rFonts w:ascii="宋体" w:eastAsia="宋体" w:hAnsi="宋体" w:cs="宋体" w:hint="eastAsia"/>
          <w:sz w:val="24"/>
        </w:rPr>
        <w:t>责惩处力度。银行业金融机构应加强对境外业务发现问题的整改、问责和惩处力度；建立境外业务重大损失责任追究制度，制定责任认定标准，责任落实到人，强化责任约束。</w:t>
      </w:r>
    </w:p>
    <w:p w14:paraId="65444E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四、加强境外机构管理。银行业金融机构应加强境外机构管理，要求境外机构严格遵守所在地法律法规、监管规则、税收、反洗钱及环境保护等方面的要求，关注境外资源、劳务用工、宗教以及文化习俗等方面对业务开展可能造成的影响。</w:t>
      </w:r>
    </w:p>
    <w:p w14:paraId="0893CE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五、重视人才队伍建设。银行业金融机构应打破内部机构间壁垒，发挥专业团队在境外业务中的骨干作用；强化集团化、全球化人才队伍管理意识，加强专业境外人才培养，充实境外人才团队，提高跨区域、跨机构的人力资源配置效率。</w:t>
      </w:r>
    </w:p>
    <w:p w14:paraId="295A9C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六、提升综合金融服务。银行业金融机构开展境外业务，应当发挥专业优势，以客户为中心，提供必要的金融咨询服务，帮助企业完善项目管理、资金规划和风险控制，降低违约风险；加强与保险业的合作，在充分考虑客户和项目风</w:t>
      </w:r>
      <w:r>
        <w:rPr>
          <w:rFonts w:ascii="宋体" w:eastAsia="宋体" w:hAnsi="宋体" w:cs="宋体" w:hint="eastAsia"/>
          <w:sz w:val="24"/>
        </w:rPr>
        <w:lastRenderedPageBreak/>
        <w:t>险的基础上，合理发挥出口信用保险等政策性保险功能，积极引入境内</w:t>
      </w:r>
      <w:proofErr w:type="gramStart"/>
      <w:r>
        <w:rPr>
          <w:rFonts w:ascii="宋体" w:eastAsia="宋体" w:hAnsi="宋体" w:cs="宋体" w:hint="eastAsia"/>
          <w:sz w:val="24"/>
        </w:rPr>
        <w:t>外商业</w:t>
      </w:r>
      <w:proofErr w:type="gramEnd"/>
      <w:r>
        <w:rPr>
          <w:rFonts w:ascii="宋体" w:eastAsia="宋体" w:hAnsi="宋体" w:cs="宋体" w:hint="eastAsia"/>
          <w:sz w:val="24"/>
        </w:rPr>
        <w:t>保险，提升“走出去”综合金融服务水平。</w:t>
      </w:r>
    </w:p>
    <w:p w14:paraId="142DCF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七、促进业务交流合作。银行业协会应建立银行间国别风险信息研究与交流机制，促进银行间优势互补和业务协作，加强境外法律法规、经营环境、业务经验和风险信息的共享，严格做好内部信息与舆情管理，积极探索新思路、新方法，不断丰富和完善境外业务管理的手段和措施，保障境外业务健康、有序、可持续发展。</w:t>
      </w:r>
    </w:p>
    <w:p w14:paraId="3C7FB1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八、强化市场准入监管。各级监管部门应依照法定职责，进一步做好境外业务的市场准入监管，对于境外业务多次发生风险、严重危及银行业金融机构稳健运行的，应依法暂停其该类境外业务，并依法采取其他相应的监管措施。</w:t>
      </w:r>
    </w:p>
    <w:p w14:paraId="09CD64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九、持续做好非现场监管。各级监管部门应依照法定职责，进一步做好境外业务的非现场监管工作，将境外业务作为高管会谈、董事会会谈、监事会会谈及外部审计会谈的重要内容，督促银行业金融机构不断提升境外业务数据和向监管机构报送信息的质量。</w:t>
      </w:r>
    </w:p>
    <w:p w14:paraId="278D7B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二十、继续强化监督检查。各级监管部门应依照法定职责，进一步加强对银行业金融机构境外业务的监督检查，督促存在问题的机构加强整改，对违规的机构依法进行处罚。</w:t>
      </w:r>
    </w:p>
    <w:p w14:paraId="79B641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二十一、加强跨境监管合作。加强与相关境外监管当局的沟通与交流，通过签订监管合作协议、举行双边监管磋商和监管联席会议等形式加强跨境监管合作。</w:t>
      </w:r>
    </w:p>
    <w:p w14:paraId="5FECF9DB"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roofErr w:type="gramStart"/>
      <w:r>
        <w:rPr>
          <w:rFonts w:ascii="宋体" w:eastAsia="宋体" w:hAnsi="宋体" w:cs="宋体" w:hint="eastAsia"/>
          <w:sz w:val="24"/>
        </w:rPr>
        <w:t>各银监</w:t>
      </w:r>
      <w:proofErr w:type="gramEnd"/>
      <w:r>
        <w:rPr>
          <w:rFonts w:ascii="宋体" w:eastAsia="宋体" w:hAnsi="宋体" w:cs="宋体" w:hint="eastAsia"/>
          <w:sz w:val="24"/>
        </w:rPr>
        <w:t>局如遇有重大风险问题，应及时向银监会报告。</w:t>
      </w:r>
    </w:p>
    <w:p w14:paraId="213A3E5F"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101.《中国银监会关于进一步加强信用风险管理的通知》</w:t>
      </w:r>
      <w:r>
        <w:rPr>
          <w:rFonts w:ascii="宋体" w:eastAsia="宋体" w:hAnsi="宋体" w:cs="宋体" w:hint="eastAsia"/>
          <w:b/>
          <w:bCs/>
          <w:sz w:val="24"/>
        </w:rPr>
        <w:tab/>
      </w:r>
    </w:p>
    <w:p w14:paraId="527786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4E82BF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文号：银监发〔2016〕42号</w:t>
      </w:r>
    </w:p>
    <w:p w14:paraId="08EEDEB4"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局，各政策性银行、大型银行、股份制银行，邮储银行，外资银行：</w:t>
      </w:r>
    </w:p>
    <w:p w14:paraId="4EE24F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为加强银行业金融机构信用风险管理，防范风险累积，现就有关事项通知如下：</w:t>
      </w:r>
    </w:p>
    <w:p w14:paraId="5B1366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一、改进统一授信管理。银行业金融机构应将贷款（</w:t>
      </w:r>
      <w:proofErr w:type="gramStart"/>
      <w:r>
        <w:rPr>
          <w:rFonts w:ascii="宋体" w:eastAsia="宋体" w:hAnsi="宋体" w:cs="宋体" w:hint="eastAsia"/>
          <w:sz w:val="24"/>
        </w:rPr>
        <w:t>含贸易</w:t>
      </w:r>
      <w:proofErr w:type="gramEnd"/>
      <w:r>
        <w:rPr>
          <w:rFonts w:ascii="宋体" w:eastAsia="宋体" w:hAnsi="宋体" w:cs="宋体" w:hint="eastAsia"/>
          <w:sz w:val="24"/>
        </w:rPr>
        <w:t>融资）、票据承兑和贴现、透支、债券投资、特定目的载体投资、开立信用证、保理、担保、贷款承诺，以及其他实质上由银行业金融机构承担信用风险的业务纳入统一授信管理，其中，特定目的载体投资应按照穿透原则对应至最终债务人。在全面覆盖</w:t>
      </w:r>
      <w:proofErr w:type="gramStart"/>
      <w:r>
        <w:rPr>
          <w:rFonts w:ascii="宋体" w:eastAsia="宋体" w:hAnsi="宋体" w:cs="宋体" w:hint="eastAsia"/>
          <w:sz w:val="24"/>
        </w:rPr>
        <w:t>各类授信</w:t>
      </w:r>
      <w:proofErr w:type="gramEnd"/>
      <w:r>
        <w:rPr>
          <w:rFonts w:ascii="宋体" w:eastAsia="宋体" w:hAnsi="宋体" w:cs="宋体" w:hint="eastAsia"/>
          <w:sz w:val="24"/>
        </w:rPr>
        <w:t>业务的基础上，银行业金融机构应确定单一法人客户、集团客户以及地区、行业的综合授信限额。综合授信限额应包括银行业金融机构自身及其并表附属机构授信总额。银行业金融机构应将同业客户纳入实施统一授信的客户范围，合理设定同业客户的风险限额，全口径监测同业客户的风险暴露水平。对外币授信规模较大的客户设定授信额度时，应充分考虑汇率变化对风险暴露的影响。</w:t>
      </w:r>
    </w:p>
    <w:p w14:paraId="123D4F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加强授信客户风险评估。银行业金融机构应加强内部客户风险信息共享，探索对客户风险信息实施统一管理，整合分析全体客户的各类信用风险信息。强化银行业金融机构之间信息共享机制建设，多渠道收集授信客户非传统融资信息，增强对授信客户总负债情况的监测评估能力。银行业金融机构在新增授信客户和对存量客户增加授信前，应查询内外部共享信息，掌握客户总负债情况，判断客户是否存在过度授信，是否涉及担保圈、财务欺诈、跨行违约等风险因素，有效前瞻预警和防控风险。</w:t>
      </w:r>
    </w:p>
    <w:p w14:paraId="553281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规范授信审批流程。银行业金融机构应明确新增授信、存量授信展期和滚动融资的审批标准、政策和流程，并根据风险暴露的规模和复杂程度明确不同层级的审批权限。对集团客户授信总额超过资本净额10%或单一客户授信总额超过资本净额5%的，应视为大额风险暴露，其授信应由董事会或高级管理层审批决定。银行业金融机构可根据风险管理的需要自行确定大额风险暴露管理政策，</w:t>
      </w:r>
      <w:r>
        <w:rPr>
          <w:rFonts w:ascii="宋体" w:eastAsia="宋体" w:hAnsi="宋体" w:cs="宋体" w:hint="eastAsia"/>
          <w:sz w:val="24"/>
        </w:rPr>
        <w:lastRenderedPageBreak/>
        <w:t>但不得低于以上要求。在计算大额风险暴露时，对具有经济关联关系的客户参照集团客户进行授信和集中度管理。存在经济关联性是指一方的倒闭将很可能对另一方的清偿能力造成重大负面影响的情形，包括但不限于：一方为另一方提供大额担保，一方作为另一方绝大部分产品的</w:t>
      </w:r>
      <w:proofErr w:type="gramStart"/>
      <w:r>
        <w:rPr>
          <w:rFonts w:ascii="宋体" w:eastAsia="宋体" w:hAnsi="宋体" w:cs="宋体" w:hint="eastAsia"/>
          <w:sz w:val="24"/>
        </w:rPr>
        <w:t>购买商且不易</w:t>
      </w:r>
      <w:proofErr w:type="gramEnd"/>
      <w:r>
        <w:rPr>
          <w:rFonts w:ascii="宋体" w:eastAsia="宋体" w:hAnsi="宋体" w:cs="宋体" w:hint="eastAsia"/>
          <w:sz w:val="24"/>
        </w:rPr>
        <w:t>被替代，一方现金流大量来源于与另一方的交易等。</w:t>
      </w:r>
    </w:p>
    <w:p w14:paraId="0D8C43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完善集中度风险的管理框架。银行业金融机构应建立涵盖客户、行业、地区、货币、抵质押品、市场、国家/区域等各类风险源，覆盖信贷、投资、衍生品交易、承兑、担保等全部表内外风险暴露，充分体现穿透性原则的集中度风险管理框架。建立满足穿透管理需要的集中度风险管理信息系统，多维度识别、监测、分析、管理集中度风险，并设定相应的限额。</w:t>
      </w:r>
    </w:p>
    <w:p w14:paraId="590E34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加强国别风险管理。银行业金融机构应建立健全与其系统重要性、风险状况及风险偏好相一致的各项政策和程序，及时对覆盖银行集团范围的国别和转移风险进行识别、计量、评估、监测、报告、控制和缓释。银行业金融机构应严格及时、准确和全面地监测国别风险暴露，严格国别风险限额管理，制定书面的国别风险准备金计提政策，充足计提国别风险准备金，并按时向银监会报送相关报表。国别风险准备金计提存在缺口的银行，应当采取措施及时补足或相应减少国別风险暴露水平。</w:t>
      </w:r>
    </w:p>
    <w:p w14:paraId="110679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提高贷款分类的准确性。银行业金融机构应加强贷款分类管理，定期开展贷款分类政策、程序执行情况内部审计，对在贷款分类中弄虚作假掩饰贷款质量的，要严格实施问责，加大处罚力度。应明确上调贷款分类的标准和程序，审慎实施贷款分类中不良贷款上调为非不良贷款的操作。只有符合所有逾期的本金、利息及其他欠款已全部偿还，并至少在随后连续两个还款期或6个月内（按两者孰长的原则确定）正常还本付息，且预计之后也能按照合同条款持续还款的不良贷款，才能上调为非不良贷款。不良贷款分类的上调应由总行或由总行授权一级分行审批。银行业金融机构可根据实际情况明确不良贷款上调为非不良贷款的具体标准和认定程序，但不得低于前述要求。各级监管机构要加强对银行业金融机构资产转让行为的监管，对借助通道转出但信用风险仍保留在原机构的资产，须按</w:t>
      </w:r>
      <w:proofErr w:type="gramStart"/>
      <w:r>
        <w:rPr>
          <w:rFonts w:ascii="宋体" w:eastAsia="宋体" w:hAnsi="宋体" w:cs="宋体" w:hint="eastAsia"/>
          <w:sz w:val="24"/>
        </w:rPr>
        <w:t>原风险</w:t>
      </w:r>
      <w:proofErr w:type="gramEnd"/>
      <w:r>
        <w:rPr>
          <w:rFonts w:ascii="宋体" w:eastAsia="宋体" w:hAnsi="宋体" w:cs="宋体" w:hint="eastAsia"/>
          <w:sz w:val="24"/>
        </w:rPr>
        <w:t>形态进行分类。</w:t>
      </w:r>
    </w:p>
    <w:p w14:paraId="4061C3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七、开展非信贷资产分类。银行业金融机构要参照贷款分类的有关规定，进一步健全完善制度办法，</w:t>
      </w:r>
      <w:proofErr w:type="gramStart"/>
      <w:r>
        <w:rPr>
          <w:rFonts w:ascii="宋体" w:eastAsia="宋体" w:hAnsi="宋体" w:cs="宋体" w:hint="eastAsia"/>
          <w:sz w:val="24"/>
        </w:rPr>
        <w:t>明确表</w:t>
      </w:r>
      <w:proofErr w:type="gramEnd"/>
      <w:r>
        <w:rPr>
          <w:rFonts w:ascii="宋体" w:eastAsia="宋体" w:hAnsi="宋体" w:cs="宋体" w:hint="eastAsia"/>
          <w:sz w:val="24"/>
        </w:rPr>
        <w:t>内外各类非信贷资产的分类标准和操作流程，真实、准确和动态地反映非信贷资产风险状况。原则上，实质上由银行业金融机构承担信用风险的表内外业务均应进行分类。非信贷资产分类要坚持实质重于形式的原则，实行穿透式管理，根据基础资产的风险状况，合理确定风险类别。应按照风险分类结果，结合非信贷资产的性质，通过计提减值准备或预计负债等方式，增强风险抵补能力。</w:t>
      </w:r>
    </w:p>
    <w:p w14:paraId="0182B2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提升风险缓释的有效性。银行业金融机构应根据本机构业务特点，建立信用风险缓释制度、政策和程序，定期对风险缓释措施有效性进行评估。应重点评估抵质押权益的真实性、合法性和可实现性，抵质押物价值评估的审慎性，以及抵质押档案的完备性和合同条款的严密性。应根据抵质押物的类别和性质，科学确定抵质押物价值重估的频率，定期进行重估，</w:t>
      </w:r>
      <w:proofErr w:type="gramStart"/>
      <w:r>
        <w:rPr>
          <w:rFonts w:ascii="宋体" w:eastAsia="宋体" w:hAnsi="宋体" w:cs="宋体" w:hint="eastAsia"/>
          <w:sz w:val="24"/>
        </w:rPr>
        <w:t>当抵质押</w:t>
      </w:r>
      <w:proofErr w:type="gramEnd"/>
      <w:r>
        <w:rPr>
          <w:rFonts w:ascii="宋体" w:eastAsia="宋体" w:hAnsi="宋体" w:cs="宋体" w:hint="eastAsia"/>
          <w:sz w:val="24"/>
        </w:rPr>
        <w:t>物价值变动严重影响风险缓释有效性时，要及时采取有效措施。对风险缓释措施有效性进行评估时，应充分考虑宏观经济、金融市场及关联产业波动的影响。</w:t>
      </w:r>
    </w:p>
    <w:p w14:paraId="0E1776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银行业金融机构应按照本通知要求开展制度梳理和风险排查，进一步完善信用风险管理的制度、措施，于2016年12月30日前向监管机构报告风险排查和整改情况。</w:t>
      </w:r>
    </w:p>
    <w:p w14:paraId="351CB5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中国银行业监督管理委员会</w:t>
      </w:r>
    </w:p>
    <w:p w14:paraId="297078FB"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2016年9月13日</w:t>
      </w:r>
    </w:p>
    <w:p w14:paraId="5ADDF9B4"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102.《银行业金融机构全面风险管理指引》</w:t>
      </w:r>
      <w:r>
        <w:rPr>
          <w:rFonts w:ascii="宋体" w:eastAsia="宋体" w:hAnsi="宋体" w:cs="宋体" w:hint="eastAsia"/>
          <w:b/>
          <w:bCs/>
          <w:sz w:val="24"/>
        </w:rPr>
        <w:tab/>
      </w:r>
    </w:p>
    <w:p w14:paraId="10C15F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657F18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文号：银监发〔2016〕44号</w:t>
      </w:r>
    </w:p>
    <w:p w14:paraId="57E1A5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06876F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为提高银行业金融机构全面风险管理水平，促进银行业体系安全稳健运行，根据《中华人民共和国银行业监督管理法》、《中华人民共和国商业银行法》等法律法规，制定本指引。</w:t>
      </w:r>
    </w:p>
    <w:p w14:paraId="14C0C2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第二条本指引适用于在中华人民共和国境内依法设立的银行业金融机构。</w:t>
      </w:r>
    </w:p>
    <w:p w14:paraId="41F568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本指引所称银行业金融机构，是指在中华人民共和国境内设立的商业银行、农村信用合作社等吸收公众存款的金融机构、政策性银行以及国家开发银行。</w:t>
      </w:r>
    </w:p>
    <w:p w14:paraId="7EAB74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银行业金融机构应当建立全面风险管理体系，采取定性和定量相结合的方法，识别、计量、评估、监测、报告、控制或缓释所承担的各类风险。</w:t>
      </w:r>
    </w:p>
    <w:p w14:paraId="12AD85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各类风险包括信用风险、市场风险、流动性风险、操作风险、国别风险、银行账户利率风险、声誉风险、战略风险、信息科技风险以及其他风险。</w:t>
      </w:r>
    </w:p>
    <w:p w14:paraId="25ECA7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银行业金融机构的全面风险管理体系应当考虑风险之间的关联性，审慎评估各类风险之间的相互影响，防范跨境、跨业风险。</w:t>
      </w:r>
    </w:p>
    <w:p w14:paraId="02D108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银行业金融机构全面风险管理应当遵循以下基本原则：</w:t>
      </w:r>
    </w:p>
    <w:p w14:paraId="284F00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（一）匹配性原则。全面风险管理体系应当与风险状况和系统重要性等相适应，并根据环境变化进行调整。</w:t>
      </w:r>
    </w:p>
    <w:p w14:paraId="79BFCC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全覆盖原则。全面风险管理应当覆盖各个业务条线，包括本外币、表内外、境内外业务；覆盖所有分支机构、附属机构，部门、岗位和人员；覆盖所有风险种类和不同风险之间的相互影响；贯穿决策、执行和监督全部管理环节。</w:t>
      </w:r>
    </w:p>
    <w:p w14:paraId="4E126C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（三）独立性原则。银行业金融机构应当建立独立的全面风险管理组织架构，赋予风险管理条线足够的授权、人力资源及其他资源配置，建立科学合理的报告渠道，与业务条线之间形成相互制衡的运行机制。</w:t>
      </w:r>
    </w:p>
    <w:p w14:paraId="33E9BF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（四）有效性原则。银行业金融机构应当将全面风险管理的结果应用于经营管理，根据风险状况、市场和宏观经济情况评估资本和流动性的充足性，有效抵御所承担的总体风险和各类风险。</w:t>
      </w:r>
    </w:p>
    <w:p w14:paraId="296C1C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银行业金融机构全面风险管理体系应当包括但不限于以下要素：</w:t>
      </w:r>
    </w:p>
    <w:p w14:paraId="339513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（一）风险治理架构；</w:t>
      </w:r>
    </w:p>
    <w:p w14:paraId="790EA3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（二）风险管理策略、风险偏好和风险限额；</w:t>
      </w:r>
    </w:p>
    <w:p w14:paraId="41A28D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（三）风险管理政策和程序；</w:t>
      </w:r>
    </w:p>
    <w:p w14:paraId="141F71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（四）管理信息系统和数据质量控制机制；</w:t>
      </w:r>
    </w:p>
    <w:p w14:paraId="15433E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（五）内部控制和审计体系。</w:t>
      </w:r>
    </w:p>
    <w:p w14:paraId="4FBDB9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银行业金融机构应当推行稳健的风险文化，形成与本机构相适应的风险管理理念、价值准则、职业操守，建立培训、传达和监督机制，推动全体工作人员理解和执行。</w:t>
      </w:r>
    </w:p>
    <w:p w14:paraId="3C77CE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银行业金融机构应当承担全面风险管理的主体责任，建立全面风险管理制度，保障制度执行，对全面风险管理体系进行自我评估，健全自我约束机制。</w:t>
      </w:r>
    </w:p>
    <w:p w14:paraId="5B4065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银行业监督管理机构依法对银行业金融机构全面风险管理实施监管。</w:t>
      </w:r>
    </w:p>
    <w:p w14:paraId="508FBC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银行业金融机构应当按照银行业监督管理机构的规定，向公众披露全面风险管理情况。</w:t>
      </w:r>
    </w:p>
    <w:p w14:paraId="3536BB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风险治理架构</w:t>
      </w:r>
    </w:p>
    <w:p w14:paraId="0FB476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银行业金融机构应当建立组织架构健全、职责边界清晰的风险治理架构，明确董事会、监事会、高级管理层、业务部门、风险管理部门和内审部门在风险管理中的职责分工，建立多层次、相互衔接、有效制衡的运行机制。</w:t>
      </w:r>
    </w:p>
    <w:p w14:paraId="193738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银行业金融机构董事会承担全面风险管理的最终责任，履行以下职责：</w:t>
      </w:r>
    </w:p>
    <w:p w14:paraId="7676F4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（一）建立风险文化；</w:t>
      </w:r>
    </w:p>
    <w:p w14:paraId="4C8BE4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（二）制定风险管理策略；</w:t>
      </w:r>
    </w:p>
    <w:p w14:paraId="2DC4E4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（三）设定风险偏好和确保风险限额的设立；</w:t>
      </w:r>
    </w:p>
    <w:p w14:paraId="75739A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（四）审批重大风险管理政策和程序；</w:t>
      </w:r>
    </w:p>
    <w:p w14:paraId="6F0D14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（五）监督高级管理</w:t>
      </w:r>
      <w:proofErr w:type="gramStart"/>
      <w:r>
        <w:rPr>
          <w:rFonts w:ascii="宋体" w:eastAsia="宋体" w:hAnsi="宋体" w:cs="宋体" w:hint="eastAsia"/>
          <w:sz w:val="24"/>
        </w:rPr>
        <w:t>层开展</w:t>
      </w:r>
      <w:proofErr w:type="gramEnd"/>
      <w:r>
        <w:rPr>
          <w:rFonts w:ascii="宋体" w:eastAsia="宋体" w:hAnsi="宋体" w:cs="宋体" w:hint="eastAsia"/>
          <w:sz w:val="24"/>
        </w:rPr>
        <w:t>全面风险管理；</w:t>
      </w:r>
    </w:p>
    <w:p w14:paraId="63D86E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（六）审议全面风险管理报告；</w:t>
      </w:r>
    </w:p>
    <w:p w14:paraId="011FBB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（七）审批全面风险和各类重要风险的信息披露；</w:t>
      </w:r>
    </w:p>
    <w:p w14:paraId="3976DD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（八）聘任风险总监（首席风险官）或其他高级管理人员，牵头负责全面风险管理；</w:t>
      </w:r>
    </w:p>
    <w:p w14:paraId="202638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（九）其他与风险管理有关的职责。</w:t>
      </w:r>
    </w:p>
    <w:p w14:paraId="7550FC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董事会可以授权其下设的风险管理委员会履行其全面风险管理的部分职责。</w:t>
      </w:r>
    </w:p>
    <w:p w14:paraId="3EE562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银行业金融机构应当建立风险管理委员会与董事会下设的战略委员会、审计委员会、提名委员会等其他专门委员会的沟通机制，确保信息充分共享并能够支持风险管理相关决策。</w:t>
      </w:r>
    </w:p>
    <w:p w14:paraId="00F0FF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银行业金融机构监事会承担全面风险管理的监督责任，负责监督检查董事会和高级管理层在风险管理方面的履职尽责情况并督促整改。相关监督检查情况应当纳入监事会工作报告。</w:t>
      </w:r>
    </w:p>
    <w:p w14:paraId="3898B1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银行业金融机构高级管理</w:t>
      </w:r>
      <w:proofErr w:type="gramStart"/>
      <w:r>
        <w:rPr>
          <w:rFonts w:ascii="宋体" w:eastAsia="宋体" w:hAnsi="宋体" w:cs="宋体" w:hint="eastAsia"/>
          <w:sz w:val="24"/>
        </w:rPr>
        <w:t>层承担</w:t>
      </w:r>
      <w:proofErr w:type="gramEnd"/>
      <w:r>
        <w:rPr>
          <w:rFonts w:ascii="宋体" w:eastAsia="宋体" w:hAnsi="宋体" w:cs="宋体" w:hint="eastAsia"/>
          <w:sz w:val="24"/>
        </w:rPr>
        <w:t>全面风险管理的实施责任，执行董事会的决议，履行以下职责：</w:t>
      </w:r>
    </w:p>
    <w:p w14:paraId="54D87E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（一）建立适应全面风险管理的经营管理架构，明确全面风险管理职能部门、业务部门以及其他部门在风险管理中的职责分工，建立部门之间相互协调、有效制衡的运行机制；</w:t>
      </w:r>
    </w:p>
    <w:p w14:paraId="107A9B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（二）制定清晰的执行和问责机制，确保风险管理策略、风险偏好和风险限额得到充分传达和有效实施；</w:t>
      </w:r>
    </w:p>
    <w:p w14:paraId="4AB78E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（三）根据董事会设定的风险偏好，制定风险限额，包括但不限于行业、区域、客户、产品等维度；</w:t>
      </w:r>
    </w:p>
    <w:p w14:paraId="7EE8FA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（四）制定风险管理政策和程序，定期评估，必要时予以调整；</w:t>
      </w:r>
    </w:p>
    <w:p w14:paraId="4ADA47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（五）评估全面风险和各类重要风险管理状况并向董事会报告；</w:t>
      </w:r>
    </w:p>
    <w:p w14:paraId="32ED92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（六）建立完备的管理信息系统和数据质量控制机制；</w:t>
      </w:r>
    </w:p>
    <w:p w14:paraId="5F2040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（七）对突破风险偏好、风险限额以及违反风险管理政策和程序的情况进行监督，根据董事会的授权进行处理；</w:t>
      </w:r>
    </w:p>
    <w:p w14:paraId="7360DA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（八）风险管理的其他职责。</w:t>
      </w:r>
    </w:p>
    <w:p w14:paraId="6599BF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规模较大或业务复杂的银行业金融机构应当设立风险总监（首席风险官）。董事会应当将风险总监（首席风险官）纳入高级管理人员。风险总监（首席风险官）或其他牵头负责全面风险管理的高级管理人员应当保持充分的独立性，独立于操作和经营条线，可以直接向董事会报告全面风险管理情况。</w:t>
      </w:r>
    </w:p>
    <w:p w14:paraId="5644F9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调整风险总监（首席风险官）应当事先得到董事会批准，并公开披露。银行业金融机构应当向银行业监督管理机构报告调整风险总监（首席风险官）的原因。</w:t>
      </w:r>
    </w:p>
    <w:p w14:paraId="2F2562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银行业金融机构应当确定业务条</w:t>
      </w:r>
      <w:proofErr w:type="gramStart"/>
      <w:r>
        <w:rPr>
          <w:rFonts w:ascii="宋体" w:eastAsia="宋体" w:hAnsi="宋体" w:cs="宋体" w:hint="eastAsia"/>
          <w:sz w:val="24"/>
        </w:rPr>
        <w:t>线承担</w:t>
      </w:r>
      <w:proofErr w:type="gramEnd"/>
      <w:r>
        <w:rPr>
          <w:rFonts w:ascii="宋体" w:eastAsia="宋体" w:hAnsi="宋体" w:cs="宋体" w:hint="eastAsia"/>
          <w:sz w:val="24"/>
        </w:rPr>
        <w:t>风险管理的直接责任；风险管理条</w:t>
      </w:r>
      <w:proofErr w:type="gramStart"/>
      <w:r>
        <w:rPr>
          <w:rFonts w:ascii="宋体" w:eastAsia="宋体" w:hAnsi="宋体" w:cs="宋体" w:hint="eastAsia"/>
          <w:sz w:val="24"/>
        </w:rPr>
        <w:t>线承担</w:t>
      </w:r>
      <w:proofErr w:type="gramEnd"/>
      <w:r>
        <w:rPr>
          <w:rFonts w:ascii="宋体" w:eastAsia="宋体" w:hAnsi="宋体" w:cs="宋体" w:hint="eastAsia"/>
          <w:sz w:val="24"/>
        </w:rPr>
        <w:t>制定政策和流程，监测和管理风险的责任；内审部门承担业务部门和风险管理部门履职情况的审计责任。</w:t>
      </w:r>
    </w:p>
    <w:p w14:paraId="484258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银行业金融机构应当设立或者指定部门负责全面风险管理，牵头履行全面风险的日常管理，包括但不限于以下职责：</w:t>
      </w:r>
    </w:p>
    <w:p w14:paraId="345080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（一）实施全面风险管理体系建设；</w:t>
      </w:r>
    </w:p>
    <w:p w14:paraId="0F6702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（二）牵头协调识别、计量、评估、监测、控制或缓释全面风险和各类重要风险，及时向高级管理人员报告；</w:t>
      </w:r>
    </w:p>
    <w:p w14:paraId="7DDA21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（三）持续监控风险管理策略、风险偏好、风险限额及风险管理政策和程序的执行情况，对突破风险偏好、风险限额以及违反风险管理政策和程序的情况及时预警、报告并提出处理建议；</w:t>
      </w:r>
    </w:p>
    <w:p w14:paraId="34435D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（四）组织开展风险评估，及时发现风险隐患和管理漏洞，持续提高风险管理的有效性。</w:t>
      </w:r>
    </w:p>
    <w:p w14:paraId="17610E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第十八条 银行业金融机构应当采取必要措施，保证全面风险管理的政策流程在基层分支机构得到理解与执行，建立与基层分支机构风险状况相匹配的风险管理架构。</w:t>
      </w:r>
    </w:p>
    <w:p w14:paraId="016E7A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在境外设有机构的银行业金融机构应当建立适当的境外风险管理框架、政策和流程。</w:t>
      </w:r>
    </w:p>
    <w:p w14:paraId="065251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银行业金融机构应当赋予全面风险管理职能部门和各类风险管理部门充足的资源、独立性、授权，保证其能够及时获得风险管理所需的数据和信息，满足履行风险管理职责的需要。</w:t>
      </w:r>
    </w:p>
    <w:p w14:paraId="1F10D2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风险管理策略、风险偏好和风险限额</w:t>
      </w:r>
    </w:p>
    <w:p w14:paraId="636DB9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银行业金融机构应当制定清晰的风险管理策略，至少每年评估一次其有效性。风险管理策略应当反映风险偏好、风险状况以及市场和宏观经济变化，并在银行内部得到充分传导。</w:t>
      </w:r>
    </w:p>
    <w:p w14:paraId="0365B4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银行业金融机构应当制定书面的风险偏好，做到定性指标和定量指标并重。风险偏好的设定应当与战略目标、经营计划、资本规划、绩效考评和薪酬机制衔接，在机构内传达并执行。</w:t>
      </w:r>
    </w:p>
    <w:p w14:paraId="6FCA56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银行业金融机构应当每年对风险偏好至少进行一次评估。</w:t>
      </w:r>
    </w:p>
    <w:p w14:paraId="406C5C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银行业金融机构制定的风险偏好，应当包括但不限于以下内容：</w:t>
      </w:r>
    </w:p>
    <w:p w14:paraId="182B4D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（一）战略目标和经营计划的制定依据，风险偏好与战略目标、经营计划的关联性；</w:t>
      </w:r>
    </w:p>
    <w:p w14:paraId="5056A6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（二）为实现战略目标和经营计划愿意承担的风险总量；</w:t>
      </w:r>
    </w:p>
    <w:p w14:paraId="27410A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（三）愿意承担的各类风险的最大水平；</w:t>
      </w:r>
    </w:p>
    <w:p w14:paraId="054EED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（四）风险偏好的定量指标，包括利润、风险、资本、流动性以及其他相关指标的目标值或目标区间。上述定量指标通过风险限额、经营计划、绩效考评等方式传导</w:t>
      </w:r>
      <w:proofErr w:type="gramStart"/>
      <w:r>
        <w:rPr>
          <w:rFonts w:ascii="宋体" w:eastAsia="宋体" w:hAnsi="宋体" w:cs="宋体" w:hint="eastAsia"/>
          <w:sz w:val="24"/>
        </w:rPr>
        <w:t>至业务条</w:t>
      </w:r>
      <w:proofErr w:type="gramEnd"/>
      <w:r>
        <w:rPr>
          <w:rFonts w:ascii="宋体" w:eastAsia="宋体" w:hAnsi="宋体" w:cs="宋体" w:hint="eastAsia"/>
          <w:sz w:val="24"/>
        </w:rPr>
        <w:t>线、分支机构、附属机构的安排；</w:t>
      </w:r>
    </w:p>
    <w:p w14:paraId="400537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（五）对不能定量的风险偏好的定性描述，包括承担此类风险的原因、采取</w:t>
      </w:r>
      <w:r>
        <w:rPr>
          <w:rFonts w:ascii="宋体" w:eastAsia="宋体" w:hAnsi="宋体" w:cs="宋体" w:hint="eastAsia"/>
          <w:sz w:val="24"/>
        </w:rPr>
        <w:lastRenderedPageBreak/>
        <w:t>的管理措施；</w:t>
      </w:r>
    </w:p>
    <w:p w14:paraId="232DF5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（六）资本、流动性抵御总体风险和各类风险的水平；</w:t>
      </w:r>
    </w:p>
    <w:p w14:paraId="3536A3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（七）可能导致偏离风险偏好目标的情形和处置方法。</w:t>
      </w:r>
    </w:p>
    <w:p w14:paraId="0C33BA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银行业金融机构应当在书面的风险偏好中明确董事会、高级管理层和首席风险官、业务条线、风险部门在制定和实施风险偏好过程中的职责。</w:t>
      </w:r>
    </w:p>
    <w:p w14:paraId="378DBA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银行业金融机构应当建立监测分析各业务条线、分支机构、附属机构执行风险偏好的机制。</w:t>
      </w:r>
    </w:p>
    <w:p w14:paraId="533A40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当风险偏好目标被突破时，应当及时分析原因，制定解决方案并实施。</w:t>
      </w:r>
    </w:p>
    <w:p w14:paraId="7CD154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银行业金融机构应当建立风险偏好的调整制度。根据业务规模、复杂程度、风险状况的变化，对风险偏好进行调整。</w:t>
      </w:r>
    </w:p>
    <w:p w14:paraId="059A9F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银行业金融机构应当制定风险限额管理的政策和程序，建立风险限额设定、限额调整、超限额报告和处理制度。</w:t>
      </w:r>
    </w:p>
    <w:p w14:paraId="17F33E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银行业金融机构应当根据风险偏好，按照客户、行业、区域、产品等维度设定风险限额。风险限额应当综合考虑资本、风险集中度、流动性、交易目的等。</w:t>
      </w:r>
    </w:p>
    <w:p w14:paraId="69AF63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全面风险管理职能部门应当对风险限额进行监控，并向董事会或高级管理层报送风险限额使用情况。</w:t>
      </w:r>
    </w:p>
    <w:p w14:paraId="0888CE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风险限额临近监管指标限额时，银行业金融机构应当启动相应的纠正措施和报告程序，采取必要的风险分散措施，并向银行业监督管理机构报告。</w:t>
      </w:r>
    </w:p>
    <w:p w14:paraId="037791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风险管理政策和程序</w:t>
      </w:r>
    </w:p>
    <w:p w14:paraId="1D220D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银行业金融机构应当制定风险管理政策和程序，包括但不限于以下内容：</w:t>
      </w:r>
    </w:p>
    <w:p w14:paraId="3E78CD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（一）全面风险管理的方法，包括各类风险的识别、计量、评估、监测、报告、控制或缓释，风险加总的方法和程序；</w:t>
      </w:r>
    </w:p>
    <w:p w14:paraId="3B694D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（二）风险定性管理和定量管理的方法；</w:t>
      </w:r>
    </w:p>
    <w:p w14:paraId="51C966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（三）风险管理报告；</w:t>
      </w:r>
    </w:p>
    <w:p w14:paraId="3680C3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（四）压力测试安排；</w:t>
      </w:r>
    </w:p>
    <w:p w14:paraId="04EA9C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（五）新产品、重大业务和机构变更的风险评估；</w:t>
      </w:r>
    </w:p>
    <w:p w14:paraId="3777E0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（六）资本和流动性充足情况评估；</w:t>
      </w:r>
    </w:p>
    <w:p w14:paraId="0CF5AF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（七）应急计划和恢复计划。</w:t>
      </w:r>
    </w:p>
    <w:p w14:paraId="484900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银行业金融机构应当在集团和法人层面对各附属机构、分支机构、业务条线，对表内和表外、境内和境外、本币和外币业务涉及的各类风险，进行识别、计量、评估、监测、报告、控制或缓释。</w:t>
      </w:r>
    </w:p>
    <w:p w14:paraId="33A70C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银行业金融机构应当制定每项业务对应的风险管理政策和程序。未制定的，不得开展该项业务。</w:t>
      </w:r>
    </w:p>
    <w:p w14:paraId="2AA967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当有效评估和管理各类风险。对能够量化的风险，应当通过风险计量技术，加强对相关风险的计量、控制、缓释；对难以量化的风险，应当建立风险识别、评估、控制和报告机制，确保相关风险得到有效管理。</w:t>
      </w:r>
    </w:p>
    <w:p w14:paraId="3FF758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银行业金融机构应当建立风险统一集中管理的制度，确保全面风险管理对各类风险管理的统领性、各类风险管理与全面风险管理政策和程序的一致性。</w:t>
      </w:r>
    </w:p>
    <w:p w14:paraId="0F0383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银行业金融机构应当建立风险加总的政策、程序，选取合理可行的加总方法，充分考虑集中度风险及风险之间的相互影响和相互传染，确保在不同层次上和总体上及时识别风险。</w:t>
      </w:r>
    </w:p>
    <w:p w14:paraId="14D3C7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银行业金融机构采用内部模型计量风险的，应当遵守相关监管要求，确保风险计量的一致性、客观性和准确性。董事会和高级管理层应当理解模型结果的局限性、不确定性和模型使用的固有风险。</w:t>
      </w:r>
    </w:p>
    <w:p w14:paraId="1BAA99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银行业金融机构应当建立全面风险管理报告制度，</w:t>
      </w:r>
      <w:proofErr w:type="gramStart"/>
      <w:r>
        <w:rPr>
          <w:rFonts w:ascii="宋体" w:eastAsia="宋体" w:hAnsi="宋体" w:cs="宋体" w:hint="eastAsia"/>
          <w:sz w:val="24"/>
        </w:rPr>
        <w:t>明确报告</w:t>
      </w:r>
      <w:proofErr w:type="gramEnd"/>
      <w:r>
        <w:rPr>
          <w:rFonts w:ascii="宋体" w:eastAsia="宋体" w:hAnsi="宋体" w:cs="宋体" w:hint="eastAsia"/>
          <w:sz w:val="24"/>
        </w:rPr>
        <w:t>的内容、频率和路线。</w:t>
      </w:r>
    </w:p>
    <w:p w14:paraId="7ACDF1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报告内容至少包括总体风险和各类风险的整体状况；风险管理策略、风险偏</w:t>
      </w:r>
      <w:r>
        <w:rPr>
          <w:rFonts w:ascii="宋体" w:eastAsia="宋体" w:hAnsi="宋体" w:cs="宋体" w:hint="eastAsia"/>
          <w:sz w:val="24"/>
        </w:rPr>
        <w:lastRenderedPageBreak/>
        <w:t>好和风险限额的执行情况；风险在行业、地区、客户、产品等维度的分布；资本和流动性抵御风险的能力。</w:t>
      </w:r>
    </w:p>
    <w:p w14:paraId="49BF26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银行业金融机构应当建立压力测试体系，明确压力测试的治理结构、政策文档、方法流程、情景设计、保障支持、验证评估以及压力测试结果运用。</w:t>
      </w:r>
    </w:p>
    <w:p w14:paraId="452EB3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银行业金融机构应当定期开展压力测试。压力测试的开展应当覆盖各类风险和表内外主要业务领域，并考虑各类风险之间的相互影响。</w:t>
      </w:r>
    </w:p>
    <w:p w14:paraId="2B9F30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压力测试结果应当运用于银行业金融机构的风险管理和各项经营管理决策中。</w:t>
      </w:r>
    </w:p>
    <w:p w14:paraId="1526F6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第三十三条 银行业金融机构应当建立专门的政策和流程，评估开发新产品、对现有产品进行重大改动、拓展新的业务领域、设立新机构、从事重大收购和投资等可能带来的风险，并建立内部审批流程和退出安排。银行业金融机构开展上述活动时，应当经风险管理部门审查同意，并经董事会或董事会指定的专门委员会批准。</w:t>
      </w:r>
    </w:p>
    <w:p w14:paraId="12D547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银行业金融机构应当根据风险偏好和风险状况及时评估资本和流动性的充足情况，确保资本、流动性能够抵御风险。</w:t>
      </w:r>
    </w:p>
    <w:p w14:paraId="1B2C3B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银行业金融机构应当制定应急计划，确保能够及时应对和处理紧急或危机情况。应急计划应当说明可能出现的风险以及在压力情况（包括会严重威胁银行生存能力的压力情景）下应当采取的措施。银行业金融机构的应急计划应当涵盖对境外分支机构和附属机构的应急安排。银行业金融机构应当定期更新、演练或测试上述计划，确保其充分性和可行性。</w:t>
      </w:r>
    </w:p>
    <w:p w14:paraId="0AF839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银行业金融机构应当按照相关监管要求，根据风险状况和系统重要性，制定并定期更新完善本机构的恢复计划，明确本机构在压力情况下能够继续提供持续稳定运营的各项关键性金融服务并恢复正常运营的行动方案。</w:t>
      </w:r>
    </w:p>
    <w:p w14:paraId="6FBB00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银行业金融机构应当制定覆盖其附属机构的风险管理政策和程序，保持风险管理的一致性、有效性。银行业金融机构应当要求并确保各附属机构在整体风险偏好和风险管理政策框架下，建立自身的风险管理组织架构、政策</w:t>
      </w:r>
      <w:r>
        <w:rPr>
          <w:rFonts w:ascii="宋体" w:eastAsia="宋体" w:hAnsi="宋体" w:cs="宋体" w:hint="eastAsia"/>
          <w:sz w:val="24"/>
        </w:rPr>
        <w:lastRenderedPageBreak/>
        <w:t>流程，促进全面风险管理的一致性和有效性。</w:t>
      </w:r>
    </w:p>
    <w:p w14:paraId="73FF1F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银行业金融机构应当建立健全风险隔离制度，规范内部交易，防止风险传染。</w:t>
      </w:r>
    </w:p>
    <w:p w14:paraId="1D7818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银行业金融机构应当制定外包风险管理制度，确定与其风险管理水平相适应的外包活动范围。</w:t>
      </w:r>
    </w:p>
    <w:p w14:paraId="2347D4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第三十九条 银行业金融机构应当将风险管理策略、风险偏好、风险限额、风险管理政策和程序等要素与资本管理、业务管理相结合，在战略和经营计划制定、新产品审批、内部定价、绩效考评和薪酬激励等日常经营管理中充分应用并有效实施。</w:t>
      </w:r>
    </w:p>
    <w:p w14:paraId="15BC80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银行业金融机构应当对风险管理策略、风险偏好、风险限额、风险管理政策和程序建立规范的文档记录。</w:t>
      </w:r>
    </w:p>
    <w:p w14:paraId="7B9ED8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管理信息系统和数据质量</w:t>
      </w:r>
    </w:p>
    <w:p w14:paraId="17DE11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银行业金融机构应当具备完善的风险管理信息系统，能够在集团和法人层面计量、评估、展示、报告所有风险类别、产品和交易对手风险暴露的规模和构成。</w:t>
      </w:r>
    </w:p>
    <w:p w14:paraId="3D5D55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银行业金融机构相关风险管理信息系统应当具备以下主要功能，支持风险报告和管理决策的需要：</w:t>
      </w:r>
    </w:p>
    <w:p w14:paraId="409AE8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（一）支持识别、计量、评估、监测和报告所有类别的重要风险；</w:t>
      </w:r>
    </w:p>
    <w:p w14:paraId="11E41D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（二）支持风险限额管理，对超出风险限额的情况进行实时监测、预警和控制；</w:t>
      </w:r>
    </w:p>
    <w:p w14:paraId="774CD9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（三）能够计量、评估和报告所有风险类别、产品和交易对手的风险状况，满足全面风险管理需要；</w:t>
      </w:r>
    </w:p>
    <w:p w14:paraId="5A2F6C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（四）支持按照业务条线、机构、资产类型、行业、地区、集中度等多个维</w:t>
      </w:r>
      <w:proofErr w:type="gramStart"/>
      <w:r>
        <w:rPr>
          <w:rFonts w:ascii="宋体" w:eastAsia="宋体" w:hAnsi="宋体" w:cs="宋体" w:hint="eastAsia"/>
          <w:sz w:val="24"/>
        </w:rPr>
        <w:t>度展示</w:t>
      </w:r>
      <w:proofErr w:type="gramEnd"/>
      <w:r>
        <w:rPr>
          <w:rFonts w:ascii="宋体" w:eastAsia="宋体" w:hAnsi="宋体" w:cs="宋体" w:hint="eastAsia"/>
          <w:sz w:val="24"/>
        </w:rPr>
        <w:t>和报告风险暴露情况；</w:t>
      </w:r>
    </w:p>
    <w:p w14:paraId="6862BE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（五）支持不同频率的定期报告和压力情况下的数据加工和风险加总需求；</w:t>
      </w:r>
    </w:p>
    <w:p w14:paraId="2F37BC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（六）支持压力测试工作，评估各种不利情景对银行业金融机构及主要业务</w:t>
      </w:r>
      <w:r>
        <w:rPr>
          <w:rFonts w:ascii="宋体" w:eastAsia="宋体" w:hAnsi="宋体" w:cs="宋体" w:hint="eastAsia"/>
          <w:sz w:val="24"/>
        </w:rPr>
        <w:lastRenderedPageBreak/>
        <w:t>条线的影响。</w:t>
      </w:r>
    </w:p>
    <w:p w14:paraId="083C7D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银行业金融机构应当建立与业务规模、风险状况等相匹配的信息科技基础设施。</w:t>
      </w:r>
    </w:p>
    <w:p w14:paraId="13B0D4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银行业金融机构应当建立健全数据质量控制机制，积累真实、准确、连续、完整的内部和外部数据，用于风险识别、计量、评估、监测、报告，以及资本和流动性充足情况的评估。</w:t>
      </w:r>
    </w:p>
    <w:p w14:paraId="01CA14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内部控制和审计</w:t>
      </w:r>
    </w:p>
    <w:p w14:paraId="4091A4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银行业金融机构应当合理确定各项业务活动和管理活动的风险控制点，采取适当的控制措施，执行标准统一的业务流程和管理流程，确保规范运作。</w:t>
      </w:r>
    </w:p>
    <w:p w14:paraId="2E6E60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银行业金融机构应当将全面风险管理纳入内部审计范畴，定期审查和评价全面风险管理的充分性和有效性。</w:t>
      </w:r>
    </w:p>
    <w:p w14:paraId="5B851B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银行业金融机构内部审计活动应独立于业务经营、风险管理和合</w:t>
      </w:r>
      <w:proofErr w:type="gramStart"/>
      <w:r>
        <w:rPr>
          <w:rFonts w:ascii="宋体" w:eastAsia="宋体" w:hAnsi="宋体" w:cs="宋体" w:hint="eastAsia"/>
          <w:sz w:val="24"/>
        </w:rPr>
        <w:t>规</w:t>
      </w:r>
      <w:proofErr w:type="gramEnd"/>
      <w:r>
        <w:rPr>
          <w:rFonts w:ascii="宋体" w:eastAsia="宋体" w:hAnsi="宋体" w:cs="宋体" w:hint="eastAsia"/>
          <w:sz w:val="24"/>
        </w:rPr>
        <w:t>管理，遵循独立性、客观性原则，不断提升内部审计人员的专业能力和职业操守。</w:t>
      </w:r>
    </w:p>
    <w:p w14:paraId="1C6B95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全面风险管理的内部审计报告应当直接提交董事会和监事会。董事会应当针对内部审计发现的问题，督促高级管理层及时采取整改措施。内部审计部门应当跟踪检查整改措施的实施情况，并及时向董事会提交有关报告。</w:t>
      </w:r>
    </w:p>
    <w:p w14:paraId="6652DF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监督管理</w:t>
      </w:r>
    </w:p>
    <w:p w14:paraId="14537F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第四十七条 银行业金融机构应当将风险管理策略、风险偏好、重大风险管理政策和程序等报送银行业监督管理机构，并至少按年度报送全面风险管理报告。</w:t>
      </w:r>
    </w:p>
    <w:p w14:paraId="625A64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第四十八条 银行业监督管理机构应当将银行业金融机构全面风险管理纳入法人监管体系中，并根据本指引全面评估银行业金融机构风险管理体系的健全性和有效性，提出监管意见，督促银行业金融机构持续加以完善。</w:t>
      </w:r>
    </w:p>
    <w:p w14:paraId="40E11A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第四十九条 银行业监督管理机构通过非现场监管和现场检查等实施对银行业金融机构全面风险管理的持续监管，具体方式包括但不限于监管评级、风险提示、现场检查、监管通报、监管会谈、与内外部审计师会谈等。</w:t>
      </w:r>
    </w:p>
    <w:p w14:paraId="16BD8D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第五十条 银行业监督管理机构应当就全面风险管理情况与银行业金融机构董事会、监事会、高级管理层等进行充分沟通，并视情况在银行业金融机构董事会、监事会会议上通报。</w:t>
      </w:r>
    </w:p>
    <w:p w14:paraId="00F96C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第五十一条 对不能满足本指引及其他规范性文件中关于全面风险管理要求的银行业金融机构，银行业监督管理机构可以要求其制定整改方案，责令限期改正，并视情况采取相应的监管措施。</w:t>
      </w:r>
    </w:p>
    <w:p w14:paraId="7BCFA9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第八章 附则</w:t>
      </w:r>
    </w:p>
    <w:p w14:paraId="68A464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第五十二条 各类具体风险的监管要求按照银行业监督管理机构的有关规定执行。</w:t>
      </w:r>
    </w:p>
    <w:p w14:paraId="05AB23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第五十三条 经银行业监督管理机构批准设立的其他金融机构参照本指引执行。</w:t>
      </w:r>
    </w:p>
    <w:p w14:paraId="116B4B7D"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第五十四条 本指引自2016年11月1日起施行。本指引实施前已有规范性文件如与本指引不一致的，按照本指引执行。</w:t>
      </w:r>
    </w:p>
    <w:p w14:paraId="5C3BB7A0"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103.《中国银监会关于银行业金融机构法律顾问工作的指导意见》</w:t>
      </w:r>
      <w:r>
        <w:rPr>
          <w:rFonts w:ascii="宋体" w:eastAsia="宋体" w:hAnsi="宋体" w:cs="宋体" w:hint="eastAsia"/>
          <w:b/>
          <w:bCs/>
          <w:sz w:val="24"/>
        </w:rPr>
        <w:tab/>
      </w:r>
    </w:p>
    <w:p w14:paraId="7A005E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7B2F70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文号：银监发〔2016〕49号</w:t>
      </w:r>
    </w:p>
    <w:p w14:paraId="660AB377"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局，各政策性银行、大型银行、股份制银行，邮储银行，外资银行，金融资产管理公司，其他会管金融机构：</w:t>
      </w:r>
    </w:p>
    <w:p w14:paraId="4393D7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为贯彻党的十八届四中全会精神、《法治政府建设实施纲要（2015-2020年）》、《中共中央办公厅 国务院办公厅印发&lt;关于推行法律顾问制度和公职律师公司律师制度的意见&gt;的通知》（中办发〔2016〕30号），落实《中国银监会党委关于贯彻落实〈中共中央关于全面推进依法治国若干重大问题的决定〉的指导意见》（</w:t>
      </w:r>
      <w:proofErr w:type="gramStart"/>
      <w:r>
        <w:rPr>
          <w:rFonts w:ascii="宋体" w:eastAsia="宋体" w:hAnsi="宋体" w:cs="宋体" w:hint="eastAsia"/>
          <w:sz w:val="24"/>
        </w:rPr>
        <w:t>银监党发</w:t>
      </w:r>
      <w:proofErr w:type="gramEnd"/>
      <w:r>
        <w:rPr>
          <w:rFonts w:ascii="宋体" w:eastAsia="宋体" w:hAnsi="宋体" w:cs="宋体" w:hint="eastAsia"/>
          <w:sz w:val="24"/>
        </w:rPr>
        <w:t>〔2015〕5号）要求，加强银行业法治建设，提升银行业金融机构法律风险管理水平，促进银行业金融机构合法稳健经营，现就银行业金融机构法律顾问工作提出以下意见：</w:t>
      </w:r>
    </w:p>
    <w:p w14:paraId="19CFE7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一、银行业监督管理机构监督、指导银行业金融机构法律顾问工作。银行业金融机构应当按照本指导意见，建立健全法律顾问制度，完善法律风险管理框架，将法律顾问工作纳入全面风险管理体系。</w:t>
      </w:r>
    </w:p>
    <w:p w14:paraId="57FAC1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银行业金融机构法律顾问，是指在银行业金融机构中从事法律工作的专业人员。在银行业金融机构中拟担任法律顾问的人员应当具有法律职业资格或者律师资格；在银行业金融机构中已担任法律顾问但未取得法律职业资格或者律师资格的人员，可以继续履行法律顾问职责。</w:t>
      </w:r>
    </w:p>
    <w:p w14:paraId="49E175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三、银行业金融机构法律顾问享有下列权利：</w:t>
      </w:r>
    </w:p>
    <w:p w14:paraId="696974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（一）处理银行业金融机构经营、管理和决策中的法律工作；</w:t>
      </w:r>
    </w:p>
    <w:p w14:paraId="0D9ADD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（二）列席本机构经营管理决策的相关会议;</w:t>
      </w:r>
    </w:p>
    <w:p w14:paraId="092BB5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（三）对涉嫌损害银行业金融机构合法权益和银行业消费者合法权益，违反法律、行政法规、银行业监督管理机构等部门发布的规章和规范性文件的行为，提出意见和建议；</w:t>
      </w:r>
    </w:p>
    <w:p w14:paraId="6CEAFC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（四）根据工作需要查阅本机构有关文件、资料，询问有关人员；</w:t>
      </w:r>
    </w:p>
    <w:p w14:paraId="0DD732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（五）独立开展工作，不受其他部门干涉；</w:t>
      </w:r>
    </w:p>
    <w:p w14:paraId="13B3F2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（六）法律、行政法规、银行业监督管理机构等部门发布的规章和规范性文件及银行业金融机构授予的其他权利。</w:t>
      </w:r>
    </w:p>
    <w:p w14:paraId="796814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四、银行业金融机构法律顾问应当履行下列义务：</w:t>
      </w:r>
    </w:p>
    <w:p w14:paraId="28F557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（一）遵守法律、行政法规、银行业监督管理机构等部门发布的规章和规范性文件以及银行业金融机构规章制度，恪守职业道德和执业纪律；</w:t>
      </w:r>
    </w:p>
    <w:p w14:paraId="6720FA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（二）维护银行业金融机构的合法权益和银行业消费者合法权益，促进银行业金融机构依法经营；</w:t>
      </w:r>
    </w:p>
    <w:p w14:paraId="7738FE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（三）对所提出的法律意见、起草的法律文书以及从事的其他法律工作的合法性负责；</w:t>
      </w:r>
    </w:p>
    <w:p w14:paraId="60803B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（四）法律、行政法规、银行业监督管理机构等部门发布的规章和规范性文件以及银行业金融机构规定的其他义务。</w:t>
      </w:r>
    </w:p>
    <w:p w14:paraId="327820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五、银行业金融机构应当建立规范的法律顾问工作制度，规定法律顾问的职务序列、考评体系以及处理银行业金融机构法律工作的权限和流程等内容，确保银行业金融机构法律顾问顺利开展工作。</w:t>
      </w:r>
    </w:p>
    <w:p w14:paraId="458A72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六、各政策性银行、大型银行、股份制银行，邮储银行，金融资产管理公司应当设置专职总法律顾问，专职总法律顾问不得兼任单位内部董事、监事及高级管理</w:t>
      </w:r>
      <w:proofErr w:type="gramStart"/>
      <w:r>
        <w:rPr>
          <w:rFonts w:ascii="宋体" w:eastAsia="宋体" w:hAnsi="宋体" w:cs="宋体" w:hint="eastAsia"/>
          <w:sz w:val="24"/>
        </w:rPr>
        <w:t>层其他</w:t>
      </w:r>
      <w:proofErr w:type="gramEnd"/>
      <w:r>
        <w:rPr>
          <w:rFonts w:ascii="宋体" w:eastAsia="宋体" w:hAnsi="宋体" w:cs="宋体" w:hint="eastAsia"/>
          <w:sz w:val="24"/>
        </w:rPr>
        <w:t>职务。外资银行、城市商业银行、农村商业银行、信托公司等银行业监督管理机构批准设立的其他金融机构应当设置总法律顾问。</w:t>
      </w:r>
    </w:p>
    <w:p w14:paraId="6B444C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银行业金融机构总法律顾问对行长（总经理）负责。银行业金融机构应当将总法律顾问制度纳入本行规章制度，并建立总法律顾问与董事会进行直接沟通的机制。总法律顾问是否纳入高管人员管理由各银行业金融机构根据经营状况自行确定；如纳入高管人员管理的，应当符合本指导意见、《银行业金融机构董事（理事）和高级管理人员任职资格管理办法》及银行业监督管理机构其他规章、规范性文件对于银行业金融机构高级管理人员的要求。</w:t>
      </w:r>
    </w:p>
    <w:p w14:paraId="362792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八、银行业金融机构总法律顾问应当具备下列条件：</w:t>
      </w:r>
    </w:p>
    <w:p w14:paraId="272E0B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（一）熟悉国家法律、行政法规及监管规则；</w:t>
      </w:r>
    </w:p>
    <w:p w14:paraId="2C81FD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（二）熟悉银行业金融机构法律风险管理的制度、流程；</w:t>
      </w:r>
    </w:p>
    <w:p w14:paraId="11D7BC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（三）熟悉银行业金融机构经营管理；</w:t>
      </w:r>
    </w:p>
    <w:p w14:paraId="1C7366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（四）具有本科以上学历或者通过国家司法考试，并且在金融业法律部门工作6年以上,具有法律工作经验和能力；</w:t>
      </w:r>
    </w:p>
    <w:p w14:paraId="1239E9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九、银行业金融机构总法律顾问作为高管人员管理的，应当通过银行业监督管理机构的任职资格审查。任职资格审查过程中，应当听取银行业监督管理机构法律部门意见。</w:t>
      </w:r>
    </w:p>
    <w:p w14:paraId="52B564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十、银行业金融机构总法律顾问应独立、客观、公正地开展法律工作并发表法律意见，履行下列职责：</w:t>
      </w:r>
    </w:p>
    <w:p w14:paraId="13E094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（一）贯彻落实法律、行政法规、银行业监督管理机构等部门发布的规章和规范性文件要求；</w:t>
      </w:r>
    </w:p>
    <w:p w14:paraId="29A9F8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（二）负责银行业金融机构法律风险管理工作，统一协调银行业金融机构法律工作；</w:t>
      </w:r>
    </w:p>
    <w:p w14:paraId="78C071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（三）参与银行业金融机构重大经营决策，并对相关法律风险提出意见；</w:t>
      </w:r>
    </w:p>
    <w:p w14:paraId="09D697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（四）负责本单位法律工作体系的建立，管理本单位的法律工作部门；</w:t>
      </w:r>
    </w:p>
    <w:p w14:paraId="087827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（五）负责指导、协调分支机构的法律工作，对分支机构法律工作负责人的任免提出建议；</w:t>
      </w:r>
    </w:p>
    <w:p w14:paraId="048072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（六）负责指导协调银行业金融机构并表管理子公司的法律工作；</w:t>
      </w:r>
    </w:p>
    <w:p w14:paraId="4EAEB3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（七）其他应当由银行业金融机构总法律顾问履行的职责。</w:t>
      </w:r>
    </w:p>
    <w:p w14:paraId="1F1F2A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十一、银行业金融机构应当于每年一季度末向银行业监督管理机构法律部门及机构监管部门报送法律顾问工作报告。</w:t>
      </w:r>
    </w:p>
    <w:p w14:paraId="09A442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银行业金融机构总法律顾问应当每年向行长（总经理）提交法律风险报告。银行业金融机构发生重大法律风险时，总法律顾问应当向行长（总经理）报告，同时报告银行业监督管理机构法律部门及机构监管部门。</w:t>
      </w:r>
    </w:p>
    <w:p w14:paraId="7D940D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十三、银行业金融机构总法律顾问应当参与银行业金融机构的重大决策。在提交决策机构审议的重要事项议案中，应当附有经总法律顾问签字的揭示风险和应对措施的专项法律风险评估报告，总法律顾问有权独立提出法律意见。银行业金融机构总法律顾问有权对银行业金融机构重大关联交易独立提出法律意见。</w:t>
      </w:r>
    </w:p>
    <w:p w14:paraId="33D809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十四、银行业金融机构法律工作机构是指银行业金融机构设置的专门承担银行业金融机构法律工作的职能部门。法律工作机构负责人向总法律顾问负责。</w:t>
      </w:r>
    </w:p>
    <w:p w14:paraId="01EC82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五、银行业金融机构应当根据工作需要为法律工作机构配备与其业务规模相适应的法律顾问。银行业金融机构总行（公司）应设置独立的法律工作机构。银行业金融机构分行（公司）应设置独立的法律工作机构或岗位。</w:t>
      </w:r>
    </w:p>
    <w:p w14:paraId="694A5A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十六、银行业金融机构法律工作机构履行下列职责：</w:t>
      </w:r>
    </w:p>
    <w:p w14:paraId="6479FB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（一）起草或者参与起草、审核银行业金融机构重要规章制度；</w:t>
      </w:r>
    </w:p>
    <w:p w14:paraId="36C1B4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（二）对章程制定、组织架构设计、管理职能划分等进行法律论证；</w:t>
      </w:r>
    </w:p>
    <w:p w14:paraId="40325A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（三）起草或审核银行业金融机构合同，制定标准合同文本；</w:t>
      </w:r>
    </w:p>
    <w:p w14:paraId="66CAFD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（四）参与银行业金融机构的分立、合并、破产、解散等重大经济活动，处理有关法律工作；</w:t>
      </w:r>
    </w:p>
    <w:p w14:paraId="146412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（五）对银行业金融机构产品及其创新、经营行为等进行法律审查，并提出法律意见；</w:t>
      </w:r>
    </w:p>
    <w:p w14:paraId="5E1E9E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（六）负责银行业金融机构的法治宣传教育和培训工作，组织建立银行业金融机构法律顾问业务培训制度；</w:t>
      </w:r>
    </w:p>
    <w:p w14:paraId="57A95F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（七）对银行业金融机构及分支机构违反法律、行政法规的行为提出意见，协助有关部门进行整改；</w:t>
      </w:r>
    </w:p>
    <w:p w14:paraId="17C48D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（八）负责银行业金融机构商标、专利等知识产权保护工作；</w:t>
      </w:r>
    </w:p>
    <w:p w14:paraId="6A6DA9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（九）参与银行业金融机构的诉讼、仲裁、调解、行政复议和听证等活动；</w:t>
      </w:r>
    </w:p>
    <w:p w14:paraId="0C05B3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（十）加强法治文化教育，负责对职工进行法治宣传教育；</w:t>
      </w:r>
    </w:p>
    <w:p w14:paraId="51C94F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（十一）负责选聘律师，与律师进行沟通，并对其工作进行监督和评价；</w:t>
      </w:r>
    </w:p>
    <w:p w14:paraId="330C1D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（十二）与银行业监督管理机构就重要法律问题进行沟通；</w:t>
      </w:r>
    </w:p>
    <w:p w14:paraId="72D583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（十三）代表银行业金融机构对外开展法律协调工作；</w:t>
      </w:r>
    </w:p>
    <w:p w14:paraId="041486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（十四）负责银行业金融机构重大法律问题的研究工作；</w:t>
      </w:r>
    </w:p>
    <w:p w14:paraId="2289B2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（十五）办理银行业金融机构总法律顾问交办的其他法律工作。</w:t>
      </w:r>
    </w:p>
    <w:p w14:paraId="178EE8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七、银行业金融机构的境外机构应当设置独立的法律工作机构，定期向总行（公司）法律部门报告工作。总行（公司）法律部门要加强对境外机构法律工作机构的指导和监督。境外机构法律工作机构应该承担本指导意见所规定的职责，并重点关注属地监管国家（地区）的国别风险状况、熟悉属地监管国家（地区）的法律制度、加强与属地监管国家（地区）监管当局、警察当局及司法机关的沟通协调。</w:t>
      </w:r>
    </w:p>
    <w:p w14:paraId="607A35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十八、银行业金融机构应当建立法律风险管理评价与考核制度，将法律风险管理纳入分支机构、业务部门及其负责人绩效考核指标体系。</w:t>
      </w:r>
    </w:p>
    <w:p w14:paraId="4B5E19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十九、银行业金融机构应当建立法律风险责任追究机制，依法追究对于银行业金融机构重大法律风险负有责任的负责人与工作人员的责任。</w:t>
      </w:r>
    </w:p>
    <w:p w14:paraId="7411F3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二十、银行业金融机构应当保障法律顾问和总法律顾问的各项权利，为其开展工作创造条件。银行业金融机构应当设立专项法律经费预算，为法律工作提供必要的组织、制度和物质等保障。</w:t>
      </w:r>
    </w:p>
    <w:p w14:paraId="6FB8FC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一、银行业监督管理机构应当加强对银行业金融机构法律顾问工作情况的监督检查，定期对银行业金融机构法律顾问工作情况和法律风险管理的有效性进行评价，并将评价结果作为对银行业金融机构进行监管评级的重要因素之一。</w:t>
      </w:r>
    </w:p>
    <w:p w14:paraId="26B409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二十二、银行业监督管理机构要定期对本指导意见的执行情况进行监督检查，对银行业金融机构法律顾问工作进行通报。</w:t>
      </w:r>
    </w:p>
    <w:p w14:paraId="63EC23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二十三、银行业金融机构有下列情形的，由银行业监督管理机构按照法律、行政法规及规章规定，根据其违法违规情节，对银行业金融机构或直接负责的董事、高级管理人员和其他责任人员采取监管措施：</w:t>
      </w:r>
    </w:p>
    <w:p w14:paraId="751339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（一）未按照规定建立健全法律顾问制度的；</w:t>
      </w:r>
    </w:p>
    <w:p w14:paraId="7D7EDB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（二）重大经营活动未经过法律审核，或虽经审核但不采纳正确法律意见造成重大损失的。</w:t>
      </w:r>
    </w:p>
    <w:p w14:paraId="06A8DC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二十四、银行业金融机构总法律顾问和法律顾问有下列情形的，由银行业监督管理机构按照法律、行政法规及规章规定，根据其违法违规情节，对其采取监管措施：</w:t>
      </w:r>
    </w:p>
    <w:p w14:paraId="171463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（一）滥用职权、谋取私利，给银行业金融机构造成重大损失的；</w:t>
      </w:r>
    </w:p>
    <w:p w14:paraId="043335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（二）明知银行业金融机构存在违法违规行为，</w:t>
      </w:r>
      <w:proofErr w:type="gramStart"/>
      <w:r>
        <w:rPr>
          <w:rFonts w:ascii="宋体" w:eastAsia="宋体" w:hAnsi="宋体" w:cs="宋体" w:hint="eastAsia"/>
          <w:sz w:val="24"/>
        </w:rPr>
        <w:t>不</w:t>
      </w:r>
      <w:proofErr w:type="gramEnd"/>
      <w:r>
        <w:rPr>
          <w:rFonts w:ascii="宋体" w:eastAsia="宋体" w:hAnsi="宋体" w:cs="宋体" w:hint="eastAsia"/>
          <w:sz w:val="24"/>
        </w:rPr>
        <w:t>警示、不制止的。</w:t>
      </w:r>
    </w:p>
    <w:p w14:paraId="3BAA94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二十五、银行业金融机构可以外聘法律顾问，外聘法律顾问的具体管理细则由银行业金融机构自行制定。本指导意见中规定的法律顾问不包括外聘法律顾问。</w:t>
      </w:r>
    </w:p>
    <w:p w14:paraId="1A214C61"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二十六、2017年底前各政策性银行、大型银行、股份制银行，邮储银行，金融资产管理公司应当深入推进法律顾问制度，建立完善法律工作机制。外资银行、城市商业银行、农村商业银行、信托公司等机构应逐步建立法律顾问制度，到2020年全面建立与自身风险状况相适应的法律工作体系，有效提升银行业法律风险管理水平。本意</w:t>
      </w:r>
      <w:proofErr w:type="gramStart"/>
      <w:r>
        <w:rPr>
          <w:rFonts w:ascii="宋体" w:eastAsia="宋体" w:hAnsi="宋体" w:cs="宋体" w:hint="eastAsia"/>
          <w:sz w:val="24"/>
        </w:rPr>
        <w:t>见实施</w:t>
      </w:r>
      <w:proofErr w:type="gramEnd"/>
      <w:r>
        <w:rPr>
          <w:rFonts w:ascii="宋体" w:eastAsia="宋体" w:hAnsi="宋体" w:cs="宋体" w:hint="eastAsia"/>
          <w:sz w:val="24"/>
        </w:rPr>
        <w:t>中遇到的问题要及时向银行业监督管理机构报告。</w:t>
      </w:r>
    </w:p>
    <w:p w14:paraId="0A7BE2C2"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104.《中国银监会关于规范银行业服务企业走出去加强风险防控的指导意见》</w:t>
      </w:r>
    </w:p>
    <w:p w14:paraId="4DB6E4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7C753C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文号：银监发〔2017〕1号</w:t>
      </w:r>
    </w:p>
    <w:p w14:paraId="38AE6A59"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局，各政策性银行、大型银行、股份制银行，邮储银行，外资银行，银行业协会：</w:t>
      </w:r>
    </w:p>
    <w:p w14:paraId="163298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深入贯彻落实党中央、国务院关于共建“一带一路”、推进国际产能合作的决策部署，规范银行业金融机构境外经营行为，提升支持企业走出去服务能力，建立服务“一带一路”建设长期、稳定、可持续、风险可控的金融保障体系，现提出以下意见：</w:t>
      </w:r>
    </w:p>
    <w:p w14:paraId="2E18BF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一、总体要求</w:t>
      </w:r>
    </w:p>
    <w:p w14:paraId="067C4A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（一）明确战略定位。银行业金融机构应综合分析客户需求、外部环境以及自身优势，确立差异化、特色化的战略定位，统筹境内外机构布局和业务发展，制定并实施统一的境内外发展战略规划。</w:t>
      </w:r>
    </w:p>
    <w:p w14:paraId="694691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加强重点领域服务。银行业金融机构应积极贯彻落实“一带一路”战略，为企业走出去和国际产能合作提供优质金融服务。在风险可控、商业可持续的前提下，结合自身服务企业走出去的战略定位，主动对接重点领域重大境外项目建设，支持基础设施互联互通、国际产能合作和经贸产业合作区建设。</w:t>
      </w:r>
    </w:p>
    <w:p w14:paraId="53496F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丰富金融服务方式。银行业金融机构应围绕走出去企业的有效需求，加强有利于提高服务质量和效率、与自身风险管控能力相匹配的金融创新，拓展国际化融资模式，积极开展出口信贷、项目融资、银团贷款、贸易金融、投资银行、跨境人民币业务、金融市场、全球现金管理、资产管理、电子银行、金融租赁等相关金融服务。</w:t>
      </w:r>
    </w:p>
    <w:p w14:paraId="433A5B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加强公司治理。银行业金融机构应建立健全涵盖境外机构与业务的公司治理原则和框架，明确相应授权和责任，建立科学合理的决策、执行、监督、激励、问责等治理运行机制，提高内部控制的有效性，确保境外机构和业务发展</w:t>
      </w:r>
      <w:r>
        <w:rPr>
          <w:rFonts w:ascii="宋体" w:eastAsia="宋体" w:hAnsi="宋体" w:cs="宋体" w:hint="eastAsia"/>
          <w:sz w:val="24"/>
        </w:rPr>
        <w:lastRenderedPageBreak/>
        <w:t>符合自身整体战略。</w:t>
      </w:r>
    </w:p>
    <w:p w14:paraId="30D6FA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（五）强化风险管理。银行业金融机构应持续提升全面风险管理能力，加强与境外机构和业务有关的战略风险、信用风险、市场风险、合</w:t>
      </w:r>
      <w:proofErr w:type="gramStart"/>
      <w:r>
        <w:rPr>
          <w:rFonts w:ascii="宋体" w:eastAsia="宋体" w:hAnsi="宋体" w:cs="宋体" w:hint="eastAsia"/>
          <w:sz w:val="24"/>
        </w:rPr>
        <w:t>规</w:t>
      </w:r>
      <w:proofErr w:type="gramEnd"/>
      <w:r>
        <w:rPr>
          <w:rFonts w:ascii="宋体" w:eastAsia="宋体" w:hAnsi="宋体" w:cs="宋体" w:hint="eastAsia"/>
          <w:sz w:val="24"/>
        </w:rPr>
        <w:t>风险、国别风险、环境与社会风险、流动性风险以及操作风险的管理。高度重视综合经营带来的跨境跨业风险，健全覆盖所有境外机构与业务的并表管理框架。</w:t>
      </w:r>
    </w:p>
    <w:p w14:paraId="4242B5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鼓励良性竞争。银行业金融机构应严格遵守相关法律法规和境外项目管理规定，加强与商务部、发展改革委等部门以及我驻外使领馆的信息沟通，对未按照规定取得相关备案或核准文件的境外项目，不得提供融资。银行业金融机构应恪守商业伦理，坚决反对商业贿赂、侵犯商业秘密等不正当竞争行为。</w:t>
      </w:r>
    </w:p>
    <w:p w14:paraId="142CBE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健全责任追究制度。银行业金融机构应针对境外业务中各类违反法律法规和内部管理制度的行为，细化完善责任追究制度。属失职、失察导致风险事件发生的，应根据事件调查结果并视情节轻重，追究相关人员责任。对重大风险事件，应严格落实“双线问责、上追两级”要求。</w:t>
      </w:r>
    </w:p>
    <w:p w14:paraId="13A1E2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（八）加强保障能力建设。银行业金融机构应加快完善内部经营组织架构，严格内部政策和程序，加强总分行</w:t>
      </w:r>
      <w:proofErr w:type="gramStart"/>
      <w:r>
        <w:rPr>
          <w:rFonts w:ascii="宋体" w:eastAsia="宋体" w:hAnsi="宋体" w:cs="宋体" w:hint="eastAsia"/>
          <w:sz w:val="24"/>
        </w:rPr>
        <w:t>管理及条线</w:t>
      </w:r>
      <w:proofErr w:type="gramEnd"/>
      <w:r>
        <w:rPr>
          <w:rFonts w:ascii="宋体" w:eastAsia="宋体" w:hAnsi="宋体" w:cs="宋体" w:hint="eastAsia"/>
          <w:sz w:val="24"/>
        </w:rPr>
        <w:t>管理，建立健全全球客户管理体系，提升境内外协同效应。完善境外信息系统建设规划，提升基础数据质量，提高网络安全防护水平，全面加强信息系统对国际化运营的支持能力，满足境内外监管当局对机构报告、系统安全、数据安全、反洗钱、客户信息保护等方面的要求，建立突发事件应急预案。加快培养既精通金融业务，又熟悉境外法律、税务及监管制度的复合型国际化管理人才队伍。</w:t>
      </w:r>
    </w:p>
    <w:p w14:paraId="447BEC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二、加强信用风险管理</w:t>
      </w:r>
    </w:p>
    <w:p w14:paraId="613817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完善授权授信政策。银行业金融机构应加强境外授权管理，定期评估境外机构风险管理能力、业务需求和当地监管要求，重检或调整授权政策。加强境内外统一授信管理，将同一法人（集团）客户开展的境内外</w:t>
      </w:r>
      <w:proofErr w:type="gramStart"/>
      <w:r>
        <w:rPr>
          <w:rFonts w:ascii="宋体" w:eastAsia="宋体" w:hAnsi="宋体" w:cs="宋体" w:hint="eastAsia"/>
          <w:sz w:val="24"/>
        </w:rPr>
        <w:t>各类授信</w:t>
      </w:r>
      <w:proofErr w:type="gramEnd"/>
      <w:r>
        <w:rPr>
          <w:rFonts w:ascii="宋体" w:eastAsia="宋体" w:hAnsi="宋体" w:cs="宋体" w:hint="eastAsia"/>
          <w:sz w:val="24"/>
        </w:rPr>
        <w:t>业务纳入客户综合授信额度。完善涵盖境内</w:t>
      </w:r>
      <w:proofErr w:type="gramStart"/>
      <w:r>
        <w:rPr>
          <w:rFonts w:ascii="宋体" w:eastAsia="宋体" w:hAnsi="宋体" w:cs="宋体" w:hint="eastAsia"/>
          <w:sz w:val="24"/>
        </w:rPr>
        <w:t>外风险</w:t>
      </w:r>
      <w:proofErr w:type="gramEnd"/>
      <w:r>
        <w:rPr>
          <w:rFonts w:ascii="宋体" w:eastAsia="宋体" w:hAnsi="宋体" w:cs="宋体" w:hint="eastAsia"/>
          <w:sz w:val="24"/>
        </w:rPr>
        <w:t>敞口的集中度风险管理框架。</w:t>
      </w:r>
    </w:p>
    <w:p w14:paraId="3FF762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（十）强化尽职调查。银行业金融机构应遵循独立、全面、深入、审慎的原则，加强境外业务尽职调查和风险评估。深入分析项目所在地经济、法律、政治</w:t>
      </w:r>
      <w:r>
        <w:rPr>
          <w:rFonts w:ascii="宋体" w:eastAsia="宋体" w:hAnsi="宋体" w:cs="宋体" w:hint="eastAsia"/>
          <w:sz w:val="24"/>
        </w:rPr>
        <w:lastRenderedPageBreak/>
        <w:t>和社会环境，审慎评估项目盈利能力和相关风险，独立</w:t>
      </w:r>
      <w:proofErr w:type="gramStart"/>
      <w:r>
        <w:rPr>
          <w:rFonts w:ascii="宋体" w:eastAsia="宋体" w:hAnsi="宋体" w:cs="宋体" w:hint="eastAsia"/>
          <w:sz w:val="24"/>
        </w:rPr>
        <w:t>研判项目</w:t>
      </w:r>
      <w:proofErr w:type="gramEnd"/>
      <w:r>
        <w:rPr>
          <w:rFonts w:ascii="宋体" w:eastAsia="宋体" w:hAnsi="宋体" w:cs="宋体" w:hint="eastAsia"/>
          <w:sz w:val="24"/>
        </w:rPr>
        <w:t>可行性。</w:t>
      </w:r>
    </w:p>
    <w:p w14:paraId="109463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对产能合作项目，应综合分析其销售渠道、目标市场容量和竞争优势，审慎评估未来还款能力；对境外项目所涉及的工程承包商等第三方机构，应调查其是否符合当地监管、法律、环保等要求。</w:t>
      </w:r>
    </w:p>
    <w:p w14:paraId="27AD7F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坚持自主审贷。银行业金融机构服务企业走出去，应依据“自主经营，自担风险，自负盈亏，自我约束”的商业化原则自主审贷，严格把关，注重风险管控和成本约束，审慎判断项目收益，科学评估项目自身现金流的覆盖能力，科学设定合同条款，落实还款来源。</w:t>
      </w:r>
    </w:p>
    <w:p w14:paraId="460AD0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加强贷后管理。银行业金融机构应加强对境外信贷资产质量的监测分析，根据境外项目的授信规模和风险，实施差异化贷后管理。对于风险较高的境外贷款业务，应加强现场检查与监督，密切关注工程进度等情况，强化资金监管，防范信贷资金挪用和逃废债等行为。当客户出现重大风险情况时，应及时采取有效措施，缓释风险。对当地无分支机构或代理行进</w:t>
      </w:r>
      <w:proofErr w:type="gramStart"/>
      <w:r>
        <w:rPr>
          <w:rFonts w:ascii="宋体" w:eastAsia="宋体" w:hAnsi="宋体" w:cs="宋体" w:hint="eastAsia"/>
          <w:sz w:val="24"/>
        </w:rPr>
        <w:t>行有效</w:t>
      </w:r>
      <w:proofErr w:type="gramEnd"/>
      <w:r>
        <w:rPr>
          <w:rFonts w:ascii="宋体" w:eastAsia="宋体" w:hAnsi="宋体" w:cs="宋体" w:hint="eastAsia"/>
          <w:sz w:val="24"/>
        </w:rPr>
        <w:t>贷后管理的非出口信贷类业务，应审慎介入。</w:t>
      </w:r>
    </w:p>
    <w:p w14:paraId="27F734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（十三）加强担保管理和风险分担。银行业金融机构应严格遵守境外业务所在地担保相关法律法规，审慎评估保证和抵质押品的合</w:t>
      </w:r>
      <w:proofErr w:type="gramStart"/>
      <w:r>
        <w:rPr>
          <w:rFonts w:ascii="宋体" w:eastAsia="宋体" w:hAnsi="宋体" w:cs="宋体" w:hint="eastAsia"/>
          <w:sz w:val="24"/>
        </w:rPr>
        <w:t>规</w:t>
      </w:r>
      <w:proofErr w:type="gramEnd"/>
      <w:r>
        <w:rPr>
          <w:rFonts w:ascii="宋体" w:eastAsia="宋体" w:hAnsi="宋体" w:cs="宋体" w:hint="eastAsia"/>
          <w:sz w:val="24"/>
        </w:rPr>
        <w:t>性、充分性及可执行性，跟踪监测抵质押品价值变动、抵质押比率和保证人的担保能力。</w:t>
      </w:r>
    </w:p>
    <w:p w14:paraId="5195FD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应加强与相关保险公司、境内外同业及保理商等机构的合作，通过贸易保险、项目保险、组建银团、国际保理等方式，合理分担风险。对中国出口信用保险公司的政策性承保业务，应按照相关监管规定计算贷款风险权重，进行贷款分类。对于采取上述风险分担机制的业务，银行业金融机构仍应注重全流程风险管理，加强贸易背景真实性审查，切实履行本机构在风险分担机制中的义务。</w:t>
      </w:r>
    </w:p>
    <w:p w14:paraId="023536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（十四）防范重点领域风险。银行业金融机构开展跨境并购贷款业务，应综合考虑并购方的资信状况、经营管理能力、财务稳健性、自筹资本金充足情况，并购标的</w:t>
      </w:r>
      <w:proofErr w:type="gramStart"/>
      <w:r>
        <w:rPr>
          <w:rFonts w:ascii="宋体" w:eastAsia="宋体" w:hAnsi="宋体" w:cs="宋体" w:hint="eastAsia"/>
          <w:sz w:val="24"/>
        </w:rPr>
        <w:t>的</w:t>
      </w:r>
      <w:proofErr w:type="gramEnd"/>
      <w:r>
        <w:rPr>
          <w:rFonts w:ascii="宋体" w:eastAsia="宋体" w:hAnsi="宋体" w:cs="宋体" w:hint="eastAsia"/>
          <w:sz w:val="24"/>
        </w:rPr>
        <w:t>市场前景、未来盈利、国别风险、并购协同效应等因素，充分考虑并购过程中的交易操作风险和业务整合风险，审慎介入周期性行业及跨行业的境外</w:t>
      </w:r>
      <w:r>
        <w:rPr>
          <w:rFonts w:ascii="宋体" w:eastAsia="宋体" w:hAnsi="宋体" w:cs="宋体" w:hint="eastAsia"/>
          <w:sz w:val="24"/>
        </w:rPr>
        <w:lastRenderedPageBreak/>
        <w:t>并购项目。</w:t>
      </w:r>
    </w:p>
    <w:p w14:paraId="4E86ED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银行业金融机构开展内保外贷等跨境担保业务，应加强融资第一还款来源分析，审慎评估借款及担保主体的风险承受能力，并严格遵守跨境人民币业务和外汇管理的有关规定。</w:t>
      </w:r>
    </w:p>
    <w:p w14:paraId="295A64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三、加强国别风险管理</w:t>
      </w:r>
    </w:p>
    <w:p w14:paraId="0BBFAD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五）健全国别风险管理体系。银行业金融机构应建立与本机构战略目标、风险敞口规模和复杂程度相适应的国别风险管理体系，并将国别风险管理纳入全面风险管理框架，国别风险管理的政策和程序应经董事会批准。董事会应充分履行对高级管理层的监督职责，确保国别风险管理政策和程序得到有效实施。</w:t>
      </w:r>
    </w:p>
    <w:p w14:paraId="5363DF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六）完善国别风险评估评级程序。银行业金融机构应完善国别风险评估和内部评级程序，对已经开展和计划开展业务的国家和地区逐一进行风险评估和评级。在制定业务发展战略、设定国别风险限额、评估借款人还款能力和审批授信时，充分考虑国别风险评估和评级结果。</w:t>
      </w:r>
    </w:p>
    <w:p w14:paraId="398431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七）提升国别风险限额管理能力。银行业金融机构应完善国别风险限额管理信息系统，夯实业务数据基础，在综合考虑跨境业务发展战略、国别风险评级和自身风险偏好等因素的基础上，合理设定并细化覆盖表内外项目的国别风险限额，定期进行评估和调整。当特定国家或地区风险状况发生显著变化时，应提高评估和调整频率。</w:t>
      </w:r>
    </w:p>
    <w:p w14:paraId="1F7024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（十八）健全应急处置机制。银行业金融机构应加强国别风险的监测、</w:t>
      </w:r>
      <w:proofErr w:type="gramStart"/>
      <w:r>
        <w:rPr>
          <w:rFonts w:ascii="宋体" w:eastAsia="宋体" w:hAnsi="宋体" w:cs="宋体" w:hint="eastAsia"/>
          <w:sz w:val="24"/>
        </w:rPr>
        <w:t>研</w:t>
      </w:r>
      <w:proofErr w:type="gramEnd"/>
      <w:r>
        <w:rPr>
          <w:rFonts w:ascii="宋体" w:eastAsia="宋体" w:hAnsi="宋体" w:cs="宋体" w:hint="eastAsia"/>
          <w:sz w:val="24"/>
        </w:rPr>
        <w:t>判，开展国别风险压力测试，分析风险传染渠道，制定国别风险应急预案。明确在不同情况下应采取的风险缓释措施，通过交易结构安排和法律安排等，缓释特定国家风险。</w:t>
      </w:r>
    </w:p>
    <w:p w14:paraId="2C356C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（十九）严格计提国别风险准备金。银行业金融机构应严格按照《银行业金融机构国别风险管理指引》要求，充足计提国别风险准备金，并根据国别风险的变化予以动态调整。</w:t>
      </w:r>
    </w:p>
    <w:p w14:paraId="18853D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四、加强合</w:t>
      </w:r>
      <w:proofErr w:type="gramStart"/>
      <w:r>
        <w:rPr>
          <w:rFonts w:ascii="宋体" w:eastAsia="宋体" w:hAnsi="宋体" w:cs="宋体" w:hint="eastAsia"/>
          <w:sz w:val="24"/>
        </w:rPr>
        <w:t>规</w:t>
      </w:r>
      <w:proofErr w:type="gramEnd"/>
      <w:r>
        <w:rPr>
          <w:rFonts w:ascii="宋体" w:eastAsia="宋体" w:hAnsi="宋体" w:cs="宋体" w:hint="eastAsia"/>
          <w:sz w:val="24"/>
        </w:rPr>
        <w:t>风险管理</w:t>
      </w:r>
    </w:p>
    <w:p w14:paraId="4A91F7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（二十）加强合</w:t>
      </w:r>
      <w:proofErr w:type="gramStart"/>
      <w:r>
        <w:rPr>
          <w:rFonts w:ascii="宋体" w:eastAsia="宋体" w:hAnsi="宋体" w:cs="宋体" w:hint="eastAsia"/>
          <w:sz w:val="24"/>
        </w:rPr>
        <w:t>规</w:t>
      </w:r>
      <w:proofErr w:type="gramEnd"/>
      <w:r>
        <w:rPr>
          <w:rFonts w:ascii="宋体" w:eastAsia="宋体" w:hAnsi="宋体" w:cs="宋体" w:hint="eastAsia"/>
          <w:sz w:val="24"/>
        </w:rPr>
        <w:t>体系建设。银行业金融机构应健全境内外合</w:t>
      </w:r>
      <w:proofErr w:type="gramStart"/>
      <w:r>
        <w:rPr>
          <w:rFonts w:ascii="宋体" w:eastAsia="宋体" w:hAnsi="宋体" w:cs="宋体" w:hint="eastAsia"/>
          <w:sz w:val="24"/>
        </w:rPr>
        <w:t>规</w:t>
      </w:r>
      <w:proofErr w:type="gramEnd"/>
      <w:r>
        <w:rPr>
          <w:rFonts w:ascii="宋体" w:eastAsia="宋体" w:hAnsi="宋体" w:cs="宋体" w:hint="eastAsia"/>
          <w:sz w:val="24"/>
        </w:rPr>
        <w:t>风险管理体系，加强合</w:t>
      </w:r>
      <w:proofErr w:type="gramStart"/>
      <w:r>
        <w:rPr>
          <w:rFonts w:ascii="宋体" w:eastAsia="宋体" w:hAnsi="宋体" w:cs="宋体" w:hint="eastAsia"/>
          <w:sz w:val="24"/>
        </w:rPr>
        <w:t>规</w:t>
      </w:r>
      <w:proofErr w:type="gramEnd"/>
      <w:r>
        <w:rPr>
          <w:rFonts w:ascii="宋体" w:eastAsia="宋体" w:hAnsi="宋体" w:cs="宋体" w:hint="eastAsia"/>
          <w:sz w:val="24"/>
        </w:rPr>
        <w:t>文化建设，明确合</w:t>
      </w:r>
      <w:proofErr w:type="gramStart"/>
      <w:r>
        <w:rPr>
          <w:rFonts w:ascii="宋体" w:eastAsia="宋体" w:hAnsi="宋体" w:cs="宋体" w:hint="eastAsia"/>
          <w:sz w:val="24"/>
        </w:rPr>
        <w:t>规</w:t>
      </w:r>
      <w:proofErr w:type="gramEnd"/>
      <w:r>
        <w:rPr>
          <w:rFonts w:ascii="宋体" w:eastAsia="宋体" w:hAnsi="宋体" w:cs="宋体" w:hint="eastAsia"/>
          <w:sz w:val="24"/>
        </w:rPr>
        <w:t>政策和程序，强化独立的合</w:t>
      </w:r>
      <w:proofErr w:type="gramStart"/>
      <w:r>
        <w:rPr>
          <w:rFonts w:ascii="宋体" w:eastAsia="宋体" w:hAnsi="宋体" w:cs="宋体" w:hint="eastAsia"/>
          <w:sz w:val="24"/>
        </w:rPr>
        <w:t>规</w:t>
      </w:r>
      <w:proofErr w:type="gramEnd"/>
      <w:r>
        <w:rPr>
          <w:rFonts w:ascii="宋体" w:eastAsia="宋体" w:hAnsi="宋体" w:cs="宋体" w:hint="eastAsia"/>
          <w:sz w:val="24"/>
        </w:rPr>
        <w:t>职能，确保合</w:t>
      </w:r>
      <w:proofErr w:type="gramStart"/>
      <w:r>
        <w:rPr>
          <w:rFonts w:ascii="宋体" w:eastAsia="宋体" w:hAnsi="宋体" w:cs="宋体" w:hint="eastAsia"/>
          <w:sz w:val="24"/>
        </w:rPr>
        <w:t>规</w:t>
      </w:r>
      <w:proofErr w:type="gramEnd"/>
      <w:r>
        <w:rPr>
          <w:rFonts w:ascii="宋体" w:eastAsia="宋体" w:hAnsi="宋体" w:cs="宋体" w:hint="eastAsia"/>
          <w:sz w:val="24"/>
        </w:rPr>
        <w:t>要求覆盖所有机构、业务、条线、操作环节及人员。董事会应对经营活动的合</w:t>
      </w:r>
      <w:proofErr w:type="gramStart"/>
      <w:r>
        <w:rPr>
          <w:rFonts w:ascii="宋体" w:eastAsia="宋体" w:hAnsi="宋体" w:cs="宋体" w:hint="eastAsia"/>
          <w:sz w:val="24"/>
        </w:rPr>
        <w:t>规性负</w:t>
      </w:r>
      <w:proofErr w:type="gramEnd"/>
      <w:r>
        <w:rPr>
          <w:rFonts w:ascii="宋体" w:eastAsia="宋体" w:hAnsi="宋体" w:cs="宋体" w:hint="eastAsia"/>
          <w:sz w:val="24"/>
        </w:rPr>
        <w:t>最终责任，高级管理层应切实履行合</w:t>
      </w:r>
      <w:proofErr w:type="gramStart"/>
      <w:r>
        <w:rPr>
          <w:rFonts w:ascii="宋体" w:eastAsia="宋体" w:hAnsi="宋体" w:cs="宋体" w:hint="eastAsia"/>
          <w:sz w:val="24"/>
        </w:rPr>
        <w:t>规</w:t>
      </w:r>
      <w:proofErr w:type="gramEnd"/>
      <w:r>
        <w:rPr>
          <w:rFonts w:ascii="宋体" w:eastAsia="宋体" w:hAnsi="宋体" w:cs="宋体" w:hint="eastAsia"/>
          <w:sz w:val="24"/>
        </w:rPr>
        <w:t>管理职责，监事会应加强对董事会和高级管理层合</w:t>
      </w:r>
      <w:proofErr w:type="gramStart"/>
      <w:r>
        <w:rPr>
          <w:rFonts w:ascii="宋体" w:eastAsia="宋体" w:hAnsi="宋体" w:cs="宋体" w:hint="eastAsia"/>
          <w:sz w:val="24"/>
        </w:rPr>
        <w:t>规</w:t>
      </w:r>
      <w:proofErr w:type="gramEnd"/>
      <w:r>
        <w:rPr>
          <w:rFonts w:ascii="宋体" w:eastAsia="宋体" w:hAnsi="宋体" w:cs="宋体" w:hint="eastAsia"/>
          <w:sz w:val="24"/>
        </w:rPr>
        <w:t>管理职责履行情况的监督。</w:t>
      </w:r>
    </w:p>
    <w:p w14:paraId="5CD5B9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（二十一）加强日常合</w:t>
      </w:r>
      <w:proofErr w:type="gramStart"/>
      <w:r>
        <w:rPr>
          <w:rFonts w:ascii="宋体" w:eastAsia="宋体" w:hAnsi="宋体" w:cs="宋体" w:hint="eastAsia"/>
          <w:sz w:val="24"/>
        </w:rPr>
        <w:t>规</w:t>
      </w:r>
      <w:proofErr w:type="gramEnd"/>
      <w:r>
        <w:rPr>
          <w:rFonts w:ascii="宋体" w:eastAsia="宋体" w:hAnsi="宋体" w:cs="宋体" w:hint="eastAsia"/>
          <w:sz w:val="24"/>
        </w:rPr>
        <w:t>管理。银行业金融机构应做好境外机构和业务相关监管规则的跟踪分析和合</w:t>
      </w:r>
      <w:proofErr w:type="gramStart"/>
      <w:r>
        <w:rPr>
          <w:rFonts w:ascii="宋体" w:eastAsia="宋体" w:hAnsi="宋体" w:cs="宋体" w:hint="eastAsia"/>
          <w:sz w:val="24"/>
        </w:rPr>
        <w:t>规</w:t>
      </w:r>
      <w:proofErr w:type="gramEnd"/>
      <w:r>
        <w:rPr>
          <w:rFonts w:ascii="宋体" w:eastAsia="宋体" w:hAnsi="宋体" w:cs="宋体" w:hint="eastAsia"/>
          <w:sz w:val="24"/>
        </w:rPr>
        <w:t>培训，对合</w:t>
      </w:r>
      <w:proofErr w:type="gramStart"/>
      <w:r>
        <w:rPr>
          <w:rFonts w:ascii="宋体" w:eastAsia="宋体" w:hAnsi="宋体" w:cs="宋体" w:hint="eastAsia"/>
          <w:sz w:val="24"/>
        </w:rPr>
        <w:t>规</w:t>
      </w:r>
      <w:proofErr w:type="gramEnd"/>
      <w:r>
        <w:rPr>
          <w:rFonts w:ascii="宋体" w:eastAsia="宋体" w:hAnsi="宋体" w:cs="宋体" w:hint="eastAsia"/>
          <w:sz w:val="24"/>
        </w:rPr>
        <w:t>情况进行检查、评估和报告，完善合</w:t>
      </w:r>
      <w:proofErr w:type="gramStart"/>
      <w:r>
        <w:rPr>
          <w:rFonts w:ascii="宋体" w:eastAsia="宋体" w:hAnsi="宋体" w:cs="宋体" w:hint="eastAsia"/>
          <w:sz w:val="24"/>
        </w:rPr>
        <w:t>规</w:t>
      </w:r>
      <w:proofErr w:type="gramEnd"/>
      <w:r>
        <w:rPr>
          <w:rFonts w:ascii="宋体" w:eastAsia="宋体" w:hAnsi="宋体" w:cs="宋体" w:hint="eastAsia"/>
          <w:sz w:val="24"/>
        </w:rPr>
        <w:t>风险应对预案。新型跨境业务以及新开发的境外业务的立项、研发、开办等应纳入合</w:t>
      </w:r>
      <w:proofErr w:type="gramStart"/>
      <w:r>
        <w:rPr>
          <w:rFonts w:ascii="宋体" w:eastAsia="宋体" w:hAnsi="宋体" w:cs="宋体" w:hint="eastAsia"/>
          <w:sz w:val="24"/>
        </w:rPr>
        <w:t>规</w:t>
      </w:r>
      <w:proofErr w:type="gramEnd"/>
      <w:r>
        <w:rPr>
          <w:rFonts w:ascii="宋体" w:eastAsia="宋体" w:hAnsi="宋体" w:cs="宋体" w:hint="eastAsia"/>
          <w:sz w:val="24"/>
        </w:rPr>
        <w:t>风险管理体系，实现合</w:t>
      </w:r>
      <w:proofErr w:type="gramStart"/>
      <w:r>
        <w:rPr>
          <w:rFonts w:ascii="宋体" w:eastAsia="宋体" w:hAnsi="宋体" w:cs="宋体" w:hint="eastAsia"/>
          <w:sz w:val="24"/>
        </w:rPr>
        <w:t>规</w:t>
      </w:r>
      <w:proofErr w:type="gramEnd"/>
      <w:r>
        <w:rPr>
          <w:rFonts w:ascii="宋体" w:eastAsia="宋体" w:hAnsi="宋体" w:cs="宋体" w:hint="eastAsia"/>
          <w:sz w:val="24"/>
        </w:rPr>
        <w:t>风险的全流程管控和全面覆盖。</w:t>
      </w:r>
    </w:p>
    <w:p w14:paraId="0E3842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（二十二）加强合</w:t>
      </w:r>
      <w:proofErr w:type="gramStart"/>
      <w:r>
        <w:rPr>
          <w:rFonts w:ascii="宋体" w:eastAsia="宋体" w:hAnsi="宋体" w:cs="宋体" w:hint="eastAsia"/>
          <w:sz w:val="24"/>
        </w:rPr>
        <w:t>规</w:t>
      </w:r>
      <w:proofErr w:type="gramEnd"/>
      <w:r>
        <w:rPr>
          <w:rFonts w:ascii="宋体" w:eastAsia="宋体" w:hAnsi="宋体" w:cs="宋体" w:hint="eastAsia"/>
          <w:sz w:val="24"/>
        </w:rPr>
        <w:t>资源配置。银行业金融机构应根据境内外法律法规、监管要求、境外业务复杂程度等因素，合理设置总行（公司）和境外机构合</w:t>
      </w:r>
      <w:proofErr w:type="gramStart"/>
      <w:r>
        <w:rPr>
          <w:rFonts w:ascii="宋体" w:eastAsia="宋体" w:hAnsi="宋体" w:cs="宋体" w:hint="eastAsia"/>
          <w:sz w:val="24"/>
        </w:rPr>
        <w:t>规</w:t>
      </w:r>
      <w:proofErr w:type="gramEnd"/>
      <w:r>
        <w:rPr>
          <w:rFonts w:ascii="宋体" w:eastAsia="宋体" w:hAnsi="宋体" w:cs="宋体" w:hint="eastAsia"/>
          <w:sz w:val="24"/>
        </w:rPr>
        <w:t>岗位，配齐合</w:t>
      </w:r>
      <w:proofErr w:type="gramStart"/>
      <w:r>
        <w:rPr>
          <w:rFonts w:ascii="宋体" w:eastAsia="宋体" w:hAnsi="宋体" w:cs="宋体" w:hint="eastAsia"/>
          <w:sz w:val="24"/>
        </w:rPr>
        <w:t>规</w:t>
      </w:r>
      <w:proofErr w:type="gramEnd"/>
      <w:r>
        <w:rPr>
          <w:rFonts w:ascii="宋体" w:eastAsia="宋体" w:hAnsi="宋体" w:cs="宋体" w:hint="eastAsia"/>
          <w:sz w:val="24"/>
        </w:rPr>
        <w:t>人员。境外机构合</w:t>
      </w:r>
      <w:proofErr w:type="gramStart"/>
      <w:r>
        <w:rPr>
          <w:rFonts w:ascii="宋体" w:eastAsia="宋体" w:hAnsi="宋体" w:cs="宋体" w:hint="eastAsia"/>
          <w:sz w:val="24"/>
        </w:rPr>
        <w:t>规</w:t>
      </w:r>
      <w:proofErr w:type="gramEnd"/>
      <w:r>
        <w:rPr>
          <w:rFonts w:ascii="宋体" w:eastAsia="宋体" w:hAnsi="宋体" w:cs="宋体" w:hint="eastAsia"/>
          <w:sz w:val="24"/>
        </w:rPr>
        <w:t>工作主要负责人应具备丰富的合</w:t>
      </w:r>
      <w:proofErr w:type="gramStart"/>
      <w:r>
        <w:rPr>
          <w:rFonts w:ascii="宋体" w:eastAsia="宋体" w:hAnsi="宋体" w:cs="宋体" w:hint="eastAsia"/>
          <w:sz w:val="24"/>
        </w:rPr>
        <w:t>规</w:t>
      </w:r>
      <w:proofErr w:type="gramEnd"/>
      <w:r>
        <w:rPr>
          <w:rFonts w:ascii="宋体" w:eastAsia="宋体" w:hAnsi="宋体" w:cs="宋体" w:hint="eastAsia"/>
          <w:sz w:val="24"/>
        </w:rPr>
        <w:t>工作经验，熟悉相关国际监管规则和当地法律及监管要求。</w:t>
      </w:r>
    </w:p>
    <w:p w14:paraId="1F4BAF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三）做好客户准入把关。银行业金融机构应遵循“了解你的客户”原则，全面了解客户的业务经营和财务状况，以及当地经营环境，必要时还应了解“客户的客户”等情况。特别是深入调查客户是否存在洗钱、恐怖融资、偷税漏税、违反劳工法、侵害知识产权、制假售假、违反海关管理规定等违法违规或不良行为记录。</w:t>
      </w:r>
    </w:p>
    <w:p w14:paraId="35A4A1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四）加强反洗钱和反恐融资管理。银行业金融机构应严格执行联合国安理会有关决议，严格遵守境内外反洗钱和反恐融资等相关法律法规和监管要求。及时录入、更新制裁名单，对借款人、汇款人、借款及收款单位的主要股东、高级管理人员受制裁的情况进行动态审查。加强反洗</w:t>
      </w:r>
      <w:proofErr w:type="gramStart"/>
      <w:r>
        <w:rPr>
          <w:rFonts w:ascii="宋体" w:eastAsia="宋体" w:hAnsi="宋体" w:cs="宋体" w:hint="eastAsia"/>
          <w:sz w:val="24"/>
        </w:rPr>
        <w:t>钱系统</w:t>
      </w:r>
      <w:proofErr w:type="gramEnd"/>
      <w:r>
        <w:rPr>
          <w:rFonts w:ascii="宋体" w:eastAsia="宋体" w:hAnsi="宋体" w:cs="宋体" w:hint="eastAsia"/>
          <w:sz w:val="24"/>
        </w:rPr>
        <w:t>的开发和维护，满足反洗</w:t>
      </w:r>
      <w:proofErr w:type="gramStart"/>
      <w:r>
        <w:rPr>
          <w:rFonts w:ascii="宋体" w:eastAsia="宋体" w:hAnsi="宋体" w:cs="宋体" w:hint="eastAsia"/>
          <w:sz w:val="24"/>
        </w:rPr>
        <w:t>钱工作</w:t>
      </w:r>
      <w:proofErr w:type="gramEnd"/>
      <w:r>
        <w:rPr>
          <w:rFonts w:ascii="宋体" w:eastAsia="宋体" w:hAnsi="宋体" w:cs="宋体" w:hint="eastAsia"/>
          <w:sz w:val="24"/>
        </w:rPr>
        <w:t>数据采集、筛选、分析和报告的电子化需求，加强可疑交易的识别和报告。根据境内外监管要求，履行资金冻结、向监管部门报告等义务，防止任何组织或个人利用本机构从事支持恐怖主义、洗钱或其他非法活动。银行业金融机构应在相关法律法规和监管框架下，正确使用客户信息，按照有关国家和地区的监管要求，加强客户隐私保护，积极维护客户合法权益。</w:t>
      </w:r>
    </w:p>
    <w:p w14:paraId="07D069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（二十五）加强监管沟通。银行业金融机构境外机构高级管理人员应加强与</w:t>
      </w:r>
      <w:r>
        <w:rPr>
          <w:rFonts w:ascii="宋体" w:eastAsia="宋体" w:hAnsi="宋体" w:cs="宋体" w:hint="eastAsia"/>
          <w:sz w:val="24"/>
        </w:rPr>
        <w:lastRenderedPageBreak/>
        <w:t>境外机构和业务所在地监管部门的沟通，积极配合相关监管工作。银行业金融机构应及时将境外机构与当地监管当局沟通的重大事项向我国监管部门报告。</w:t>
      </w:r>
    </w:p>
    <w:p w14:paraId="616EE3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五、加强环境和社会风险管理</w:t>
      </w:r>
    </w:p>
    <w:p w14:paraId="761F45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六）重视境外业务环境和社会风险管理。银行业金融机构应积极借鉴赤道原则及其他国际良好做法，高度重视客户及其重要关联方在建设、生产、经营活动中面临的环境和社会风险，督促其建立健全环境和社会风险控制体系，制定并落实相关行动计划，严格遵守当地环保、产业等领域的法律法规。对能源资源、农林牧渔、重大基础设施及工程承包领域的环境和社会风险，在提供项目融资及贸易融资时应给予特别关注，必要时可征求相关行业主管部门意见，或向合格、独立的第三方进行咨询。</w:t>
      </w:r>
    </w:p>
    <w:p w14:paraId="28CB20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（二十七）实施环境和社会风险全流程管理。银行业金融机构应充分评估走出</w:t>
      </w:r>
      <w:proofErr w:type="gramStart"/>
      <w:r>
        <w:rPr>
          <w:rFonts w:ascii="宋体" w:eastAsia="宋体" w:hAnsi="宋体" w:cs="宋体" w:hint="eastAsia"/>
          <w:sz w:val="24"/>
        </w:rPr>
        <w:t>去项目</w:t>
      </w:r>
      <w:proofErr w:type="gramEnd"/>
      <w:r>
        <w:rPr>
          <w:rFonts w:ascii="宋体" w:eastAsia="宋体" w:hAnsi="宋体" w:cs="宋体" w:hint="eastAsia"/>
          <w:sz w:val="24"/>
        </w:rPr>
        <w:t>的环境和社会风险，将评估结果作为项目准入、评级和管理的重要依据，并在贷款“三查”、贷款定价和经济资本分配等方面实施差别化管理。银行业金融机构应加强境外项目的环境和社会风险监测，对存在重大风险的项目，应加大跟踪力度，及时采取风险缓释措施。</w:t>
      </w:r>
    </w:p>
    <w:p w14:paraId="139A0D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（二十八）维护当地民众权益。银行业金融机构应督促客户维护职工合法权益，在项目建设、公司运营过程中努力增加当地民众的就业、教育等发展机遇，尊重当地文化、宗教和社会习俗等。</w:t>
      </w:r>
    </w:p>
    <w:p w14:paraId="17F98C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九）增进与利益相关者的交流互动。银行业金融机构应督促涉及重大环境和社会风险的客户建立申诉——回应机制，及时受理并回应项目建设或公司运营所在地民众、非政府组织和其他利益相关者的合理诉求。</w:t>
      </w:r>
    </w:p>
    <w:p w14:paraId="5B97EF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十）加强信息披露。银行业金融机构应指定专门部门和人员负责境外机构和业务相关的信息披露，做好公关交流，防范声誉风险。对存在潜在重大环境和社会风险的境外项目，应与客户事先约定，以适当方式及时披露项目名称、主要投资者和承包商名称、授信金额、环境影响评价情况等关键信息，主动加强与利益相关者沟通，接受公众监督。</w:t>
      </w:r>
    </w:p>
    <w:p w14:paraId="6ECC8D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六、完善境外机构布局</w:t>
      </w:r>
    </w:p>
    <w:p w14:paraId="384F97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十一）完善境外重点国家和地区机构布局。银行业金融机构应做好境外机构布设的中长期规划，加强前期评估工作，综合考虑自身战略、客户业务需求、自身风险管控能力以及目标国家的政治、经济、法律、社会和竞争环境，重点在走出去企业相对集中、对中资银行业金融机构服务需求或潜在需求较大的区域完善布局。</w:t>
      </w:r>
    </w:p>
    <w:p w14:paraId="606F8D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十二）合理选择境外机构形式。银行业金融机构应审慎评估自身境外经营实力和风险管控能力，合理选择代表处、分行、子行或子公司等形式设立境外机构，遵循市场化原则进入目标国家和地区。银行业金融机构可通过发展代理行和战略合作伙伴、加强与当地同业合作等方式，扩大服务半径。</w:t>
      </w:r>
    </w:p>
    <w:p w14:paraId="329FCD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十三）防范跨境并购风险。银行业金融机构开展跨境并购，应客观评估自身跨境管理能力和资源调配能力，全面、深入了解目标市场环境，确保跨境并购符合本机构战略规划、业务整合产生协同效应，审慎分析并购可行性和交易可操作性，合理确定并购价格及风险缓释条款。</w:t>
      </w:r>
    </w:p>
    <w:p w14:paraId="37952A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（三十四）加强境外机构管理。银行业金融机构应制定全面、清晰的境外机构管理制度，明确总行（公司）与境外机构之间的权责边界、报告路线等，加强内审、合</w:t>
      </w:r>
      <w:proofErr w:type="gramStart"/>
      <w:r>
        <w:rPr>
          <w:rFonts w:ascii="宋体" w:eastAsia="宋体" w:hAnsi="宋体" w:cs="宋体" w:hint="eastAsia"/>
          <w:sz w:val="24"/>
        </w:rPr>
        <w:t>规</w:t>
      </w:r>
      <w:proofErr w:type="gramEnd"/>
      <w:r>
        <w:rPr>
          <w:rFonts w:ascii="宋体" w:eastAsia="宋体" w:hAnsi="宋体" w:cs="宋体" w:hint="eastAsia"/>
          <w:sz w:val="24"/>
        </w:rPr>
        <w:t>、风险、信息技术等条线管理，强化检查与问责，确保境外机构经营活动得到总行（公司）的有效管控。</w:t>
      </w:r>
    </w:p>
    <w:p w14:paraId="708269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七、加强监督管理</w:t>
      </w:r>
    </w:p>
    <w:p w14:paraId="561F29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（三十五）加强境外机构布局准入监管。监管部门应建立健全银行业金融机构走出去的统筹协调机制，加强规划指导，做好机构准入监管工作。</w:t>
      </w:r>
    </w:p>
    <w:p w14:paraId="048D32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十六）加强境外业务非现场监管。监管部门应完善非现场统计制度，加强国别风险数据采集，定期开展对境外业务发展与风险情况的监测分析。监管部门应将境外业务作为非现场监管会谈及外部审计会谈的重要内容。</w:t>
      </w:r>
    </w:p>
    <w:p w14:paraId="37C5DC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（三十七）强化境外业务现场检查。监管部门应重点检查境外机构的合</w:t>
      </w:r>
      <w:proofErr w:type="gramStart"/>
      <w:r>
        <w:rPr>
          <w:rFonts w:ascii="宋体" w:eastAsia="宋体" w:hAnsi="宋体" w:cs="宋体" w:hint="eastAsia"/>
          <w:sz w:val="24"/>
        </w:rPr>
        <w:t>规</w:t>
      </w:r>
      <w:proofErr w:type="gramEnd"/>
      <w:r>
        <w:rPr>
          <w:rFonts w:ascii="宋体" w:eastAsia="宋体" w:hAnsi="宋体" w:cs="宋体" w:hint="eastAsia"/>
          <w:sz w:val="24"/>
        </w:rPr>
        <w:t>、风控、信贷管理体系建设以及境内外业务关联情况，促进银行业金融机构提升国际化经营管理水平和抗风险能力，对存在问题的境外机构及时采取监管措施，并对违规机构依法依规进行处罚。</w:t>
      </w:r>
    </w:p>
    <w:p w14:paraId="3CA591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（三十八）加强跨境监管协调。监管部门应搭建跨境监管交流平台，充分发挥谈判、磋商、对话以及监管联席会议的作用，加强与境外监管当局的信息共享与合作，并就各方关切的重要问题加强交流与协商。</w:t>
      </w:r>
    </w:p>
    <w:p w14:paraId="36BD18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十九）充分发挥自律组织作用。中国银行业协会应做好行业自律管理，建立信息平台和合作机制，促进银行业金融机构在境外经营过程中的沟通、交流、协调和合作，避免恶性竞争，维护银行业声誉。加强开展对“一带一路”沿线和国际产能合作重要国家的研究，定期发布国别风险研究报告，组织开展银行业金融机构服务“一带一路”、国际产能合作和企业走出去培训工作。</w:t>
      </w:r>
    </w:p>
    <w:p w14:paraId="0F5235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十）建立企业境外投资合作黑名单制度。中国银行业协会应加强与银行业金融机构、相关行业协会及主管部门的沟通联系，根据企业违法违规及不良行为等情况，建立境外投资合作企业黑名单制度。明确列入黑名单的企业标准，定期更新黑名单并向银行业金融机构发布。银行业金融机构应及时将符合黑名单标准的企业信息报送银行业协会。</w:t>
      </w:r>
    </w:p>
    <w:p w14:paraId="5FE0EE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金融资产管理公司、金融租赁公司等非银行金融机构开展境外业务、设立境外机构参照本指导意见执行。</w:t>
      </w:r>
    </w:p>
    <w:p w14:paraId="5329C1F8"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04032668"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105.《关于进一步做好“两个加强、两个遏制”回头看整改问责工作的通知》</w:t>
      </w:r>
    </w:p>
    <w:p w14:paraId="07E519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7AFF0D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文号：银监办发〔2017〕38号</w:t>
      </w:r>
      <w:r>
        <w:rPr>
          <w:rFonts w:ascii="宋体" w:eastAsia="宋体" w:hAnsi="宋体" w:cs="宋体" w:hint="eastAsia"/>
          <w:sz w:val="24"/>
        </w:rPr>
        <w:tab/>
      </w:r>
    </w:p>
    <w:p w14:paraId="25B77712"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局，机关各部门，各政策性银行、大型银行、股份制银行，邮 储银行，外资银行，金融资产管理公司：</w:t>
      </w:r>
    </w:p>
    <w:p w14:paraId="0A5FC4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为深化“两个加强、两个遏制”回头看（以下简称“回头看”）工作成果，按照银监会2017年工作部署，现就进一步做好“回头看”整改问</w:t>
      </w:r>
      <w:proofErr w:type="gramStart"/>
      <w:r>
        <w:rPr>
          <w:rFonts w:ascii="宋体" w:eastAsia="宋体" w:hAnsi="宋体" w:cs="宋体" w:hint="eastAsia"/>
          <w:sz w:val="24"/>
        </w:rPr>
        <w:t>责工作</w:t>
      </w:r>
      <w:proofErr w:type="gramEnd"/>
      <w:r>
        <w:rPr>
          <w:rFonts w:ascii="宋体" w:eastAsia="宋体" w:hAnsi="宋体" w:cs="宋体" w:hint="eastAsia"/>
          <w:sz w:val="24"/>
        </w:rPr>
        <w:t>通知如下。</w:t>
      </w:r>
    </w:p>
    <w:p w14:paraId="170EEA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一、主要任务</w:t>
      </w:r>
    </w:p>
    <w:p w14:paraId="323FA4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整改问</w:t>
      </w:r>
      <w:proofErr w:type="gramStart"/>
      <w:r>
        <w:rPr>
          <w:rFonts w:ascii="宋体" w:eastAsia="宋体" w:hAnsi="宋体" w:cs="宋体" w:hint="eastAsia"/>
          <w:sz w:val="24"/>
        </w:rPr>
        <w:t>责工作</w:t>
      </w:r>
      <w:proofErr w:type="gramEnd"/>
      <w:r>
        <w:rPr>
          <w:rFonts w:ascii="宋体" w:eastAsia="宋体" w:hAnsi="宋体" w:cs="宋体" w:hint="eastAsia"/>
          <w:sz w:val="24"/>
        </w:rPr>
        <w:t>是“回头看”工作的重要组成部份，是“回头看”工作的最终成果体现。能否切实做好整改问责工作，关涉监管能力建设是否持续得到加强，关涉银行业金融机构内部管</w:t>
      </w:r>
      <w:proofErr w:type="gramStart"/>
      <w:r>
        <w:rPr>
          <w:rFonts w:ascii="宋体" w:eastAsia="宋体" w:hAnsi="宋体" w:cs="宋体" w:hint="eastAsia"/>
          <w:sz w:val="24"/>
        </w:rPr>
        <w:t>控是否</w:t>
      </w:r>
      <w:proofErr w:type="gramEnd"/>
      <w:r>
        <w:rPr>
          <w:rFonts w:ascii="宋体" w:eastAsia="宋体" w:hAnsi="宋体" w:cs="宋体" w:hint="eastAsia"/>
          <w:sz w:val="24"/>
        </w:rPr>
        <w:t>得到有效完善、违规经营与违法犯罪是否得到有效遏制。银行业金融机构和各级监管部门要充分认识此项工作的重要性，逐级实行一把手负责制，严肃开展，扎实推进，确保实效。</w:t>
      </w:r>
    </w:p>
    <w:p w14:paraId="4EA041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（一）认真整改问责</w:t>
      </w:r>
    </w:p>
    <w:p w14:paraId="750181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银行业金融机构和各级监管部门要对照本次“回头看”专项工作的问题清单和</w:t>
      </w:r>
      <w:proofErr w:type="gramStart"/>
      <w:r>
        <w:rPr>
          <w:rFonts w:ascii="宋体" w:eastAsia="宋体" w:hAnsi="宋体" w:cs="宋体" w:hint="eastAsia"/>
          <w:sz w:val="24"/>
        </w:rPr>
        <w:t>整改台</w:t>
      </w:r>
      <w:proofErr w:type="gramEnd"/>
      <w:r>
        <w:rPr>
          <w:rFonts w:ascii="宋体" w:eastAsia="宋体" w:hAnsi="宋体" w:cs="宋体" w:hint="eastAsia"/>
          <w:sz w:val="24"/>
        </w:rPr>
        <w:t>账，全面、逐条开展整改问责，做到整改纠正到位、处理处罚到位。银行业金融机构要承担风险管控的主体责任，各级监管部门要承担风险监管的主体责任，切实强化责任意识，做到“守土有责、履职负责、失职问责”。</w:t>
      </w:r>
    </w:p>
    <w:p w14:paraId="55CBE2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本次整改问</w:t>
      </w:r>
      <w:proofErr w:type="gramStart"/>
      <w:r>
        <w:rPr>
          <w:rFonts w:ascii="宋体" w:eastAsia="宋体" w:hAnsi="宋体" w:cs="宋体" w:hint="eastAsia"/>
          <w:sz w:val="24"/>
        </w:rPr>
        <w:t>责工作</w:t>
      </w:r>
      <w:proofErr w:type="gramEnd"/>
      <w:r>
        <w:rPr>
          <w:rFonts w:ascii="宋体" w:eastAsia="宋体" w:hAnsi="宋体" w:cs="宋体" w:hint="eastAsia"/>
          <w:sz w:val="24"/>
        </w:rPr>
        <w:t>的最终结果原则上不低于前期制定的</w:t>
      </w:r>
      <w:proofErr w:type="gramStart"/>
      <w:r>
        <w:rPr>
          <w:rFonts w:ascii="宋体" w:eastAsia="宋体" w:hAnsi="宋体" w:cs="宋体" w:hint="eastAsia"/>
          <w:sz w:val="24"/>
        </w:rPr>
        <w:t>整改台</w:t>
      </w:r>
      <w:proofErr w:type="gramEnd"/>
      <w:r>
        <w:rPr>
          <w:rFonts w:ascii="宋体" w:eastAsia="宋体" w:hAnsi="宋体" w:cs="宋体" w:hint="eastAsia"/>
          <w:sz w:val="24"/>
        </w:rPr>
        <w:t>账和问责方案。对于“回头看”工作中发现问题不予进行整改问责的，要逐条详细说明原因；对原有方案中问</w:t>
      </w:r>
      <w:proofErr w:type="gramStart"/>
      <w:r>
        <w:rPr>
          <w:rFonts w:ascii="宋体" w:eastAsia="宋体" w:hAnsi="宋体" w:cs="宋体" w:hint="eastAsia"/>
          <w:sz w:val="24"/>
        </w:rPr>
        <w:t>责处罚</w:t>
      </w:r>
      <w:proofErr w:type="gramEnd"/>
      <w:r>
        <w:rPr>
          <w:rFonts w:ascii="宋体" w:eastAsia="宋体" w:hAnsi="宋体" w:cs="宋体" w:hint="eastAsia"/>
          <w:sz w:val="24"/>
        </w:rPr>
        <w:t>不到位的，各级监管部门要坚持“敢于亮剑、敢于揭盖子、敢于硬碰硬”的责任担当意识，按照银行业监管的最新形势要求加大处罚力度，做让国家和人民放心的看门人和守夜人。</w:t>
      </w:r>
    </w:p>
    <w:p w14:paraId="09CFCB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（二）采取有力措施</w:t>
      </w:r>
    </w:p>
    <w:p w14:paraId="03BD7F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一是对银行业金融机构自查发现问题整改</w:t>
      </w:r>
      <w:proofErr w:type="gramStart"/>
      <w:r>
        <w:rPr>
          <w:rFonts w:ascii="宋体" w:eastAsia="宋体" w:hAnsi="宋体" w:cs="宋体" w:hint="eastAsia"/>
          <w:sz w:val="24"/>
        </w:rPr>
        <w:t>问责不到位</w:t>
      </w:r>
      <w:proofErr w:type="gramEnd"/>
      <w:r>
        <w:rPr>
          <w:rFonts w:ascii="宋体" w:eastAsia="宋体" w:hAnsi="宋体" w:cs="宋体" w:hint="eastAsia"/>
          <w:sz w:val="24"/>
        </w:rPr>
        <w:t>的，各级监管部门要依法采取措施；对于屡查屡犯、违规问题严重且整改问责不力的，要采取下调监管评级、限制市场准入、加大现场检查频率等综合监管措施。</w:t>
      </w:r>
    </w:p>
    <w:p w14:paraId="17E37B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是各级监管部门对监管检查发现的问题要依法处理处罚。对于严重违规、存在重大风险隐患或发生案件的问题，既要处理相关机构也要处理相关责任人、既要处罚违规行为也要罚没违法收入，切实做到应处必处，应</w:t>
      </w:r>
      <w:proofErr w:type="gramStart"/>
      <w:r>
        <w:rPr>
          <w:rFonts w:ascii="宋体" w:eastAsia="宋体" w:hAnsi="宋体" w:cs="宋体" w:hint="eastAsia"/>
          <w:sz w:val="24"/>
        </w:rPr>
        <w:t>罚尽罚</w:t>
      </w:r>
      <w:proofErr w:type="gramEnd"/>
      <w:r>
        <w:rPr>
          <w:rFonts w:ascii="宋体" w:eastAsia="宋体" w:hAnsi="宋体" w:cs="宋体" w:hint="eastAsia"/>
          <w:sz w:val="24"/>
        </w:rPr>
        <w:t>。</w:t>
      </w:r>
    </w:p>
    <w:p w14:paraId="0CFE1E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（三）开展后续评估</w:t>
      </w:r>
    </w:p>
    <w:p w14:paraId="0BF3526B"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局要将此次整改问</w:t>
      </w:r>
      <w:proofErr w:type="gramStart"/>
      <w:r>
        <w:rPr>
          <w:rFonts w:ascii="宋体" w:eastAsia="宋体" w:hAnsi="宋体" w:cs="宋体" w:hint="eastAsia"/>
          <w:sz w:val="24"/>
        </w:rPr>
        <w:t>责工作</w:t>
      </w:r>
      <w:proofErr w:type="gramEnd"/>
      <w:r>
        <w:rPr>
          <w:rFonts w:ascii="宋体" w:eastAsia="宋体" w:hAnsi="宋体" w:cs="宋体" w:hint="eastAsia"/>
          <w:sz w:val="24"/>
        </w:rPr>
        <w:t>纳入年度重点工作事项。将机构自查和监管检查发现问题的整改问</w:t>
      </w:r>
      <w:proofErr w:type="gramStart"/>
      <w:r>
        <w:rPr>
          <w:rFonts w:ascii="宋体" w:eastAsia="宋体" w:hAnsi="宋体" w:cs="宋体" w:hint="eastAsia"/>
          <w:sz w:val="24"/>
        </w:rPr>
        <w:t>责情况</w:t>
      </w:r>
      <w:proofErr w:type="gramEnd"/>
      <w:r>
        <w:rPr>
          <w:rFonts w:ascii="宋体" w:eastAsia="宋体" w:hAnsi="宋体" w:cs="宋体" w:hint="eastAsia"/>
          <w:sz w:val="24"/>
        </w:rPr>
        <w:t>作为重要检查内容纳入年度检查项目进行后评估。</w:t>
      </w:r>
      <w:proofErr w:type="gramStart"/>
      <w:r>
        <w:rPr>
          <w:rFonts w:ascii="宋体" w:eastAsia="宋体" w:hAnsi="宋体" w:cs="宋体" w:hint="eastAsia"/>
          <w:sz w:val="24"/>
        </w:rPr>
        <w:t>各银监</w:t>
      </w:r>
      <w:proofErr w:type="gramEnd"/>
      <w:r>
        <w:rPr>
          <w:rFonts w:ascii="宋体" w:eastAsia="宋体" w:hAnsi="宋体" w:cs="宋体" w:hint="eastAsia"/>
          <w:sz w:val="24"/>
        </w:rPr>
        <w:t>局还可结合工作实际，采取随机抽样的方式进行单独的后续评估，督促银行业金融机构形成“不能违规、不敢违规、不愿违规”的合</w:t>
      </w:r>
      <w:proofErr w:type="gramStart"/>
      <w:r>
        <w:rPr>
          <w:rFonts w:ascii="宋体" w:eastAsia="宋体" w:hAnsi="宋体" w:cs="宋体" w:hint="eastAsia"/>
          <w:sz w:val="24"/>
        </w:rPr>
        <w:t>规</w:t>
      </w:r>
      <w:proofErr w:type="gramEnd"/>
      <w:r>
        <w:rPr>
          <w:rFonts w:ascii="宋体" w:eastAsia="宋体" w:hAnsi="宋体" w:cs="宋体" w:hint="eastAsia"/>
          <w:sz w:val="24"/>
        </w:rPr>
        <w:t>意识。</w:t>
      </w:r>
    </w:p>
    <w:p w14:paraId="10AD7A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银监会将对整改问</w:t>
      </w:r>
      <w:proofErr w:type="gramStart"/>
      <w:r>
        <w:rPr>
          <w:rFonts w:ascii="宋体" w:eastAsia="宋体" w:hAnsi="宋体" w:cs="宋体" w:hint="eastAsia"/>
          <w:sz w:val="24"/>
        </w:rPr>
        <w:t>责工作</w:t>
      </w:r>
      <w:proofErr w:type="gramEnd"/>
      <w:r>
        <w:rPr>
          <w:rFonts w:ascii="宋体" w:eastAsia="宋体" w:hAnsi="宋体" w:cs="宋体" w:hint="eastAsia"/>
          <w:sz w:val="24"/>
        </w:rPr>
        <w:t>的力度和效果进行评估，对于整改问责不力、应处罚</w:t>
      </w:r>
      <w:proofErr w:type="gramStart"/>
      <w:r>
        <w:rPr>
          <w:rFonts w:ascii="宋体" w:eastAsia="宋体" w:hAnsi="宋体" w:cs="宋体" w:hint="eastAsia"/>
          <w:sz w:val="24"/>
        </w:rPr>
        <w:t>未处罚且</w:t>
      </w:r>
      <w:proofErr w:type="gramEnd"/>
      <w:r>
        <w:rPr>
          <w:rFonts w:ascii="宋体" w:eastAsia="宋体" w:hAnsi="宋体" w:cs="宋体" w:hint="eastAsia"/>
          <w:sz w:val="24"/>
        </w:rPr>
        <w:t>理由不充分的，将视情况进行监管</w:t>
      </w:r>
      <w:proofErr w:type="gramStart"/>
      <w:r>
        <w:rPr>
          <w:rFonts w:ascii="宋体" w:eastAsia="宋体" w:hAnsi="宋体" w:cs="宋体" w:hint="eastAsia"/>
          <w:sz w:val="24"/>
        </w:rPr>
        <w:t>问责并采取</w:t>
      </w:r>
      <w:proofErr w:type="gramEnd"/>
      <w:r>
        <w:rPr>
          <w:rFonts w:ascii="宋体" w:eastAsia="宋体" w:hAnsi="宋体" w:cs="宋体" w:hint="eastAsia"/>
          <w:sz w:val="24"/>
        </w:rPr>
        <w:t>进一步监管措施。</w:t>
      </w:r>
    </w:p>
    <w:p w14:paraId="6A448A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二、完成时限及工作报告</w:t>
      </w:r>
    </w:p>
    <w:p w14:paraId="627ACC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（一）完成时限</w:t>
      </w:r>
    </w:p>
    <w:p w14:paraId="1C1433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本次整改问</w:t>
      </w:r>
      <w:proofErr w:type="gramStart"/>
      <w:r>
        <w:rPr>
          <w:rFonts w:ascii="宋体" w:eastAsia="宋体" w:hAnsi="宋体" w:cs="宋体" w:hint="eastAsia"/>
          <w:sz w:val="24"/>
        </w:rPr>
        <w:t>责工作</w:t>
      </w:r>
      <w:proofErr w:type="gramEnd"/>
      <w:r>
        <w:rPr>
          <w:rFonts w:ascii="宋体" w:eastAsia="宋体" w:hAnsi="宋体" w:cs="宋体" w:hint="eastAsia"/>
          <w:sz w:val="24"/>
        </w:rPr>
        <w:t>与2016年开展的“两个加强、两个遏制”回头看工作的机制和路径总体一致。银行业金融机构负责组织实施本系统“回头看”自查发现问题的整改问责，并于2017年5月15日前完成；</w:t>
      </w:r>
      <w:proofErr w:type="gramStart"/>
      <w:r>
        <w:rPr>
          <w:rFonts w:ascii="宋体" w:eastAsia="宋体" w:hAnsi="宋体" w:cs="宋体" w:hint="eastAsia"/>
          <w:sz w:val="24"/>
        </w:rPr>
        <w:t>各银监</w:t>
      </w:r>
      <w:proofErr w:type="gramEnd"/>
      <w:r>
        <w:rPr>
          <w:rFonts w:ascii="宋体" w:eastAsia="宋体" w:hAnsi="宋体" w:cs="宋体" w:hint="eastAsia"/>
          <w:sz w:val="24"/>
        </w:rPr>
        <w:t>局开展对辖内相关机构“回头看”监管检查发现问题的整改问责，并于2017年5月31日前完成；</w:t>
      </w:r>
      <w:proofErr w:type="gramStart"/>
      <w:r>
        <w:rPr>
          <w:rFonts w:ascii="宋体" w:eastAsia="宋体" w:hAnsi="宋体" w:cs="宋体" w:hint="eastAsia"/>
          <w:sz w:val="24"/>
        </w:rPr>
        <w:t>各银监</w:t>
      </w:r>
      <w:proofErr w:type="gramEnd"/>
      <w:r>
        <w:rPr>
          <w:rFonts w:ascii="宋体" w:eastAsia="宋体" w:hAnsi="宋体" w:cs="宋体" w:hint="eastAsia"/>
          <w:sz w:val="24"/>
        </w:rPr>
        <w:t>局和机关相关部门开展“回头看”监管自查发现问题的整改问责，并于2017年5月31日前完成。</w:t>
      </w:r>
    </w:p>
    <w:p w14:paraId="4E08B7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（二）报告要求</w:t>
      </w:r>
    </w:p>
    <w:p w14:paraId="3F71A9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w:t>
      </w:r>
      <w:proofErr w:type="gramStart"/>
      <w:r>
        <w:rPr>
          <w:rFonts w:ascii="宋体" w:eastAsia="宋体" w:hAnsi="宋体" w:cs="宋体" w:hint="eastAsia"/>
          <w:sz w:val="24"/>
        </w:rPr>
        <w:t>和各银监</w:t>
      </w:r>
      <w:proofErr w:type="gramEnd"/>
      <w:r>
        <w:rPr>
          <w:rFonts w:ascii="宋体" w:eastAsia="宋体" w:hAnsi="宋体" w:cs="宋体" w:hint="eastAsia"/>
          <w:sz w:val="24"/>
        </w:rPr>
        <w:t>局应以专题报告的方式将整改问</w:t>
      </w:r>
      <w:proofErr w:type="gramStart"/>
      <w:r>
        <w:rPr>
          <w:rFonts w:ascii="宋体" w:eastAsia="宋体" w:hAnsi="宋体" w:cs="宋体" w:hint="eastAsia"/>
          <w:sz w:val="24"/>
        </w:rPr>
        <w:t>责工作</w:t>
      </w:r>
      <w:proofErr w:type="gramEnd"/>
      <w:r>
        <w:rPr>
          <w:rFonts w:ascii="宋体" w:eastAsia="宋体" w:hAnsi="宋体" w:cs="宋体" w:hint="eastAsia"/>
          <w:sz w:val="24"/>
        </w:rPr>
        <w:t>情况报送“回头看”工作领导小组办公室。报告内容主要包括：一是整改问</w:t>
      </w:r>
      <w:proofErr w:type="gramStart"/>
      <w:r>
        <w:rPr>
          <w:rFonts w:ascii="宋体" w:eastAsia="宋体" w:hAnsi="宋体" w:cs="宋体" w:hint="eastAsia"/>
          <w:sz w:val="24"/>
        </w:rPr>
        <w:t>责工作</w:t>
      </w:r>
      <w:proofErr w:type="gramEnd"/>
      <w:r>
        <w:rPr>
          <w:rFonts w:ascii="宋体" w:eastAsia="宋体" w:hAnsi="宋体" w:cs="宋体" w:hint="eastAsia"/>
          <w:sz w:val="24"/>
        </w:rPr>
        <w:t>的组织情况和总体评价；二是前期整改问</w:t>
      </w:r>
      <w:proofErr w:type="gramStart"/>
      <w:r>
        <w:rPr>
          <w:rFonts w:ascii="宋体" w:eastAsia="宋体" w:hAnsi="宋体" w:cs="宋体" w:hint="eastAsia"/>
          <w:sz w:val="24"/>
        </w:rPr>
        <w:t>责工作</w:t>
      </w:r>
      <w:proofErr w:type="gramEnd"/>
      <w:r>
        <w:rPr>
          <w:rFonts w:ascii="宋体" w:eastAsia="宋体" w:hAnsi="宋体" w:cs="宋体" w:hint="eastAsia"/>
          <w:sz w:val="24"/>
        </w:rPr>
        <w:t>开展和方案落实情况，包括前期“两个加强、两个遏制”专项工作后续整改问</w:t>
      </w:r>
      <w:proofErr w:type="gramStart"/>
      <w:r>
        <w:rPr>
          <w:rFonts w:ascii="宋体" w:eastAsia="宋体" w:hAnsi="宋体" w:cs="宋体" w:hint="eastAsia"/>
          <w:sz w:val="24"/>
        </w:rPr>
        <w:t>责情况</w:t>
      </w:r>
      <w:proofErr w:type="gramEnd"/>
      <w:r>
        <w:rPr>
          <w:rFonts w:ascii="宋体" w:eastAsia="宋体" w:hAnsi="宋体" w:cs="宋体" w:hint="eastAsia"/>
          <w:sz w:val="24"/>
        </w:rPr>
        <w:t>和本次“回头看”发现问题的整改</w:t>
      </w:r>
      <w:r>
        <w:rPr>
          <w:rFonts w:ascii="宋体" w:eastAsia="宋体" w:hAnsi="宋体" w:cs="宋体" w:hint="eastAsia"/>
          <w:sz w:val="24"/>
        </w:rPr>
        <w:lastRenderedPageBreak/>
        <w:t>问责情况，可从健全机制、优化流程、完善系统、规范业务、问</w:t>
      </w:r>
      <w:proofErr w:type="gramStart"/>
      <w:r>
        <w:rPr>
          <w:rFonts w:ascii="宋体" w:eastAsia="宋体" w:hAnsi="宋体" w:cs="宋体" w:hint="eastAsia"/>
          <w:sz w:val="24"/>
        </w:rPr>
        <w:t>责处理</w:t>
      </w:r>
      <w:proofErr w:type="gramEnd"/>
      <w:r>
        <w:rPr>
          <w:rFonts w:ascii="宋体" w:eastAsia="宋体" w:hAnsi="宋体" w:cs="宋体" w:hint="eastAsia"/>
          <w:sz w:val="24"/>
        </w:rPr>
        <w:t>等方面进行梳理和总结；同时，如有追加的整改问</w:t>
      </w:r>
      <w:proofErr w:type="gramStart"/>
      <w:r>
        <w:rPr>
          <w:rFonts w:ascii="宋体" w:eastAsia="宋体" w:hAnsi="宋体" w:cs="宋体" w:hint="eastAsia"/>
          <w:sz w:val="24"/>
        </w:rPr>
        <w:t>责措施</w:t>
      </w:r>
      <w:proofErr w:type="gramEnd"/>
      <w:r>
        <w:rPr>
          <w:rFonts w:ascii="宋体" w:eastAsia="宋体" w:hAnsi="宋体" w:cs="宋体" w:hint="eastAsia"/>
          <w:sz w:val="24"/>
        </w:rPr>
        <w:t>或未落实前期整改问</w:t>
      </w:r>
      <w:proofErr w:type="gramStart"/>
      <w:r>
        <w:rPr>
          <w:rFonts w:ascii="宋体" w:eastAsia="宋体" w:hAnsi="宋体" w:cs="宋体" w:hint="eastAsia"/>
          <w:sz w:val="24"/>
        </w:rPr>
        <w:t>责方案</w:t>
      </w:r>
      <w:proofErr w:type="gramEnd"/>
      <w:r>
        <w:rPr>
          <w:rFonts w:ascii="宋体" w:eastAsia="宋体" w:hAnsi="宋体" w:cs="宋体" w:hint="eastAsia"/>
          <w:sz w:val="24"/>
        </w:rPr>
        <w:t>的，应进行详细说明；三是下一步工作计划和安排。</w:t>
      </w:r>
    </w:p>
    <w:p w14:paraId="06709E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1.机构自查整改问责报告。</w:t>
      </w:r>
    </w:p>
    <w:p w14:paraId="29849C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金融机构汇总各分支机构报告，银监会直接监管法人机构报送银监会机构监管部门，并抄送“回头看”工作领导小组办公室；各地方法人机构报送属地监管局；银行业金融机构的各级分支机构报送属地监管部门。各银行业金融机构应在5月31日前将汇总报告及相关附表拫送监管部门。</w:t>
      </w:r>
    </w:p>
    <w:p w14:paraId="5F7F6C23"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局按照政策性银行和邮储银行、大型银行、股份制银行、城市商业银行、农村金融机构、外资银行、信托公司、其他非</w:t>
      </w:r>
      <w:proofErr w:type="gramStart"/>
      <w:r>
        <w:rPr>
          <w:rFonts w:ascii="宋体" w:eastAsia="宋体" w:hAnsi="宋体" w:cs="宋体" w:hint="eastAsia"/>
          <w:sz w:val="24"/>
        </w:rPr>
        <w:t>银机构</w:t>
      </w:r>
      <w:proofErr w:type="gramEnd"/>
      <w:r>
        <w:rPr>
          <w:rFonts w:ascii="宋体" w:eastAsia="宋体" w:hAnsi="宋体" w:cs="宋体" w:hint="eastAsia"/>
          <w:sz w:val="24"/>
        </w:rPr>
        <w:t>的机构类别进行汇总，分别形成辖内各个机构类别的整改问</w:t>
      </w:r>
      <w:proofErr w:type="gramStart"/>
      <w:r>
        <w:rPr>
          <w:rFonts w:ascii="宋体" w:eastAsia="宋体" w:hAnsi="宋体" w:cs="宋体" w:hint="eastAsia"/>
          <w:sz w:val="24"/>
        </w:rPr>
        <w:t>责情况</w:t>
      </w:r>
      <w:proofErr w:type="gramEnd"/>
      <w:r>
        <w:rPr>
          <w:rFonts w:ascii="宋体" w:eastAsia="宋体" w:hAnsi="宋体" w:cs="宋体" w:hint="eastAsia"/>
          <w:sz w:val="24"/>
        </w:rPr>
        <w:t>报告及相关附表，于6月15日前拫送银监会相应机构监管部门，同时抄送“回头看”工作领导小组办公室。</w:t>
      </w:r>
    </w:p>
    <w:p w14:paraId="36645F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2.监管检查整改问责报告。</w:t>
      </w:r>
    </w:p>
    <w:p w14:paraId="43B04A60"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汇总辖内被查机构整改问责情况，将辖内法人机构（按法人汇总）和银监会直接监管的银行业金融机构分支机构（按一级分支机构汇总）整改问责情况，按照政策性银行和邮储银行、大型银行、股份制银行、城市商业银行、农村金融机构、外资银行、信托公司、其他非</w:t>
      </w:r>
      <w:proofErr w:type="gramStart"/>
      <w:r>
        <w:rPr>
          <w:rFonts w:ascii="宋体" w:eastAsia="宋体" w:hAnsi="宋体" w:cs="宋体" w:hint="eastAsia"/>
          <w:sz w:val="24"/>
        </w:rPr>
        <w:t>银机构</w:t>
      </w:r>
      <w:proofErr w:type="gramEnd"/>
      <w:r>
        <w:rPr>
          <w:rFonts w:ascii="宋体" w:eastAsia="宋体" w:hAnsi="宋体" w:cs="宋体" w:hint="eastAsia"/>
          <w:sz w:val="24"/>
        </w:rPr>
        <w:t>的机构类别进行汇总，形成一份全辖整改问</w:t>
      </w:r>
      <w:proofErr w:type="gramStart"/>
      <w:r>
        <w:rPr>
          <w:rFonts w:ascii="宋体" w:eastAsia="宋体" w:hAnsi="宋体" w:cs="宋体" w:hint="eastAsia"/>
          <w:sz w:val="24"/>
        </w:rPr>
        <w:t>责情况</w:t>
      </w:r>
      <w:proofErr w:type="gramEnd"/>
      <w:r>
        <w:rPr>
          <w:rFonts w:ascii="宋体" w:eastAsia="宋体" w:hAnsi="宋体" w:cs="宋体" w:hint="eastAsia"/>
          <w:sz w:val="24"/>
        </w:rPr>
        <w:t>总报告，于6月15日前将汇总报告及相关附表报送“回头看”工作领导小组办公室。同时，对其他银监局监管的各地方法人机构在本地分支机构的整改问责情况，</w:t>
      </w:r>
      <w:proofErr w:type="gramStart"/>
      <w:r>
        <w:rPr>
          <w:rFonts w:ascii="宋体" w:eastAsia="宋体" w:hAnsi="宋体" w:cs="宋体" w:hint="eastAsia"/>
          <w:sz w:val="24"/>
        </w:rPr>
        <w:t>各银监</w:t>
      </w:r>
      <w:proofErr w:type="gramEnd"/>
      <w:r>
        <w:rPr>
          <w:rFonts w:ascii="宋体" w:eastAsia="宋体" w:hAnsi="宋体" w:cs="宋体" w:hint="eastAsia"/>
          <w:sz w:val="24"/>
        </w:rPr>
        <w:t>局应及时提供给地方法人机构属地银监局，以便属地银监</w:t>
      </w:r>
      <w:proofErr w:type="gramStart"/>
      <w:r>
        <w:rPr>
          <w:rFonts w:ascii="宋体" w:eastAsia="宋体" w:hAnsi="宋体" w:cs="宋体" w:hint="eastAsia"/>
          <w:sz w:val="24"/>
        </w:rPr>
        <w:t>局形成</w:t>
      </w:r>
      <w:proofErr w:type="gramEnd"/>
      <w:r>
        <w:rPr>
          <w:rFonts w:ascii="宋体" w:eastAsia="宋体" w:hAnsi="宋体" w:cs="宋体" w:hint="eastAsia"/>
          <w:sz w:val="24"/>
        </w:rPr>
        <w:t>汇总报告。</w:t>
      </w:r>
    </w:p>
    <w:p w14:paraId="5D222A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为便于银监会各机构监管部门掌握相关情况，</w:t>
      </w:r>
      <w:proofErr w:type="gramStart"/>
      <w:r>
        <w:rPr>
          <w:rFonts w:ascii="宋体" w:eastAsia="宋体" w:hAnsi="宋体" w:cs="宋体" w:hint="eastAsia"/>
          <w:sz w:val="24"/>
        </w:rPr>
        <w:t>各银监</w:t>
      </w:r>
      <w:proofErr w:type="gramEnd"/>
      <w:r>
        <w:rPr>
          <w:rFonts w:ascii="宋体" w:eastAsia="宋体" w:hAnsi="宋体" w:cs="宋体" w:hint="eastAsia"/>
          <w:sz w:val="24"/>
        </w:rPr>
        <w:t>局应按照政策性银行和邮储银行、大型银行、股份制银行、城市商业银行、农村金融机构、外资银行、信托公司、其他非</w:t>
      </w:r>
      <w:proofErr w:type="gramStart"/>
      <w:r>
        <w:rPr>
          <w:rFonts w:ascii="宋体" w:eastAsia="宋体" w:hAnsi="宋体" w:cs="宋体" w:hint="eastAsia"/>
          <w:sz w:val="24"/>
        </w:rPr>
        <w:t>银机构</w:t>
      </w:r>
      <w:proofErr w:type="gramEnd"/>
      <w:r>
        <w:rPr>
          <w:rFonts w:ascii="宋体" w:eastAsia="宋体" w:hAnsi="宋体" w:cs="宋体" w:hint="eastAsia"/>
          <w:sz w:val="24"/>
        </w:rPr>
        <w:t>的机构类别进行汇总，分别形成辖内各个机构类别的整改问题情况分报告及相关附表，于6月15日前报送银监会相应机构监管部门，并抄送“回头看”工作领导小组办公室。</w:t>
      </w:r>
    </w:p>
    <w:p w14:paraId="02C18F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3.监管自查整改问责报告。</w:t>
      </w:r>
    </w:p>
    <w:p w14:paraId="56BD4C80"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lastRenderedPageBreak/>
        <w:t>各银监</w:t>
      </w:r>
      <w:proofErr w:type="gramEnd"/>
      <w:r>
        <w:rPr>
          <w:rFonts w:ascii="宋体" w:eastAsia="宋体" w:hAnsi="宋体" w:cs="宋体" w:hint="eastAsia"/>
          <w:sz w:val="24"/>
        </w:rPr>
        <w:t>局和会机关相关部门开展“回头看”监管自查发现问题的整改问责，于6月15日前将报告及相关附表报送“回头看”工作领导小组办公室。</w:t>
      </w:r>
    </w:p>
    <w:p w14:paraId="372CAC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中国银行业监督管理委员会办公厅</w:t>
      </w:r>
    </w:p>
    <w:p w14:paraId="47EE57AB"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2017年3日14日</w:t>
      </w:r>
    </w:p>
    <w:p w14:paraId="1DA60620" w14:textId="77777777" w:rsidR="00F50CD8" w:rsidRDefault="00000000">
      <w:pPr>
        <w:spacing w:afterLines="50" w:after="156" w:line="360" w:lineRule="auto"/>
        <w:ind w:firstLineChars="200" w:firstLine="482"/>
        <w:rPr>
          <w:rFonts w:ascii="宋体" w:eastAsia="宋体" w:hAnsi="宋体" w:cs="宋体" w:hint="eastAsia"/>
          <w:sz w:val="24"/>
        </w:rPr>
      </w:pPr>
      <w:r>
        <w:rPr>
          <w:rFonts w:ascii="宋体" w:eastAsia="宋体" w:hAnsi="宋体" w:cs="宋体" w:hint="eastAsia"/>
          <w:b/>
          <w:bCs/>
          <w:sz w:val="24"/>
        </w:rPr>
        <w:lastRenderedPageBreak/>
        <w:t>106.《中国银监会办公厅关于开展银行业“违法、违规、违章”行为专项治理工作的通知》</w:t>
      </w:r>
      <w:r>
        <w:rPr>
          <w:rFonts w:ascii="宋体" w:eastAsia="宋体" w:hAnsi="宋体" w:cs="宋体" w:hint="eastAsia"/>
          <w:b/>
          <w:bCs/>
          <w:sz w:val="24"/>
        </w:rPr>
        <w:tab/>
      </w:r>
    </w:p>
    <w:p w14:paraId="0545CC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61C8B9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文号：银监办发〔2017〕45号</w:t>
      </w:r>
    </w:p>
    <w:p w14:paraId="6C87CC41"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局，机关各部门，各政策性银行、大型银行、股份制银行，邮 储银行，外资银行，金融资产管理公司：</w:t>
      </w:r>
    </w:p>
    <w:p w14:paraId="30B3D2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为进一步防控金融风险，治理金融乱象，</w:t>
      </w:r>
      <w:proofErr w:type="gramStart"/>
      <w:r>
        <w:rPr>
          <w:rFonts w:ascii="宋体" w:eastAsia="宋体" w:hAnsi="宋体" w:cs="宋体" w:hint="eastAsia"/>
          <w:sz w:val="24"/>
        </w:rPr>
        <w:t>坚</w:t>
      </w:r>
      <w:proofErr w:type="gramEnd"/>
      <w:r>
        <w:rPr>
          <w:rFonts w:ascii="宋体" w:eastAsia="宋体" w:hAnsi="宋体" w:cs="宋体" w:hint="eastAsia"/>
          <w:sz w:val="24"/>
        </w:rPr>
        <w:t>決打击违法违规违章行为，督促银行业金融机构加强合</w:t>
      </w:r>
      <w:proofErr w:type="gramStart"/>
      <w:r>
        <w:rPr>
          <w:rFonts w:ascii="宋体" w:eastAsia="宋体" w:hAnsi="宋体" w:cs="宋体" w:hint="eastAsia"/>
          <w:sz w:val="24"/>
        </w:rPr>
        <w:t>规</w:t>
      </w:r>
      <w:proofErr w:type="gramEnd"/>
      <w:r>
        <w:rPr>
          <w:rFonts w:ascii="宋体" w:eastAsia="宋体" w:hAnsi="宋体" w:cs="宋体" w:hint="eastAsia"/>
          <w:sz w:val="24"/>
        </w:rPr>
        <w:t>管理，</w:t>
      </w:r>
      <w:proofErr w:type="gramStart"/>
      <w:r>
        <w:rPr>
          <w:rFonts w:ascii="宋体" w:eastAsia="宋体" w:hAnsi="宋体" w:cs="宋体" w:hint="eastAsia"/>
          <w:sz w:val="24"/>
        </w:rPr>
        <w:t>扎严“制度笼子”</w:t>
      </w:r>
      <w:proofErr w:type="gramEnd"/>
      <w:r>
        <w:rPr>
          <w:rFonts w:ascii="宋体" w:eastAsia="宋体" w:hAnsi="宋体" w:cs="宋体" w:hint="eastAsia"/>
          <w:sz w:val="24"/>
        </w:rPr>
        <w:t>，稳健规范发展，更好地服务于实体经济，决定在银行业金融机构中全面开展“违反金融法律、违反监管规则、违反内部规章”（以下简称 “三违反”）行为专项治理工作。现将有关事项通知如下：</w:t>
      </w:r>
    </w:p>
    <w:p w14:paraId="7D9E45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一、明确目标任务，坚持问题导向</w:t>
      </w:r>
    </w:p>
    <w:p w14:paraId="3BD735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当前银行业金融机构制度存在一些漏洞和“牛栏关猫”现象，有章不循、违规操作等问题屡查屡犯、</w:t>
      </w:r>
      <w:proofErr w:type="gramStart"/>
      <w:r>
        <w:rPr>
          <w:rFonts w:ascii="宋体" w:eastAsia="宋体" w:hAnsi="宋体" w:cs="宋体" w:hint="eastAsia"/>
          <w:sz w:val="24"/>
        </w:rPr>
        <w:t>屡贸屡犯</w:t>
      </w:r>
      <w:proofErr w:type="gramEnd"/>
      <w:r>
        <w:rPr>
          <w:rFonts w:ascii="宋体" w:eastAsia="宋体" w:hAnsi="宋体" w:cs="宋体" w:hint="eastAsia"/>
          <w:sz w:val="24"/>
        </w:rPr>
        <w:t>，必须进行全面治理。通过开展“三违反”行为专项治理，促使银行业金融机构进一步深化合</w:t>
      </w:r>
      <w:proofErr w:type="gramStart"/>
      <w:r>
        <w:rPr>
          <w:rFonts w:ascii="宋体" w:eastAsia="宋体" w:hAnsi="宋体" w:cs="宋体" w:hint="eastAsia"/>
          <w:sz w:val="24"/>
        </w:rPr>
        <w:t>规</w:t>
      </w:r>
      <w:proofErr w:type="gramEnd"/>
      <w:r>
        <w:rPr>
          <w:rFonts w:ascii="宋体" w:eastAsia="宋体" w:hAnsi="宋体" w:cs="宋体" w:hint="eastAsia"/>
          <w:sz w:val="24"/>
        </w:rPr>
        <w:t>文化建设，筑牢依法依规依章经营的制度基础和机制保障，消除风险管控盲区，切实做到令行禁止，着力打造“铁的信用、铁的制度、铁的纪律”，确保“不越监管底线、不踩规章红线、不碰违法违规高压线”。</w:t>
      </w:r>
    </w:p>
    <w:p w14:paraId="4A2E7A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和各级监管机构要充分认识开展“三违反”行为专项治理工作的重要性，切实按照要求做好治理工作。一是认真落实治理工作的主体责任和监管责任，正视问题和风险隐患，敢于揭盖子，要举一反三，以小见大，注重查错纠弊，严厉整改问责。二是深刻认识违规可能带来的惨痛代价，树立依法经营、合</w:t>
      </w:r>
      <w:proofErr w:type="gramStart"/>
      <w:r>
        <w:rPr>
          <w:rFonts w:ascii="宋体" w:eastAsia="宋体" w:hAnsi="宋体" w:cs="宋体" w:hint="eastAsia"/>
          <w:sz w:val="24"/>
        </w:rPr>
        <w:t>规</w:t>
      </w:r>
      <w:proofErr w:type="gramEnd"/>
      <w:r>
        <w:rPr>
          <w:rFonts w:ascii="宋体" w:eastAsia="宋体" w:hAnsi="宋体" w:cs="宋体" w:hint="eastAsia"/>
          <w:sz w:val="24"/>
        </w:rPr>
        <w:t>经营、安全经营创造效益的理念，使金融法律、监管规则、内部规章都成为“带电的高压线”。三是紧盯关键制度、关键岗位、关键人员，重点关注二级及以下分支机构及其负责人，加强薄弱环节、案件多发领域风险排查，对合</w:t>
      </w:r>
      <w:proofErr w:type="gramStart"/>
      <w:r>
        <w:rPr>
          <w:rFonts w:ascii="宋体" w:eastAsia="宋体" w:hAnsi="宋体" w:cs="宋体" w:hint="eastAsia"/>
          <w:sz w:val="24"/>
        </w:rPr>
        <w:t>规</w:t>
      </w:r>
      <w:proofErr w:type="gramEnd"/>
      <w:r>
        <w:rPr>
          <w:rFonts w:ascii="宋体" w:eastAsia="宋体" w:hAnsi="宋体" w:cs="宋体" w:hint="eastAsia"/>
          <w:sz w:val="24"/>
        </w:rPr>
        <w:t>管理抓早抓小，真正发挥内部规章制度“第一道闸门”作用。四是将监管规则内植于经营管理，嵌入整个运行体系，查缺补漏，筑好“篱笆”，做到有</w:t>
      </w:r>
      <w:proofErr w:type="gramStart"/>
      <w:r>
        <w:rPr>
          <w:rFonts w:ascii="宋体" w:eastAsia="宋体" w:hAnsi="宋体" w:cs="宋体" w:hint="eastAsia"/>
          <w:sz w:val="24"/>
        </w:rPr>
        <w:t>规</w:t>
      </w:r>
      <w:proofErr w:type="gramEnd"/>
      <w:r>
        <w:rPr>
          <w:rFonts w:ascii="宋体" w:eastAsia="宋体" w:hAnsi="宋体" w:cs="宋体" w:hint="eastAsia"/>
          <w:sz w:val="24"/>
        </w:rPr>
        <w:t>可依、</w:t>
      </w:r>
      <w:r>
        <w:rPr>
          <w:rFonts w:ascii="宋体" w:eastAsia="宋体" w:hAnsi="宋体" w:cs="宋体" w:hint="eastAsia"/>
          <w:sz w:val="24"/>
        </w:rPr>
        <w:lastRenderedPageBreak/>
        <w:t>有</w:t>
      </w:r>
      <w:proofErr w:type="gramStart"/>
      <w:r>
        <w:rPr>
          <w:rFonts w:ascii="宋体" w:eastAsia="宋体" w:hAnsi="宋体" w:cs="宋体" w:hint="eastAsia"/>
          <w:sz w:val="24"/>
        </w:rPr>
        <w:t>规</w:t>
      </w:r>
      <w:proofErr w:type="gramEnd"/>
      <w:r>
        <w:rPr>
          <w:rFonts w:ascii="宋体" w:eastAsia="宋体" w:hAnsi="宋体" w:cs="宋体" w:hint="eastAsia"/>
          <w:sz w:val="24"/>
        </w:rPr>
        <w:t>必依、纠查必严、违规必惩，对存在问题的机构和员工，要发现一起查处一起，涉嫌违法犯罪的要及时移送司法机关。五是继续弘扬“铁账本、铁算盘、铁规章”的“三铁”传统，“管好自己的员工，做好自己的业务，看好自己的资金”。各级监管机构要增强</w:t>
      </w:r>
      <w:proofErr w:type="gramStart"/>
      <w:r>
        <w:rPr>
          <w:rFonts w:ascii="宋体" w:eastAsia="宋体" w:hAnsi="宋体" w:cs="宋体" w:hint="eastAsia"/>
          <w:sz w:val="24"/>
        </w:rPr>
        <w:t>同风险</w:t>
      </w:r>
      <w:proofErr w:type="gramEnd"/>
      <w:r>
        <w:rPr>
          <w:rFonts w:ascii="宋体" w:eastAsia="宋体" w:hAnsi="宋体" w:cs="宋体" w:hint="eastAsia"/>
          <w:sz w:val="24"/>
        </w:rPr>
        <w:t>赛跑的意识，履行好守护人的职责。</w:t>
      </w:r>
    </w:p>
    <w:p w14:paraId="742617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二、加强组织领导，扎实有序推进</w:t>
      </w:r>
    </w:p>
    <w:p w14:paraId="745B52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总体安排。银行业金融机构负责组织实施本系统各级机构自查；银监会各机构监管部门负责组织推动所监管机构的自查、“上对下”抽查，并进行督导；银监会现场检查局负责组织推动对银行业金融机构的监管检查工作；</w:t>
      </w:r>
      <w:proofErr w:type="gramStart"/>
      <w:r>
        <w:rPr>
          <w:rFonts w:ascii="宋体" w:eastAsia="宋体" w:hAnsi="宋体" w:cs="宋体" w:hint="eastAsia"/>
          <w:sz w:val="24"/>
        </w:rPr>
        <w:t>各银监</w:t>
      </w:r>
      <w:proofErr w:type="gramEnd"/>
      <w:r>
        <w:rPr>
          <w:rFonts w:ascii="宋体" w:eastAsia="宋体" w:hAnsi="宋体" w:cs="宋体" w:hint="eastAsia"/>
          <w:sz w:val="24"/>
        </w:rPr>
        <w:t>局负责组织推动辖内机构的自查工作，并组织实施对辖内机构的监管检查。机构自查和监管检查的业务范围均为2016年末有余额的各类业务，必要时可以上溯或下延。</w:t>
      </w:r>
    </w:p>
    <w:p w14:paraId="6E66D1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机构自查。各银行业金融机构要开展全系统自查及“上对下”抽查，全面覆盖体制、机制、系统、流程、人员及业务，结合自身特点细化自查方案，自主确定自查和“上查下”的机构数量和业务比例。自查和“上查下”要有组织、有安排、有实施、有记录，自查发现案件线索的，要及时移送司法机关。对机构应查未查、应发现未发现、应处未处和处理不到位的问题，监管机构一经发现，从严从重处理。</w:t>
      </w:r>
    </w:p>
    <w:p w14:paraId="797FF8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（三）监管检查。银监会各机构监管部门根据日常监管掌握情况，结合以往非现场监管和现场检查发现的问题和风险隐患开展督导工作。</w:t>
      </w:r>
      <w:proofErr w:type="gramStart"/>
      <w:r>
        <w:rPr>
          <w:rFonts w:ascii="宋体" w:eastAsia="宋体" w:hAnsi="宋体" w:cs="宋体" w:hint="eastAsia"/>
          <w:sz w:val="24"/>
        </w:rPr>
        <w:t>各银监</w:t>
      </w:r>
      <w:proofErr w:type="gramEnd"/>
      <w:r>
        <w:rPr>
          <w:rFonts w:ascii="宋体" w:eastAsia="宋体" w:hAnsi="宋体" w:cs="宋体" w:hint="eastAsia"/>
          <w:sz w:val="24"/>
        </w:rPr>
        <w:t>局要切实履行属地监管职责，可根据辖内风险状况自行确定检查机构的数量和业务比例，结合被查机构经营特点细化检查方案。监管检查原则上釆取“双随机”方式进行，应实现辖内机构类别全覆盖，并注重对法人机构的检查。同时，</w:t>
      </w:r>
      <w:proofErr w:type="gramStart"/>
      <w:r>
        <w:rPr>
          <w:rFonts w:ascii="宋体" w:eastAsia="宋体" w:hAnsi="宋体" w:cs="宋体" w:hint="eastAsia"/>
          <w:sz w:val="24"/>
        </w:rPr>
        <w:t>各银监</w:t>
      </w:r>
      <w:proofErr w:type="gramEnd"/>
      <w:r>
        <w:rPr>
          <w:rFonts w:ascii="宋体" w:eastAsia="宋体" w:hAnsi="宋体" w:cs="宋体" w:hint="eastAsia"/>
          <w:sz w:val="24"/>
        </w:rPr>
        <w:t>局在2017年实施的所有检查项目中，都应全面落实“三违反”专项治理工作的检查要点。</w:t>
      </w:r>
    </w:p>
    <w:p w14:paraId="3D6117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三、落实报告要求，确保治理实效</w:t>
      </w:r>
    </w:p>
    <w:p w14:paraId="50CD00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（一）机构自查报告</w:t>
      </w:r>
    </w:p>
    <w:p w14:paraId="63AB2F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 报告路径。各银行业金融机构应在汇总分支机构自查情况基础上，于2017年6月12日前将自查报告（文字及附表）报送监管部门。其中，银监会直</w:t>
      </w:r>
      <w:r>
        <w:rPr>
          <w:rFonts w:ascii="宋体" w:eastAsia="宋体" w:hAnsi="宋体" w:cs="宋体" w:hint="eastAsia"/>
          <w:sz w:val="24"/>
        </w:rPr>
        <w:lastRenderedPageBreak/>
        <w:t>接监管的法人机构将自查报告报送至银监会对应的机构监管部门，并抄送现场检查局；地方法人机构将自查报告报送至属地银监局（分局），并抄送银监会对应机构监管部门和现场检查局；银行业金融机构各级分支机构应将本级自查情况报送至属地银监局（分局）。对自查发现的重大违规问题，应及时专题报送。</w:t>
      </w:r>
    </w:p>
    <w:p w14:paraId="39544D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2017年11月30日前，各银行业金融机构要全面完成自查、“上查下”以及监管检查发现问题的整改和问责工作，并形成报告（文字及附表）报送监管部门，报告路径同上。</w:t>
      </w:r>
    </w:p>
    <w:p w14:paraId="723B10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 报告要求。银行业金融机构的自查报告将作为非现场监管和现场检查的重要参考依据，须由主要负责人签发。自查报告的内容应包括：一是自查工作组织实施情况；二是内部规章与合</w:t>
      </w:r>
      <w:proofErr w:type="gramStart"/>
      <w:r>
        <w:rPr>
          <w:rFonts w:ascii="宋体" w:eastAsia="宋体" w:hAnsi="宋体" w:cs="宋体" w:hint="eastAsia"/>
          <w:sz w:val="24"/>
        </w:rPr>
        <w:t>规</w:t>
      </w:r>
      <w:proofErr w:type="gramEnd"/>
      <w:r>
        <w:rPr>
          <w:rFonts w:ascii="宋体" w:eastAsia="宋体" w:hAnsi="宋体" w:cs="宋体" w:hint="eastAsia"/>
          <w:sz w:val="24"/>
        </w:rPr>
        <w:t>机制基本情况及总体评价；三是自查发现的主要问题；四是问题存在的原因；五是整改和问</w:t>
      </w:r>
      <w:proofErr w:type="gramStart"/>
      <w:r>
        <w:rPr>
          <w:rFonts w:ascii="宋体" w:eastAsia="宋体" w:hAnsi="宋体" w:cs="宋体" w:hint="eastAsia"/>
          <w:sz w:val="24"/>
        </w:rPr>
        <w:t>责工作</w:t>
      </w:r>
      <w:proofErr w:type="gramEnd"/>
      <w:r>
        <w:rPr>
          <w:rFonts w:ascii="宋体" w:eastAsia="宋体" w:hAnsi="宋体" w:cs="宋体" w:hint="eastAsia"/>
          <w:sz w:val="24"/>
        </w:rPr>
        <w:t>的具体情况，包括整改和问责进度安排、已（拟）釆取的整改和问责措施、责任部门及责任人、对未整改和问责问题的说明等，并附整改</w:t>
      </w:r>
      <w:proofErr w:type="gramStart"/>
      <w:r>
        <w:rPr>
          <w:rFonts w:ascii="宋体" w:eastAsia="宋体" w:hAnsi="宋体" w:cs="宋体" w:hint="eastAsia"/>
          <w:sz w:val="24"/>
        </w:rPr>
        <w:t>问责台账</w:t>
      </w:r>
      <w:proofErr w:type="gramEnd"/>
      <w:r>
        <w:rPr>
          <w:rFonts w:ascii="宋体" w:eastAsia="宋体" w:hAnsi="宋体" w:cs="宋体" w:hint="eastAsia"/>
          <w:sz w:val="24"/>
        </w:rPr>
        <w:t>；六是对监管工作的建议；七是下一步工作措施等。</w:t>
      </w:r>
    </w:p>
    <w:p w14:paraId="5EF74D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（二）监管检查报告</w:t>
      </w:r>
    </w:p>
    <w:p w14:paraId="5073D4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 报告路径。</w:t>
      </w:r>
      <w:proofErr w:type="gramStart"/>
      <w:r>
        <w:rPr>
          <w:rFonts w:ascii="宋体" w:eastAsia="宋体" w:hAnsi="宋体" w:cs="宋体" w:hint="eastAsia"/>
          <w:sz w:val="24"/>
        </w:rPr>
        <w:t>各银监</w:t>
      </w:r>
      <w:proofErr w:type="gramEnd"/>
      <w:r>
        <w:rPr>
          <w:rFonts w:ascii="宋体" w:eastAsia="宋体" w:hAnsi="宋体" w:cs="宋体" w:hint="eastAsia"/>
          <w:sz w:val="24"/>
        </w:rPr>
        <w:t>局的监管检查应形成“1 + N”份检查报告，即1份汇总辖内检查工作情况的总报告，N</w:t>
      </w:r>
      <w:proofErr w:type="gramStart"/>
      <w:r>
        <w:rPr>
          <w:rFonts w:ascii="宋体" w:eastAsia="宋体" w:hAnsi="宋体" w:cs="宋体" w:hint="eastAsia"/>
          <w:sz w:val="24"/>
        </w:rPr>
        <w:t>份按行别</w:t>
      </w:r>
      <w:proofErr w:type="gramEnd"/>
      <w:r>
        <w:rPr>
          <w:rFonts w:ascii="宋体" w:eastAsia="宋体" w:hAnsi="宋体" w:cs="宋体" w:hint="eastAsia"/>
          <w:sz w:val="24"/>
        </w:rPr>
        <w:t>或机构类别汇总的分报告。其中，银监会直接监管机构的分支机构，以及城市商业银行、外资银行按</w:t>
      </w:r>
      <w:proofErr w:type="gramStart"/>
      <w:r>
        <w:rPr>
          <w:rFonts w:ascii="宋体" w:eastAsia="宋体" w:hAnsi="宋体" w:cs="宋体" w:hint="eastAsia"/>
          <w:sz w:val="24"/>
        </w:rPr>
        <w:t>行别分别</w:t>
      </w:r>
      <w:proofErr w:type="gramEnd"/>
      <w:r>
        <w:rPr>
          <w:rFonts w:ascii="宋体" w:eastAsia="宋体" w:hAnsi="宋体" w:cs="宋体" w:hint="eastAsia"/>
          <w:sz w:val="24"/>
        </w:rPr>
        <w:t>汇总，农村中小金融机构按农村银行、农信社、新型农村金融机构分别汇总，非银行金融机构按信托公司、财务公司、金融租赁公司、消费金融公司等机构类别分别汇总。</w:t>
      </w:r>
    </w:p>
    <w:p w14:paraId="06B5E169"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于2017年6月12日前报送检查报告、附表及典型案例；6月底前报送现场检查意见书；7月底前报送“三违反”专项治理最终处理处罚结果（文字及附表）。上述材料报送银监会现场检查局的同时，抄送对应机构监管部门。</w:t>
      </w:r>
    </w:p>
    <w:p w14:paraId="0A951E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2017年6月30日前，银监会各机构监管部门汇总、上报所监管条</w:t>
      </w:r>
      <w:proofErr w:type="gramStart"/>
      <w:r>
        <w:rPr>
          <w:rFonts w:ascii="宋体" w:eastAsia="宋体" w:hAnsi="宋体" w:cs="宋体" w:hint="eastAsia"/>
          <w:sz w:val="24"/>
        </w:rPr>
        <w:t>线机构</w:t>
      </w:r>
      <w:proofErr w:type="gramEnd"/>
      <w:r>
        <w:rPr>
          <w:rFonts w:ascii="宋体" w:eastAsia="宋体" w:hAnsi="宋体" w:cs="宋体" w:hint="eastAsia"/>
          <w:sz w:val="24"/>
        </w:rPr>
        <w:t>自查、监管督导及监管检查情况；现场检查局汇总、上报银监会“三违反”行为专项治理检查情况。</w:t>
      </w:r>
    </w:p>
    <w:p w14:paraId="15CCB9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2. 报告内容。</w:t>
      </w:r>
      <w:proofErr w:type="gramStart"/>
      <w:r>
        <w:rPr>
          <w:rFonts w:ascii="宋体" w:eastAsia="宋体" w:hAnsi="宋体" w:cs="宋体" w:hint="eastAsia"/>
          <w:sz w:val="24"/>
        </w:rPr>
        <w:t>各银监</w:t>
      </w:r>
      <w:proofErr w:type="gramEnd"/>
      <w:r>
        <w:rPr>
          <w:rFonts w:ascii="宋体" w:eastAsia="宋体" w:hAnsi="宋体" w:cs="宋体" w:hint="eastAsia"/>
          <w:sz w:val="24"/>
        </w:rPr>
        <w:t>局的检查报告应包括以下内容：一是监管检查的组织实施情况；二是机构内部规章及合</w:t>
      </w:r>
      <w:proofErr w:type="gramStart"/>
      <w:r>
        <w:rPr>
          <w:rFonts w:ascii="宋体" w:eastAsia="宋体" w:hAnsi="宋体" w:cs="宋体" w:hint="eastAsia"/>
          <w:sz w:val="24"/>
        </w:rPr>
        <w:t>规</w:t>
      </w:r>
      <w:proofErr w:type="gramEnd"/>
      <w:r>
        <w:rPr>
          <w:rFonts w:ascii="宋体" w:eastAsia="宋体" w:hAnsi="宋体" w:cs="宋体" w:hint="eastAsia"/>
          <w:sz w:val="24"/>
        </w:rPr>
        <w:t>管理机制建设和执行的总体情况；三是检查发现的主要问题和风险隐患；四是问题原因分析；五是釆取的审慎监管措施，以及已（拟）处理处罚措施；六是相关政策建议等。</w:t>
      </w:r>
    </w:p>
    <w:p w14:paraId="69EADCD4"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局在监管检查中要注意收集整理2-3个典型案例，对分支机构因总行制度缺陷和管理漏洞而发生的问题，应在检查报告中予以体现。同时，对检查中发现的重大风险问题，应及时专题报送银监会。</w:t>
      </w:r>
    </w:p>
    <w:p w14:paraId="7226AD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（三）监管措施</w:t>
      </w:r>
    </w:p>
    <w:p w14:paraId="50D6E9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银监会各机构监管部门</w:t>
      </w:r>
      <w:proofErr w:type="gramStart"/>
      <w:r>
        <w:rPr>
          <w:rFonts w:ascii="宋体" w:eastAsia="宋体" w:hAnsi="宋体" w:cs="宋体" w:hint="eastAsia"/>
          <w:sz w:val="24"/>
        </w:rPr>
        <w:t>和各银监</w:t>
      </w:r>
      <w:proofErr w:type="gramEnd"/>
      <w:r>
        <w:rPr>
          <w:rFonts w:ascii="宋体" w:eastAsia="宋体" w:hAnsi="宋体" w:cs="宋体" w:hint="eastAsia"/>
          <w:sz w:val="24"/>
        </w:rPr>
        <w:t>局应结合机构自查、监管督导、监管检查和日常监管掌握的问题，提出针对性的监管意见，一行</w:t>
      </w:r>
      <w:proofErr w:type="gramStart"/>
      <w:r>
        <w:rPr>
          <w:rFonts w:ascii="宋体" w:eastAsia="宋体" w:hAnsi="宋体" w:cs="宋体" w:hint="eastAsia"/>
          <w:sz w:val="24"/>
        </w:rPr>
        <w:t>一</w:t>
      </w:r>
      <w:proofErr w:type="gramEnd"/>
      <w:r>
        <w:rPr>
          <w:rFonts w:ascii="宋体" w:eastAsia="宋体" w:hAnsi="宋体" w:cs="宋体" w:hint="eastAsia"/>
          <w:sz w:val="24"/>
        </w:rPr>
        <w:t>策，督促机构严格整改问责。并视情况釆取责令暂停业务、停止批准开办新业务、停止批准增设分支机构、责令调整董事及高管等审慎监管措施。</w:t>
      </w:r>
    </w:p>
    <w:p w14:paraId="5FCCF1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四、严肃整改问责，依法廉洁监管</w:t>
      </w:r>
    </w:p>
    <w:p w14:paraId="545957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对“三违反”专项治理工作中发现的问题，银行业金融机构要落实风险管控的主体责任，切实整改，严肃问责。对一时难以整改问责到位的问题，要建立台账，明确时限，责任到人。</w:t>
      </w:r>
    </w:p>
    <w:p w14:paraId="027407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各级监管机构要强化监管处罚，真正落实“三铁三见”要求。 一是对自查工作不落实、屡查屡犯不收手、整改</w:t>
      </w:r>
      <w:proofErr w:type="gramStart"/>
      <w:r>
        <w:rPr>
          <w:rFonts w:ascii="宋体" w:eastAsia="宋体" w:hAnsi="宋体" w:cs="宋体" w:hint="eastAsia"/>
          <w:sz w:val="24"/>
        </w:rPr>
        <w:t>问责不到位</w:t>
      </w:r>
      <w:proofErr w:type="gramEnd"/>
      <w:r>
        <w:rPr>
          <w:rFonts w:ascii="宋体" w:eastAsia="宋体" w:hAnsi="宋体" w:cs="宋体" w:hint="eastAsia"/>
          <w:sz w:val="24"/>
        </w:rPr>
        <w:t>、监管检查不配合的机构，要依法从严釆取监管措施。二是切实做到应处必处，应</w:t>
      </w:r>
      <w:proofErr w:type="gramStart"/>
      <w:r>
        <w:rPr>
          <w:rFonts w:ascii="宋体" w:eastAsia="宋体" w:hAnsi="宋体" w:cs="宋体" w:hint="eastAsia"/>
          <w:sz w:val="24"/>
        </w:rPr>
        <w:t>罚尽罚</w:t>
      </w:r>
      <w:proofErr w:type="gramEnd"/>
      <w:r>
        <w:rPr>
          <w:rFonts w:ascii="宋体" w:eastAsia="宋体" w:hAnsi="宋体" w:cs="宋体" w:hint="eastAsia"/>
          <w:sz w:val="24"/>
        </w:rPr>
        <w:t>，特别是对于重大经营管理信息隐瞒不报、花样翻新的利益输送等问题，要从严从重处罚。对高管人员违规参与非法融资活动的，坚决依法取消任职资格。对检查发现的案件线索，要及时移送司法机关。三是依法建立处罚机制。既要没收非法所得，也要处以罚款；要对违规机构和相关责任人员实施“双罚”；要将处罚结果与市场准入、履职评价、监管评级等挂钩；要进行通报和曝光，强化震慑效应。</w:t>
      </w:r>
    </w:p>
    <w:p w14:paraId="385021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各级监管机构要严格按照中央“八项规定”精神和整治“四风” 要求，依法廉洁开展治理工作，严格执行银监会现场检查纪律，严格遵守保密规定，对于违反各项纪律的行为要坚决纠正并严肃处理。</w:t>
      </w:r>
    </w:p>
    <w:p w14:paraId="752E66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为统筹推进“三违反”行为专项治理工作，</w:t>
      </w:r>
      <w:proofErr w:type="gramStart"/>
      <w:r>
        <w:rPr>
          <w:rFonts w:ascii="宋体" w:eastAsia="宋体" w:hAnsi="宋体" w:cs="宋体" w:hint="eastAsia"/>
          <w:sz w:val="24"/>
        </w:rPr>
        <w:t>请各银监</w:t>
      </w:r>
      <w:proofErr w:type="gramEnd"/>
      <w:r>
        <w:rPr>
          <w:rFonts w:ascii="宋体" w:eastAsia="宋体" w:hAnsi="宋体" w:cs="宋体" w:hint="eastAsia"/>
          <w:sz w:val="24"/>
        </w:rPr>
        <w:t>局确定一名局级领导牵头负责，并确定一名处级干部担任联络人，于3月底前将相关人员名单及联系电话发送银监会现场检查局。</w:t>
      </w:r>
    </w:p>
    <w:p w14:paraId="1013E5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中国银行业监督管理委员会办公厅</w:t>
      </w:r>
    </w:p>
    <w:p w14:paraId="6664E97A"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2017年3月28日</w:t>
      </w:r>
    </w:p>
    <w:p w14:paraId="485DEA00"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107.《中国银监会办公厅关于开展银行业“监管套利、空转套利、关联套利”专项治理工作的通知》</w:t>
      </w:r>
    </w:p>
    <w:p w14:paraId="55E6E5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15FC88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文号：银监办发〔2017〕46号</w:t>
      </w:r>
    </w:p>
    <w:p w14:paraId="1402D5B1"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局，机关各部门，各政策性银行、大型银行、股份制银行，邮 储银行，外资银行，金融资产管理公司：</w:t>
      </w:r>
    </w:p>
    <w:p w14:paraId="4BCC98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贯彻落实中央经济工作会议精神，引导银行业回归本源，专注主业，规范经营行为，有效防控风险，不断提高服务实体经济质效，银监会决定在银行业金融机构全面开展“监管套利、空转套利、关联套利”（以下简称“三套利”）专项治理工作。现将有关事项通知如下：</w:t>
      </w:r>
    </w:p>
    <w:p w14:paraId="030CF9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一、提高思想认识，明确目标任务</w:t>
      </w:r>
    </w:p>
    <w:p w14:paraId="23CAD3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次专项治理工作是贯彻落实中央经济工作会议精神和银监会2017年度工作计划的具体部署，是针对当前各银行业金融机构同业业务、投资业务、理财业务等跨市场、跨行业交叉性金融业务中存在的杠杆高、嵌套多、链条长、套利多等问题开展的专项治理。</w:t>
      </w:r>
    </w:p>
    <w:p w14:paraId="371044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各银行业金融机构和各级监管部门机构要高度重视，狠抓落实，整治部分机构存在的“干活不弯腰”、“坐地收钱”、“只收费不服务”等官商作风；缩短企业融资链条，降低企业债务杠杆，切实查纠偏</w:t>
      </w:r>
      <w:proofErr w:type="gramStart"/>
      <w:r>
        <w:rPr>
          <w:rFonts w:ascii="宋体" w:eastAsia="宋体" w:hAnsi="宋体" w:cs="宋体" w:hint="eastAsia"/>
          <w:sz w:val="24"/>
        </w:rPr>
        <w:t>离服务</w:t>
      </w:r>
      <w:proofErr w:type="gramEnd"/>
      <w:r>
        <w:rPr>
          <w:rFonts w:ascii="宋体" w:eastAsia="宋体" w:hAnsi="宋体" w:cs="宋体" w:hint="eastAsia"/>
          <w:sz w:val="24"/>
        </w:rPr>
        <w:t>实体经济的业务和行为；使资金真正投向实体经济，提高金融服务实体经济的能力和水平。</w:t>
      </w:r>
    </w:p>
    <w:p w14:paraId="060E1C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二、加强组织领导，扎实有序推进</w:t>
      </w:r>
    </w:p>
    <w:p w14:paraId="665CCD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总体安排。各银行业金融机构负责组织实施本系统各级机构自查；银监会各机构监管部门负责组织推动所监管机构的自查、“上对下”抽查，并进行督导；银监会现场检查局负责组织推动对银行业金融机构的监管检查工作；</w:t>
      </w:r>
      <w:proofErr w:type="gramStart"/>
      <w:r>
        <w:rPr>
          <w:rFonts w:ascii="宋体" w:eastAsia="宋体" w:hAnsi="宋体" w:cs="宋体" w:hint="eastAsia"/>
          <w:sz w:val="24"/>
        </w:rPr>
        <w:t>各银监</w:t>
      </w:r>
      <w:proofErr w:type="gramEnd"/>
      <w:r>
        <w:rPr>
          <w:rFonts w:ascii="宋体" w:eastAsia="宋体" w:hAnsi="宋体" w:cs="宋体" w:hint="eastAsia"/>
          <w:sz w:val="24"/>
        </w:rPr>
        <w:t>局负责组织推动辖内机构的自查工作，并组织实施对辖内机构的监管检查。机构自查和监管检查的业务范围均为2016年末有余额的各类业务，必要时可以上溯或下延。</w:t>
      </w:r>
    </w:p>
    <w:p w14:paraId="11338D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机构自查。各银行业金融机构要开展全系统自查及“上对下”抽查，全面覆盖体制、机制、系统、流程、人员及业务，结合自身特点细化自查方案，自主确定自查和“上查下”的机构数量及业务比例。自查和“上查下”要有组织、有安排、有实施、有记录，自查发现案件线索的，要及时移送司法机关。对机构应查未查、应发现未发现、应处未处和处理不到位的问题，监管机构一经发现，将从严从重处理。</w:t>
      </w:r>
    </w:p>
    <w:p w14:paraId="01D93A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（三）监管检查。银监会各机构监管部门根据日常监管掌握情况，结合以往非现场监管和现场检查发现的问题和风险隐患开展督导工作。</w:t>
      </w:r>
      <w:proofErr w:type="gramStart"/>
      <w:r>
        <w:rPr>
          <w:rFonts w:ascii="宋体" w:eastAsia="宋体" w:hAnsi="宋体" w:cs="宋体" w:hint="eastAsia"/>
          <w:sz w:val="24"/>
        </w:rPr>
        <w:t>各银监</w:t>
      </w:r>
      <w:proofErr w:type="gramEnd"/>
      <w:r>
        <w:rPr>
          <w:rFonts w:ascii="宋体" w:eastAsia="宋体" w:hAnsi="宋体" w:cs="宋体" w:hint="eastAsia"/>
          <w:sz w:val="24"/>
        </w:rPr>
        <w:t>局要切实履行属地监管职责，可根据辖内风险状况自行确定检查机构的数量和业务比例，结合被查机构经营特点细化检查方案。监管检查原则上釆取“双随机”方式进行，应实现辖内机构类别全覆盖，并注重对法人机构的检查。同时，</w:t>
      </w:r>
      <w:proofErr w:type="gramStart"/>
      <w:r>
        <w:rPr>
          <w:rFonts w:ascii="宋体" w:eastAsia="宋体" w:hAnsi="宋体" w:cs="宋体" w:hint="eastAsia"/>
          <w:sz w:val="24"/>
        </w:rPr>
        <w:t>各银监</w:t>
      </w:r>
      <w:proofErr w:type="gramEnd"/>
      <w:r>
        <w:rPr>
          <w:rFonts w:ascii="宋体" w:eastAsia="宋体" w:hAnsi="宋体" w:cs="宋体" w:hint="eastAsia"/>
          <w:sz w:val="24"/>
        </w:rPr>
        <w:t>局在今年实施的所有检查项目中，都应全面落实“三套利”专项治理工作的检查要点。</w:t>
      </w:r>
    </w:p>
    <w:p w14:paraId="05950D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三、落实报告要求，确保治理实效</w:t>
      </w:r>
    </w:p>
    <w:p w14:paraId="422CBB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（一）机构自查要求报告</w:t>
      </w:r>
    </w:p>
    <w:p w14:paraId="4919CE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报告路径。各银行业金融机构应在汇总分支机构自查情况基础上，于2017年6月12日前将自查报告（文字及附表）报送监管部门。其中，银监会直接监管的法人机构将自查报告报送至银监会对应的机构监管部门，并抄送现场检查局；地方法人机构将自查报告报送至属地银监局（分局），并抄送银监会对应机构监管部门和现场检查局；银行业金融机构各级分支机构应将本级自查情况报送至属地银监局（分局）。对自查发现的重大违规问题，应及时专题报送。</w:t>
      </w:r>
    </w:p>
    <w:p w14:paraId="7E1BAF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2017年11月30日前，各银行业金融机构要全面完成自查、“上查下”以及监管检查发现问题的整改和问责工作，并形成报告（文字及附表）报送监管部门，报告路径同上。</w:t>
      </w:r>
    </w:p>
    <w:p w14:paraId="071E03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2.报告要求。银行业金融机构的自查报告将作为非现场监管和现场检查的重要参考依据，须由主要负责人签发。自查报告的内容应包括：一是自查工作组织实施情况；二是内部规章与合</w:t>
      </w:r>
      <w:proofErr w:type="gramStart"/>
      <w:r>
        <w:rPr>
          <w:rFonts w:ascii="宋体" w:eastAsia="宋体" w:hAnsi="宋体" w:cs="宋体" w:hint="eastAsia"/>
          <w:sz w:val="24"/>
        </w:rPr>
        <w:t>规</w:t>
      </w:r>
      <w:proofErr w:type="gramEnd"/>
      <w:r>
        <w:rPr>
          <w:rFonts w:ascii="宋体" w:eastAsia="宋体" w:hAnsi="宋体" w:cs="宋体" w:hint="eastAsia"/>
          <w:sz w:val="24"/>
        </w:rPr>
        <w:t>机制基本情况及总体评价；三是自查发现的主要问题；四是问题存在的原因；五是整改和问</w:t>
      </w:r>
      <w:proofErr w:type="gramStart"/>
      <w:r>
        <w:rPr>
          <w:rFonts w:ascii="宋体" w:eastAsia="宋体" w:hAnsi="宋体" w:cs="宋体" w:hint="eastAsia"/>
          <w:sz w:val="24"/>
        </w:rPr>
        <w:t>责工作</w:t>
      </w:r>
      <w:proofErr w:type="gramEnd"/>
      <w:r>
        <w:rPr>
          <w:rFonts w:ascii="宋体" w:eastAsia="宋体" w:hAnsi="宋体" w:cs="宋体" w:hint="eastAsia"/>
          <w:sz w:val="24"/>
        </w:rPr>
        <w:t>的具体情况，包括整改和问责</w:t>
      </w:r>
      <w:r>
        <w:rPr>
          <w:rFonts w:ascii="宋体" w:eastAsia="宋体" w:hAnsi="宋体" w:cs="宋体" w:hint="eastAsia"/>
          <w:sz w:val="24"/>
        </w:rPr>
        <w:lastRenderedPageBreak/>
        <w:t>进度安排、已（拟）釆取的整改和问责措施、责任部门及责任人、对未整改和问责问题的说明等，并附整改</w:t>
      </w:r>
      <w:proofErr w:type="gramStart"/>
      <w:r>
        <w:rPr>
          <w:rFonts w:ascii="宋体" w:eastAsia="宋体" w:hAnsi="宋体" w:cs="宋体" w:hint="eastAsia"/>
          <w:sz w:val="24"/>
        </w:rPr>
        <w:t>问责台账</w:t>
      </w:r>
      <w:proofErr w:type="gramEnd"/>
      <w:r>
        <w:rPr>
          <w:rFonts w:ascii="宋体" w:eastAsia="宋体" w:hAnsi="宋体" w:cs="宋体" w:hint="eastAsia"/>
          <w:sz w:val="24"/>
        </w:rPr>
        <w:t>；六是对监管工作的建议；七是下一步工作措施等。</w:t>
      </w:r>
    </w:p>
    <w:p w14:paraId="258312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（二）监管检查要求报告</w:t>
      </w:r>
    </w:p>
    <w:p w14:paraId="306D71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1.报告路径。</w:t>
      </w:r>
      <w:proofErr w:type="gramStart"/>
      <w:r>
        <w:rPr>
          <w:rFonts w:ascii="宋体" w:eastAsia="宋体" w:hAnsi="宋体" w:cs="宋体" w:hint="eastAsia"/>
          <w:sz w:val="24"/>
        </w:rPr>
        <w:t>各银监</w:t>
      </w:r>
      <w:proofErr w:type="gramEnd"/>
      <w:r>
        <w:rPr>
          <w:rFonts w:ascii="宋体" w:eastAsia="宋体" w:hAnsi="宋体" w:cs="宋体" w:hint="eastAsia"/>
          <w:sz w:val="24"/>
        </w:rPr>
        <w:t>局的监管检查应形成“1 + N”份检查报告，即1份汇总辖内检查工作情况的总报告，N</w:t>
      </w:r>
      <w:proofErr w:type="gramStart"/>
      <w:r>
        <w:rPr>
          <w:rFonts w:ascii="宋体" w:eastAsia="宋体" w:hAnsi="宋体" w:cs="宋体" w:hint="eastAsia"/>
          <w:sz w:val="24"/>
        </w:rPr>
        <w:t>份按行别</w:t>
      </w:r>
      <w:proofErr w:type="gramEnd"/>
      <w:r>
        <w:rPr>
          <w:rFonts w:ascii="宋体" w:eastAsia="宋体" w:hAnsi="宋体" w:cs="宋体" w:hint="eastAsia"/>
          <w:sz w:val="24"/>
        </w:rPr>
        <w:t>或机构类别汇总的分报告。其中，银监会直接监管机构的分支机构，以及城市商业银行、外资银行按行别（公司）分别汇总，农村中小金融机构按农村银行、农信社、新型农村金融机构类别分别汇总，非银行金融机构按信托公司、财务公司、金融租赁公司、消费金融公司等机构类别分别汇总。</w:t>
      </w:r>
    </w:p>
    <w:p w14:paraId="71B0562A"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于2017年6月12日前报送检查报告、附表及典型案例；6月底前报送现场检查意见书；7月底前报送“三套利”专项治理最终处理处罚结果（文字及附表）。上述材料报送银监会现场检查局的同时，抄送对应机构监管部门。</w:t>
      </w:r>
    </w:p>
    <w:p w14:paraId="14E67D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2017年6月30日前，银监会各机构监管部门汇总、上报所监管条</w:t>
      </w:r>
      <w:proofErr w:type="gramStart"/>
      <w:r>
        <w:rPr>
          <w:rFonts w:ascii="宋体" w:eastAsia="宋体" w:hAnsi="宋体" w:cs="宋体" w:hint="eastAsia"/>
          <w:sz w:val="24"/>
        </w:rPr>
        <w:t>线机构</w:t>
      </w:r>
      <w:proofErr w:type="gramEnd"/>
      <w:r>
        <w:rPr>
          <w:rFonts w:ascii="宋体" w:eastAsia="宋体" w:hAnsi="宋体" w:cs="宋体" w:hint="eastAsia"/>
          <w:sz w:val="24"/>
        </w:rPr>
        <w:t>自查、监管督导及监管检查情况；现场检查局汇总、上报银监会“三套利”行为专项治理检查情况。</w:t>
      </w:r>
    </w:p>
    <w:p w14:paraId="696B3A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2.报告内容。</w:t>
      </w:r>
      <w:proofErr w:type="gramStart"/>
      <w:r>
        <w:rPr>
          <w:rFonts w:ascii="宋体" w:eastAsia="宋体" w:hAnsi="宋体" w:cs="宋体" w:hint="eastAsia"/>
          <w:sz w:val="24"/>
        </w:rPr>
        <w:t>各银监</w:t>
      </w:r>
      <w:proofErr w:type="gramEnd"/>
      <w:r>
        <w:rPr>
          <w:rFonts w:ascii="宋体" w:eastAsia="宋体" w:hAnsi="宋体" w:cs="宋体" w:hint="eastAsia"/>
          <w:sz w:val="24"/>
        </w:rPr>
        <w:t>局的检查报告应包括以下内容：一是监管检查的组织实施情况；二是机构内部规章及合</w:t>
      </w:r>
      <w:proofErr w:type="gramStart"/>
      <w:r>
        <w:rPr>
          <w:rFonts w:ascii="宋体" w:eastAsia="宋体" w:hAnsi="宋体" w:cs="宋体" w:hint="eastAsia"/>
          <w:sz w:val="24"/>
        </w:rPr>
        <w:t>规</w:t>
      </w:r>
      <w:proofErr w:type="gramEnd"/>
      <w:r>
        <w:rPr>
          <w:rFonts w:ascii="宋体" w:eastAsia="宋体" w:hAnsi="宋体" w:cs="宋体" w:hint="eastAsia"/>
          <w:sz w:val="24"/>
        </w:rPr>
        <w:t>管理机制建设和执行的总体情况；三是检查发现的主要问题和风险隐患；四是问题原因分析；五是釆取的审慎监管措施，以及已（拟）处理处罚措施；六是相关政策建议等。</w:t>
      </w:r>
    </w:p>
    <w:p w14:paraId="51A0D3E8"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局在监管检查中要注意收集整理2-3个典型案例，对分支机构因总行制度缺陷和管理漏洞而发生的问题，应在检查报告中予以体现。同时，对检查中发现的重大风险问题，应及时专题报送银监会。</w:t>
      </w:r>
    </w:p>
    <w:p w14:paraId="21EE4A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（三）监管措施</w:t>
      </w:r>
    </w:p>
    <w:p w14:paraId="4DB33E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银监会各机构监管部门</w:t>
      </w:r>
      <w:proofErr w:type="gramStart"/>
      <w:r>
        <w:rPr>
          <w:rFonts w:ascii="宋体" w:eastAsia="宋体" w:hAnsi="宋体" w:cs="宋体" w:hint="eastAsia"/>
          <w:sz w:val="24"/>
        </w:rPr>
        <w:t>和各银监</w:t>
      </w:r>
      <w:proofErr w:type="gramEnd"/>
      <w:r>
        <w:rPr>
          <w:rFonts w:ascii="宋体" w:eastAsia="宋体" w:hAnsi="宋体" w:cs="宋体" w:hint="eastAsia"/>
          <w:sz w:val="24"/>
        </w:rPr>
        <w:t>局应结合机构自查、监管督导、监管检查和日常监管掌握的问题，提出针对性的监管意见，一行</w:t>
      </w:r>
      <w:proofErr w:type="gramStart"/>
      <w:r>
        <w:rPr>
          <w:rFonts w:ascii="宋体" w:eastAsia="宋体" w:hAnsi="宋体" w:cs="宋体" w:hint="eastAsia"/>
          <w:sz w:val="24"/>
        </w:rPr>
        <w:t>一</w:t>
      </w:r>
      <w:proofErr w:type="gramEnd"/>
      <w:r>
        <w:rPr>
          <w:rFonts w:ascii="宋体" w:eastAsia="宋体" w:hAnsi="宋体" w:cs="宋体" w:hint="eastAsia"/>
          <w:sz w:val="24"/>
        </w:rPr>
        <w:t>策，督促机构严格整改问责。并视情况釆取责令暂停业务、停止批准开办新业务、停止批准增设分支机构、</w:t>
      </w:r>
      <w:r>
        <w:rPr>
          <w:rFonts w:ascii="宋体" w:eastAsia="宋体" w:hAnsi="宋体" w:cs="宋体" w:hint="eastAsia"/>
          <w:sz w:val="24"/>
        </w:rPr>
        <w:lastRenderedPageBreak/>
        <w:t>责令调整董事及高管 等审慎监管措施。</w:t>
      </w:r>
    </w:p>
    <w:p w14:paraId="706C51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四、严肃整改问责，依法廉洁工作监管</w:t>
      </w:r>
    </w:p>
    <w:p w14:paraId="0670FC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对“三套利”专项治理工作中发现的问题，银行业金融机构要落实风险管控的主体责任，切实整改，严肃问责。对一时难以整改和问责到位的问题，要建立台账，明确时限，责任到人。</w:t>
      </w:r>
    </w:p>
    <w:p w14:paraId="378877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各级监管机构要强化监管处罚，真正落实“三铁三见”要求。一是对自查工作不落实、屡查屡犯不收手、整改</w:t>
      </w:r>
      <w:proofErr w:type="gramStart"/>
      <w:r>
        <w:rPr>
          <w:rFonts w:ascii="宋体" w:eastAsia="宋体" w:hAnsi="宋体" w:cs="宋体" w:hint="eastAsia"/>
          <w:sz w:val="24"/>
        </w:rPr>
        <w:t>问责不到位</w:t>
      </w:r>
      <w:proofErr w:type="gramEnd"/>
      <w:r>
        <w:rPr>
          <w:rFonts w:ascii="宋体" w:eastAsia="宋体" w:hAnsi="宋体" w:cs="宋体" w:hint="eastAsia"/>
          <w:sz w:val="24"/>
        </w:rPr>
        <w:t>、监管检查不配合的机构，要依法从严釆取监管措施。二是切实做到应处必处，应</w:t>
      </w:r>
      <w:proofErr w:type="gramStart"/>
      <w:r>
        <w:rPr>
          <w:rFonts w:ascii="宋体" w:eastAsia="宋体" w:hAnsi="宋体" w:cs="宋体" w:hint="eastAsia"/>
          <w:sz w:val="24"/>
        </w:rPr>
        <w:t>罚尽罚</w:t>
      </w:r>
      <w:proofErr w:type="gramEnd"/>
      <w:r>
        <w:rPr>
          <w:rFonts w:ascii="宋体" w:eastAsia="宋体" w:hAnsi="宋体" w:cs="宋体" w:hint="eastAsia"/>
          <w:sz w:val="24"/>
        </w:rPr>
        <w:t>，特别是对于违规开展关联交易、花样翻新的套利行为和利益输送等问题，要从严从重处罚。对检查发现的案件线索，要及时移送司法机关。三是依法建立处罚机制。既要没收非法所得，也要处以罚款；要对违规机构和相关责任人员实施“双罚”；要将处罚结果与市场准入、履职评价、监管评级等挂钩；要进行通报和曝光，强化震慑效应。</w:t>
      </w:r>
    </w:p>
    <w:p w14:paraId="095BCD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级监管机构要严格按照中央“八项规定”精神和整治“四风”要求，依法廉洁开展治理工作，严格执行银监会现场检查纪律，严格遵守保密规定，对于违反各项纪律的行为要坚决纠正并严肃查为统筹推进加强对“三套利”行为专项治理工作的统筹推进，</w:t>
      </w:r>
      <w:proofErr w:type="gramStart"/>
      <w:r>
        <w:rPr>
          <w:rFonts w:ascii="宋体" w:eastAsia="宋体" w:hAnsi="宋体" w:cs="宋体" w:hint="eastAsia"/>
          <w:sz w:val="24"/>
        </w:rPr>
        <w:t>请各银监</w:t>
      </w:r>
      <w:proofErr w:type="gramEnd"/>
      <w:r>
        <w:rPr>
          <w:rFonts w:ascii="宋体" w:eastAsia="宋体" w:hAnsi="宋体" w:cs="宋体" w:hint="eastAsia"/>
          <w:sz w:val="24"/>
        </w:rPr>
        <w:t>局确定一名局级领导牵头负责，并确定一名处级干部担任联络人，于3月底前将相关人员名单及联系电话发送报送银监会现场检查局。</w:t>
      </w:r>
    </w:p>
    <w:p w14:paraId="21E857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联系人：</w:t>
      </w:r>
      <w:proofErr w:type="gramStart"/>
      <w:r>
        <w:rPr>
          <w:rFonts w:ascii="宋体" w:eastAsia="宋体" w:hAnsi="宋体" w:cs="宋体" w:hint="eastAsia"/>
          <w:sz w:val="24"/>
        </w:rPr>
        <w:t>刘省非</w:t>
      </w:r>
      <w:proofErr w:type="gramEnd"/>
      <w:r>
        <w:rPr>
          <w:rFonts w:ascii="宋体" w:eastAsia="宋体" w:hAnsi="宋体" w:cs="宋体" w:hint="eastAsia"/>
          <w:sz w:val="24"/>
        </w:rPr>
        <w:t>，010-66279531</w:t>
      </w:r>
    </w:p>
    <w:p w14:paraId="697106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邮箱：</w:t>
      </w:r>
      <w:proofErr w:type="spellStart"/>
      <w:r>
        <w:rPr>
          <w:rFonts w:ascii="宋体" w:eastAsia="宋体" w:hAnsi="宋体" w:cs="宋体" w:hint="eastAsia"/>
          <w:sz w:val="24"/>
        </w:rPr>
        <w:t>liuxingfei@cbrc</w:t>
      </w:r>
      <w:proofErr w:type="spellEnd"/>
    </w:p>
    <w:p w14:paraId="301980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王翠，010 —66278876</w:t>
      </w:r>
    </w:p>
    <w:p w14:paraId="5D6B1D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邮箱： </w:t>
      </w:r>
      <w:proofErr w:type="spellStart"/>
      <w:r>
        <w:rPr>
          <w:rFonts w:ascii="宋体" w:eastAsia="宋体" w:hAnsi="宋体" w:cs="宋体" w:hint="eastAsia"/>
          <w:sz w:val="24"/>
        </w:rPr>
        <w:t>wangcui@cbrc</w:t>
      </w:r>
      <w:proofErr w:type="spellEnd"/>
    </w:p>
    <w:p w14:paraId="71634C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附件：（略）</w:t>
      </w:r>
    </w:p>
    <w:p w14:paraId="097389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中国银行业监督管理委员会办公厅</w:t>
      </w:r>
    </w:p>
    <w:p w14:paraId="3061932E"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2017年3月28日</w:t>
      </w:r>
    </w:p>
    <w:p w14:paraId="2A5828C6"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108.《中国银监会办公厅关于开展银行业“不当创新、不当交易、不当激励、不当收费”专项治理工作的通知》</w:t>
      </w:r>
      <w:r>
        <w:rPr>
          <w:rFonts w:ascii="宋体" w:eastAsia="宋体" w:hAnsi="宋体" w:cs="宋体" w:hint="eastAsia"/>
          <w:b/>
          <w:bCs/>
          <w:sz w:val="24"/>
        </w:rPr>
        <w:tab/>
      </w:r>
    </w:p>
    <w:p w14:paraId="1320FE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73C9EA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文号：银监办发〔2017〕53号</w:t>
      </w:r>
      <w:r>
        <w:rPr>
          <w:rFonts w:ascii="宋体" w:eastAsia="宋体" w:hAnsi="宋体" w:cs="宋体" w:hint="eastAsia"/>
          <w:sz w:val="24"/>
        </w:rPr>
        <w:tab/>
      </w:r>
    </w:p>
    <w:p w14:paraId="24449813"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局，各政策性银行、大型银行、股份制银行，邮储银行，外资银行，金融资产管理公司，其他会管金融机构，各协会：</w:t>
      </w:r>
    </w:p>
    <w:p w14:paraId="768ADE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进一步提升银行业服务实体经济质效，规范经营行为，维护金融秩序，防控金融风险，决定自2017年4月起开展银行业“不当创新、不当交易、不当激励、不当收费”（以下简称“四不当”）专项治理工作。现就有关要求通知如下：</w:t>
      </w:r>
    </w:p>
    <w:p w14:paraId="489061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一、目标导向</w:t>
      </w:r>
    </w:p>
    <w:p w14:paraId="65F4F3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推动银行业金融机构按照回归本源、专注主业的要求强化合</w:t>
      </w:r>
      <w:proofErr w:type="gramStart"/>
      <w:r>
        <w:rPr>
          <w:rFonts w:ascii="宋体" w:eastAsia="宋体" w:hAnsi="宋体" w:cs="宋体" w:hint="eastAsia"/>
          <w:sz w:val="24"/>
        </w:rPr>
        <w:t>规</w:t>
      </w:r>
      <w:proofErr w:type="gramEnd"/>
      <w:r>
        <w:rPr>
          <w:rFonts w:ascii="宋体" w:eastAsia="宋体" w:hAnsi="宋体" w:cs="宋体" w:hint="eastAsia"/>
          <w:sz w:val="24"/>
        </w:rPr>
        <w:t>意识，规范经营行为，自觉维护良好金融秩序。按照“有利于提升服务实体经济的效率、有利于降低金融风险、有利于保护投资者合法权益”原则开展金融创新，不断强化风险管理和内部控制，确保金融创新与自身风险管理和风险承受能力相匹配，有效</w:t>
      </w:r>
      <w:proofErr w:type="gramStart"/>
      <w:r>
        <w:rPr>
          <w:rFonts w:ascii="宋体" w:eastAsia="宋体" w:hAnsi="宋体" w:cs="宋体" w:hint="eastAsia"/>
          <w:sz w:val="24"/>
        </w:rPr>
        <w:t>管控新业务</w:t>
      </w:r>
      <w:proofErr w:type="gramEnd"/>
      <w:r>
        <w:rPr>
          <w:rFonts w:ascii="宋体" w:eastAsia="宋体" w:hAnsi="宋体" w:cs="宋体" w:hint="eastAsia"/>
          <w:sz w:val="24"/>
        </w:rPr>
        <w:t>、新产品面临的各类风险，牢牢守住不发生系统性风险的底线。</w:t>
      </w:r>
    </w:p>
    <w:p w14:paraId="0135E0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二、工作安排</w:t>
      </w:r>
    </w:p>
    <w:p w14:paraId="0AF69E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（一）机构自查：</w:t>
      </w:r>
    </w:p>
    <w:p w14:paraId="322D9E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1．组织开展。各银行业金融机构负责组织实施本机构自查，并与排查市场乱象相结合。银监会各机构监管部门</w:t>
      </w:r>
      <w:proofErr w:type="gramStart"/>
      <w:r>
        <w:rPr>
          <w:rFonts w:ascii="宋体" w:eastAsia="宋体" w:hAnsi="宋体" w:cs="宋体" w:hint="eastAsia"/>
          <w:sz w:val="24"/>
        </w:rPr>
        <w:t>及各银监</w:t>
      </w:r>
      <w:proofErr w:type="gramEnd"/>
      <w:r>
        <w:rPr>
          <w:rFonts w:ascii="宋体" w:eastAsia="宋体" w:hAnsi="宋体" w:cs="宋体" w:hint="eastAsia"/>
          <w:sz w:val="24"/>
        </w:rPr>
        <w:t>局负责组织推动银行业金融机构的自查，并对自查工作进行指导。</w:t>
      </w:r>
    </w:p>
    <w:p w14:paraId="1B1DF6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自查要求。各银行业金融机构均应开展自查，上级机构要对下级机构自查情况进行检查。自查应全面覆盖体制、机制、系统、流程、人员及业务。业务范围为2016年未有余额的各类业务，必要时可以适当延伸。自查和“上查下”要留有痕迹，以备监管检查。各银行业金融机构要根据检查要点（详见附件1），结合自身特点细化自查方案，认真组织实施，落实风险管控主体责任。自查发现案件线索的，要及时向监管部门报告，并依法移送司法机关。</w:t>
      </w:r>
    </w:p>
    <w:p w14:paraId="677FBF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对应查未查、应发现未发现、应处未处和处理不到位的问题，监管部门应依法从重处罚。</w:t>
      </w:r>
    </w:p>
    <w:p w14:paraId="2AD914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（二）监管检查</w:t>
      </w:r>
    </w:p>
    <w:p w14:paraId="64FF68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1．组织开展。银监会直接监管的法人机构由政策银行部、大型银行部、股份制银行部、外资银行部、</w:t>
      </w:r>
      <w:proofErr w:type="gramStart"/>
      <w:r>
        <w:rPr>
          <w:rFonts w:ascii="宋体" w:eastAsia="宋体" w:hAnsi="宋体" w:cs="宋体" w:hint="eastAsia"/>
          <w:sz w:val="24"/>
        </w:rPr>
        <w:t>非银部根据</w:t>
      </w:r>
      <w:proofErr w:type="gramEnd"/>
      <w:r>
        <w:rPr>
          <w:rFonts w:ascii="宋体" w:eastAsia="宋体" w:hAnsi="宋体" w:cs="宋体" w:hint="eastAsia"/>
          <w:sz w:val="24"/>
        </w:rPr>
        <w:t>监管职责分别负责，其分支机构</w:t>
      </w:r>
      <w:proofErr w:type="gramStart"/>
      <w:r>
        <w:rPr>
          <w:rFonts w:ascii="宋体" w:eastAsia="宋体" w:hAnsi="宋体" w:cs="宋体" w:hint="eastAsia"/>
          <w:sz w:val="24"/>
        </w:rPr>
        <w:t>由各银监</w:t>
      </w:r>
      <w:proofErr w:type="gramEnd"/>
      <w:r>
        <w:rPr>
          <w:rFonts w:ascii="宋体" w:eastAsia="宋体" w:hAnsi="宋体" w:cs="宋体" w:hint="eastAsia"/>
          <w:sz w:val="24"/>
        </w:rPr>
        <w:t>局按照银监会相应机构监管部门的要求实施监管检查。</w:t>
      </w:r>
      <w:proofErr w:type="gramStart"/>
      <w:r>
        <w:rPr>
          <w:rFonts w:ascii="宋体" w:eastAsia="宋体" w:hAnsi="宋体" w:cs="宋体" w:hint="eastAsia"/>
          <w:sz w:val="24"/>
        </w:rPr>
        <w:t>各银监</w:t>
      </w:r>
      <w:proofErr w:type="gramEnd"/>
      <w:r>
        <w:rPr>
          <w:rFonts w:ascii="宋体" w:eastAsia="宋体" w:hAnsi="宋体" w:cs="宋体" w:hint="eastAsia"/>
          <w:sz w:val="24"/>
        </w:rPr>
        <w:t>局负责对辖内法人机构的监管检查，城市银行部、农村金融部、外资银行部、信托部、</w:t>
      </w:r>
      <w:proofErr w:type="gramStart"/>
      <w:r>
        <w:rPr>
          <w:rFonts w:ascii="宋体" w:eastAsia="宋体" w:hAnsi="宋体" w:cs="宋体" w:hint="eastAsia"/>
          <w:sz w:val="24"/>
        </w:rPr>
        <w:t>非银部根据</w:t>
      </w:r>
      <w:proofErr w:type="gramEnd"/>
      <w:r>
        <w:rPr>
          <w:rFonts w:ascii="宋体" w:eastAsia="宋体" w:hAnsi="宋体" w:cs="宋体" w:hint="eastAsia"/>
          <w:sz w:val="24"/>
        </w:rPr>
        <w:t>监管职责进行指导。</w:t>
      </w:r>
    </w:p>
    <w:p w14:paraId="3554AA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2．检查要求。各相关机构监管部门、</w:t>
      </w:r>
      <w:proofErr w:type="gramStart"/>
      <w:r>
        <w:rPr>
          <w:rFonts w:ascii="宋体" w:eastAsia="宋体" w:hAnsi="宋体" w:cs="宋体" w:hint="eastAsia"/>
          <w:sz w:val="24"/>
        </w:rPr>
        <w:t>各银监</w:t>
      </w:r>
      <w:proofErr w:type="gramEnd"/>
      <w:r>
        <w:rPr>
          <w:rFonts w:ascii="宋体" w:eastAsia="宋体" w:hAnsi="宋体" w:cs="宋体" w:hint="eastAsia"/>
          <w:sz w:val="24"/>
        </w:rPr>
        <w:t>局要结合实际情况，根据本工作要点细化检查方案，检查机构的数量和业务比例结合被监管机构的风险点和业务量自行确定。检查业务范围为2016年未有余额的各类业务，必要时可以适当延伸。对于已列为银监会2017年度现场检查计划的项目，要将“四不当”专项治理工作内容纳入检查范围。</w:t>
      </w:r>
      <w:proofErr w:type="gramStart"/>
      <w:r>
        <w:rPr>
          <w:rFonts w:ascii="宋体" w:eastAsia="宋体" w:hAnsi="宋体" w:cs="宋体" w:hint="eastAsia"/>
          <w:sz w:val="24"/>
        </w:rPr>
        <w:t>各银监</w:t>
      </w:r>
      <w:proofErr w:type="gramEnd"/>
      <w:r>
        <w:rPr>
          <w:rFonts w:ascii="宋体" w:eastAsia="宋体" w:hAnsi="宋体" w:cs="宋体" w:hint="eastAsia"/>
          <w:sz w:val="24"/>
        </w:rPr>
        <w:t>局监管检查原则上采取“双随机”方式进行，应实现辖内机构类型全覆盖。</w:t>
      </w:r>
    </w:p>
    <w:p w14:paraId="0C1C14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3．监管措施。银监会各机构监管部门</w:t>
      </w:r>
      <w:proofErr w:type="gramStart"/>
      <w:r>
        <w:rPr>
          <w:rFonts w:ascii="宋体" w:eastAsia="宋体" w:hAnsi="宋体" w:cs="宋体" w:hint="eastAsia"/>
          <w:sz w:val="24"/>
        </w:rPr>
        <w:t>和各银监</w:t>
      </w:r>
      <w:proofErr w:type="gramEnd"/>
      <w:r>
        <w:rPr>
          <w:rFonts w:ascii="宋体" w:eastAsia="宋体" w:hAnsi="宋体" w:cs="宋体" w:hint="eastAsia"/>
          <w:sz w:val="24"/>
        </w:rPr>
        <w:t>局应结合机构自查、监管检查和日常监管掌握的问题，提出针对性的监管意见，一行</w:t>
      </w:r>
      <w:proofErr w:type="gramStart"/>
      <w:r>
        <w:rPr>
          <w:rFonts w:ascii="宋体" w:eastAsia="宋体" w:hAnsi="宋体" w:cs="宋体" w:hint="eastAsia"/>
          <w:sz w:val="24"/>
        </w:rPr>
        <w:t>一</w:t>
      </w:r>
      <w:proofErr w:type="gramEnd"/>
      <w:r>
        <w:rPr>
          <w:rFonts w:ascii="宋体" w:eastAsia="宋体" w:hAnsi="宋体" w:cs="宋体" w:hint="eastAsia"/>
          <w:sz w:val="24"/>
        </w:rPr>
        <w:t>策，督促机构严格整改问责，并视情况采取责令暂停业务、停止批准开办新业务、停止，批准增设分支机构、责令调整董事及高管等审慎监管措施。</w:t>
      </w:r>
    </w:p>
    <w:p w14:paraId="2C3B51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三、报告要求</w:t>
      </w:r>
    </w:p>
    <w:p w14:paraId="7ABA4B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（一）机构自查报告</w:t>
      </w:r>
    </w:p>
    <w:p w14:paraId="57F6B5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报告路径。各银行业金融机构法人应在汇总分支机构自查情况基础上，于2017年7月15日前将自查报告（文字及附表）送银监会机构监管部门，各地方法人机构将自查报告报送至属地银监局。银行业金融机构各级分支机构应将本级自查报告抄送属地银监局。对自查发现的重大违规问题，应及时专题报送。</w:t>
      </w:r>
    </w:p>
    <w:p w14:paraId="2E96D3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2．报告要求。机构自查报告应由主要负责人签发，内容应包括：一是自查工作组织实施情况；二是内部规制与合</w:t>
      </w:r>
      <w:proofErr w:type="gramStart"/>
      <w:r>
        <w:rPr>
          <w:rFonts w:ascii="宋体" w:eastAsia="宋体" w:hAnsi="宋体" w:cs="宋体" w:hint="eastAsia"/>
          <w:sz w:val="24"/>
        </w:rPr>
        <w:t>规</w:t>
      </w:r>
      <w:proofErr w:type="gramEnd"/>
      <w:r>
        <w:rPr>
          <w:rFonts w:ascii="宋体" w:eastAsia="宋体" w:hAnsi="宋体" w:cs="宋体" w:hint="eastAsia"/>
          <w:sz w:val="24"/>
        </w:rPr>
        <w:t>机制基本情况及总体评价；三是自查发现的主要问题和影响；四是问题存在的原因及分析；五是整改和问</w:t>
      </w:r>
      <w:proofErr w:type="gramStart"/>
      <w:r>
        <w:rPr>
          <w:rFonts w:ascii="宋体" w:eastAsia="宋体" w:hAnsi="宋体" w:cs="宋体" w:hint="eastAsia"/>
          <w:sz w:val="24"/>
        </w:rPr>
        <w:t>责工作</w:t>
      </w:r>
      <w:proofErr w:type="gramEnd"/>
      <w:r>
        <w:rPr>
          <w:rFonts w:ascii="宋体" w:eastAsia="宋体" w:hAnsi="宋体" w:cs="宋体" w:hint="eastAsia"/>
          <w:sz w:val="24"/>
        </w:rPr>
        <w:t>的具体</w:t>
      </w:r>
      <w:r>
        <w:rPr>
          <w:rFonts w:ascii="宋体" w:eastAsia="宋体" w:hAnsi="宋体" w:cs="宋体" w:hint="eastAsia"/>
          <w:sz w:val="24"/>
        </w:rPr>
        <w:lastRenderedPageBreak/>
        <w:t>情况，包括已（拟）采取的整改和问责措施、未能及时整改和问责问题的说明、整改和问责进度安排、责任部门和责任人等，并附整改</w:t>
      </w:r>
      <w:proofErr w:type="gramStart"/>
      <w:r>
        <w:rPr>
          <w:rFonts w:ascii="宋体" w:eastAsia="宋体" w:hAnsi="宋体" w:cs="宋体" w:hint="eastAsia"/>
          <w:sz w:val="24"/>
        </w:rPr>
        <w:t>问责台账</w:t>
      </w:r>
      <w:proofErr w:type="gramEnd"/>
      <w:r>
        <w:rPr>
          <w:rFonts w:ascii="宋体" w:eastAsia="宋体" w:hAnsi="宋体" w:cs="宋体" w:hint="eastAsia"/>
          <w:sz w:val="24"/>
        </w:rPr>
        <w:t>。</w:t>
      </w:r>
    </w:p>
    <w:p w14:paraId="6B3E63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（二）分机构类别汇总报告</w:t>
      </w:r>
    </w:p>
    <w:p w14:paraId="53819D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l.报告路径。</w:t>
      </w:r>
      <w:proofErr w:type="gramStart"/>
      <w:r>
        <w:rPr>
          <w:rFonts w:ascii="宋体" w:eastAsia="宋体" w:hAnsi="宋体" w:cs="宋体" w:hint="eastAsia"/>
          <w:sz w:val="24"/>
        </w:rPr>
        <w:t>各银监</w:t>
      </w:r>
      <w:proofErr w:type="gramEnd"/>
      <w:r>
        <w:rPr>
          <w:rFonts w:ascii="宋体" w:eastAsia="宋体" w:hAnsi="宋体" w:cs="宋体" w:hint="eastAsia"/>
          <w:sz w:val="24"/>
        </w:rPr>
        <w:t>局按机构类别（城市商业银行、农村中小金融机构、外资银行、信托公司、其他非银机构，农村中小金融机构进一步分为农村商业银行和农村合作银行、农村信用社、村镇银行，其他非</w:t>
      </w:r>
      <w:proofErr w:type="gramStart"/>
      <w:r>
        <w:rPr>
          <w:rFonts w:ascii="宋体" w:eastAsia="宋体" w:hAnsi="宋体" w:cs="宋体" w:hint="eastAsia"/>
          <w:sz w:val="24"/>
        </w:rPr>
        <w:t>银机构</w:t>
      </w:r>
      <w:proofErr w:type="gramEnd"/>
      <w:r>
        <w:rPr>
          <w:rFonts w:ascii="宋体" w:eastAsia="宋体" w:hAnsi="宋体" w:cs="宋体" w:hint="eastAsia"/>
          <w:sz w:val="24"/>
        </w:rPr>
        <w:t>进一步分为金融租赁公司、财务公司、汽车金融公司、消费金融公司、货币经纪公司）形成本辖区汇总报告（含附表），于2017年8月15日前报送银监会相应机构监管部门，抄送银监会创新部。银监会各机构监管部门按照机构类别（政策性银行和邮储银行、大型银行、股份制银行、城市商业银行、农村中小金融机构、外资银行、信托公司、其他非银机构）形成本条线汇总报告，于2017年9月15日前报送创新部。</w:t>
      </w:r>
    </w:p>
    <w:p w14:paraId="2E790C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2.报告要求。报告应包括：一是机构自查和整改问</w:t>
      </w:r>
      <w:proofErr w:type="gramStart"/>
      <w:r>
        <w:rPr>
          <w:rFonts w:ascii="宋体" w:eastAsia="宋体" w:hAnsi="宋体" w:cs="宋体" w:hint="eastAsia"/>
          <w:sz w:val="24"/>
        </w:rPr>
        <w:t>责情况</w:t>
      </w:r>
      <w:proofErr w:type="gramEnd"/>
      <w:r>
        <w:rPr>
          <w:rFonts w:ascii="宋体" w:eastAsia="宋体" w:hAnsi="宋体" w:cs="宋体" w:hint="eastAsia"/>
          <w:sz w:val="24"/>
        </w:rPr>
        <w:t>机构内部规章及合</w:t>
      </w:r>
      <w:proofErr w:type="gramStart"/>
      <w:r>
        <w:rPr>
          <w:rFonts w:ascii="宋体" w:eastAsia="宋体" w:hAnsi="宋体" w:cs="宋体" w:hint="eastAsia"/>
          <w:sz w:val="24"/>
        </w:rPr>
        <w:t>规</w:t>
      </w:r>
      <w:proofErr w:type="gramEnd"/>
      <w:r>
        <w:rPr>
          <w:rFonts w:ascii="宋体" w:eastAsia="宋体" w:hAnsi="宋体" w:cs="宋体" w:hint="eastAsia"/>
          <w:sz w:val="24"/>
        </w:rPr>
        <w:t>管理机制建设和执行的总体情况；二是监管检查的组织实施情况；三是自查和监管检查发现的主要问题及影响；四是对问题原因的分析；五是拟采取的监管措施和行政处罚措施；六是相关政策建议等。对重大违规问题和典型案例，请及时专题报送银监会创新部。</w:t>
      </w:r>
    </w:p>
    <w:p w14:paraId="74E4CC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（三）总结报告</w:t>
      </w:r>
    </w:p>
    <w:p w14:paraId="0894AD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银监会</w:t>
      </w:r>
      <w:proofErr w:type="gramStart"/>
      <w:r>
        <w:rPr>
          <w:rFonts w:ascii="宋体" w:eastAsia="宋体" w:hAnsi="宋体" w:cs="宋体" w:hint="eastAsia"/>
          <w:sz w:val="24"/>
        </w:rPr>
        <w:t>创新部</w:t>
      </w:r>
      <w:proofErr w:type="gramEnd"/>
      <w:r>
        <w:rPr>
          <w:rFonts w:ascii="宋体" w:eastAsia="宋体" w:hAnsi="宋体" w:cs="宋体" w:hint="eastAsia"/>
          <w:sz w:val="24"/>
        </w:rPr>
        <w:t>根据各机构监管部门提供的分机构类别汇总报告，汇总形成“四不当”专项治理工作总结报告。</w:t>
      </w:r>
    </w:p>
    <w:p w14:paraId="4AC859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四、工作要求</w:t>
      </w:r>
    </w:p>
    <w:p w14:paraId="030C52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提高思想认识。银行业金融机构和各级监管部门要充分认识“四不当”专项治理工作的重要性，以高度的责任感组织开展专项治理和问责整改，坚持问题导向，明确组织机制，严格落实责任，确保工作质量。</w:t>
      </w:r>
    </w:p>
    <w:p w14:paraId="0AC168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（二）严肃工作纪律。各级监管部门要严格贯彻落实中央“八项规定”精神，自觉遵守各项制度规定，做好保密工作，依法廉洁开展检查工作。对违反各项纪律的行为要坚决纠正，严肃查处。</w:t>
      </w:r>
    </w:p>
    <w:p w14:paraId="38D583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（三）加强统筹协调。本次“四不当”专项治理要与市场乱象整治工作统筹安排。</w:t>
      </w:r>
      <w:proofErr w:type="gramStart"/>
      <w:r>
        <w:rPr>
          <w:rFonts w:ascii="宋体" w:eastAsia="宋体" w:hAnsi="宋体" w:cs="宋体" w:hint="eastAsia"/>
          <w:sz w:val="24"/>
        </w:rPr>
        <w:t>各银监</w:t>
      </w:r>
      <w:proofErr w:type="gramEnd"/>
      <w:r>
        <w:rPr>
          <w:rFonts w:ascii="宋体" w:eastAsia="宋体" w:hAnsi="宋体" w:cs="宋体" w:hint="eastAsia"/>
          <w:sz w:val="24"/>
        </w:rPr>
        <w:t>局和会机关相关监管部门要确定一名局级领导牵头负责，指定一名处级干部担任联络人，并于4月12日前将联络人名单和联系方式提供创新部。各机构监管部门、</w:t>
      </w:r>
      <w:proofErr w:type="gramStart"/>
      <w:r>
        <w:rPr>
          <w:rFonts w:ascii="宋体" w:eastAsia="宋体" w:hAnsi="宋体" w:cs="宋体" w:hint="eastAsia"/>
          <w:sz w:val="24"/>
        </w:rPr>
        <w:t>各银监</w:t>
      </w:r>
      <w:proofErr w:type="gramEnd"/>
      <w:r>
        <w:rPr>
          <w:rFonts w:ascii="宋体" w:eastAsia="宋体" w:hAnsi="宋体" w:cs="宋体" w:hint="eastAsia"/>
          <w:sz w:val="24"/>
        </w:rPr>
        <w:t>局根据专项治理的任务分工可相应建立联络机制。在专项治理实施过程中，遇有涉及跨省业务问题线索或需跨省监管协作的，相关机构监管部门应加强指导和协调，由相关银监局协助属地银监局做好核查工作。</w:t>
      </w:r>
    </w:p>
    <w:p w14:paraId="721939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中国银行业监督管理委员会办公厅</w:t>
      </w:r>
    </w:p>
    <w:p w14:paraId="4CC99A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2017年4月6日</w:t>
      </w:r>
    </w:p>
    <w:p w14:paraId="6D303E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附件1：</w:t>
      </w:r>
    </w:p>
    <w:p w14:paraId="6ED400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银行业“不当创新、不当交易、不当激励、不当收费”专项治理检查要点</w:t>
      </w:r>
    </w:p>
    <w:p w14:paraId="5628A1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一、不当创新方面</w:t>
      </w:r>
    </w:p>
    <w:p w14:paraId="6FB5D4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（一）治理机制</w:t>
      </w:r>
    </w:p>
    <w:p w14:paraId="2DA2EF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董事会和高级管理层是否知悉本机构的金融创新业务、运行情况以及市场状况；是否准确认识金融创新活动的风险，是否定期评估、审批金融创新政策和各类新产品的风险限额，使金融创新活动限制在可控的风险范围之内。</w:t>
      </w:r>
    </w:p>
    <w:p w14:paraId="5EB8B7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（二）管理制度与流程</w:t>
      </w:r>
    </w:p>
    <w:p w14:paraId="6F67B9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本机构是否建立并实施开展金融创新的内部管理制度和程序，评估开发新产品、对现有产品进行重大改动、拓展新的业务领域、设立新机构、从事重大收购和投资等可能带来的风险，采取有效措施对创新业务或产品进行科学的风险评估和风险定价；</w:t>
      </w:r>
    </w:p>
    <w:p w14:paraId="793F87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（2）是否针对上述经营活动建立内部审批流程，要求上述经营活动需事先得到风险管理部门、法律部门/合</w:t>
      </w:r>
      <w:proofErr w:type="gramStart"/>
      <w:r>
        <w:rPr>
          <w:rFonts w:ascii="宋体" w:eastAsia="宋体" w:hAnsi="宋体" w:cs="宋体" w:hint="eastAsia"/>
          <w:sz w:val="24"/>
        </w:rPr>
        <w:t>规</w:t>
      </w:r>
      <w:proofErr w:type="gramEnd"/>
      <w:r>
        <w:rPr>
          <w:rFonts w:ascii="宋体" w:eastAsia="宋体" w:hAnsi="宋体" w:cs="宋体" w:hint="eastAsia"/>
          <w:sz w:val="24"/>
        </w:rPr>
        <w:t>部门的审核同意，并获得董事会或其授权的专门委员会批准；</w:t>
      </w:r>
    </w:p>
    <w:p w14:paraId="153BE5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（3）是否对快速发展的新产品和新业务以及存在潜在重大风险的业务领域进行专项压力测试，有效测试识别新产品和新业务等可能对银行持续经营带来的重大影响。</w:t>
      </w:r>
    </w:p>
    <w:p w14:paraId="35E8C4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二、不当交易方面</w:t>
      </w:r>
    </w:p>
    <w:p w14:paraId="3DD290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（一）银行同业业务</w:t>
      </w:r>
    </w:p>
    <w:p w14:paraId="520779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1.同业投资业务方面</w:t>
      </w:r>
    </w:p>
    <w:p w14:paraId="03C191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（1）是否对特定目的载体投资实施了穿透管理</w:t>
      </w:r>
      <w:proofErr w:type="gramStart"/>
      <w:r>
        <w:rPr>
          <w:rFonts w:ascii="宋体" w:eastAsia="宋体" w:hAnsi="宋体" w:cs="宋体" w:hint="eastAsia"/>
          <w:sz w:val="24"/>
        </w:rPr>
        <w:t>至基础</w:t>
      </w:r>
      <w:proofErr w:type="gramEnd"/>
      <w:r>
        <w:rPr>
          <w:rFonts w:ascii="宋体" w:eastAsia="宋体" w:hAnsi="宋体" w:cs="宋体" w:hint="eastAsia"/>
          <w:sz w:val="24"/>
        </w:rPr>
        <w:t>资产，是否存在多层嵌套难以穿透到基础资产的情况；</w:t>
      </w:r>
    </w:p>
    <w:p w14:paraId="34059A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（2）是否进行了严格的风险审查和资金投向合</w:t>
      </w:r>
      <w:proofErr w:type="gramStart"/>
      <w:r>
        <w:rPr>
          <w:rFonts w:ascii="宋体" w:eastAsia="宋体" w:hAnsi="宋体" w:cs="宋体" w:hint="eastAsia"/>
          <w:sz w:val="24"/>
        </w:rPr>
        <w:t>规</w:t>
      </w:r>
      <w:proofErr w:type="gramEnd"/>
      <w:r>
        <w:rPr>
          <w:rFonts w:ascii="宋体" w:eastAsia="宋体" w:hAnsi="宋体" w:cs="宋体" w:hint="eastAsia"/>
          <w:sz w:val="24"/>
        </w:rPr>
        <w:t>性审查；</w:t>
      </w:r>
    </w:p>
    <w:p w14:paraId="55F8E1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（3）是否按照实质重于形式原则，根据所投资基础资产的性质，足额计量资本和拨备；</w:t>
      </w:r>
    </w:p>
    <w:p w14:paraId="47E36E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（4）是否将穿透后的基础资产纳入对应最终债务人的统一授信管理和</w:t>
      </w:r>
      <w:proofErr w:type="gramStart"/>
      <w:r>
        <w:rPr>
          <w:rFonts w:ascii="宋体" w:eastAsia="宋体" w:hAnsi="宋体" w:cs="宋体" w:hint="eastAsia"/>
          <w:sz w:val="24"/>
        </w:rPr>
        <w:t>集中度管控</w:t>
      </w:r>
      <w:proofErr w:type="gramEnd"/>
      <w:r>
        <w:rPr>
          <w:rFonts w:ascii="宋体" w:eastAsia="宋体" w:hAnsi="宋体" w:cs="宋体" w:hint="eastAsia"/>
          <w:sz w:val="24"/>
        </w:rPr>
        <w:t>。</w:t>
      </w:r>
    </w:p>
    <w:p w14:paraId="7B24B7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2.同业融资业务方面</w:t>
      </w:r>
    </w:p>
    <w:p w14:paraId="4AA529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（1）买入返售（卖出回购）业务项下金融资产是否符合规定；</w:t>
      </w:r>
    </w:p>
    <w:p w14:paraId="3D472B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（2）卖出回购方是否存在将业务项下的金融资产转出资产负债表等行为。</w:t>
      </w:r>
    </w:p>
    <w:p w14:paraId="6E5771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3.监管指标执行方面</w:t>
      </w:r>
    </w:p>
    <w:p w14:paraId="2BB164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（1）同业借款业务期限是否超过三年，其他同业融资业务期限是否超过一年，业务到期后是否展期；</w:t>
      </w:r>
    </w:p>
    <w:p w14:paraId="4F5BDF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（2）单家商业银行对单一金融机构法人的不含结算性同业存款的同业融出资金，扣除风险权重为零的资产后的净额，是否超过银行一级资本的50%；</w:t>
      </w:r>
    </w:p>
    <w:p w14:paraId="12940F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（3）若将商业银行所持有的同业存单计入同业融出资金余额，是否超过银行一级资本的50%；</w:t>
      </w:r>
    </w:p>
    <w:p w14:paraId="55154E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（4）商业银行同业融入资金余额是否超过负债总额的三分之一；</w:t>
      </w:r>
    </w:p>
    <w:p w14:paraId="2D7F41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（5）若将商业银行发行的同业存单计入同业融入资金余额，是否超过银行负债总额的三分之一。</w:t>
      </w:r>
    </w:p>
    <w:p w14:paraId="05EDE9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4.内部管理方面</w:t>
      </w:r>
    </w:p>
    <w:p w14:paraId="133421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（1）是否违规对同业业务接受或提供了直接或间接、显性或隐性的第三方金融机构信用担保；</w:t>
      </w:r>
    </w:p>
    <w:p w14:paraId="51E7EE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（2）是否存在通过同业业务转出资产但信用风险仍保留在本机构，同时该资产未按照</w:t>
      </w:r>
      <w:proofErr w:type="gramStart"/>
      <w:r>
        <w:rPr>
          <w:rFonts w:ascii="宋体" w:eastAsia="宋体" w:hAnsi="宋体" w:cs="宋体" w:hint="eastAsia"/>
          <w:sz w:val="24"/>
        </w:rPr>
        <w:t>原风险</w:t>
      </w:r>
      <w:proofErr w:type="gramEnd"/>
      <w:r>
        <w:rPr>
          <w:rFonts w:ascii="宋体" w:eastAsia="宋体" w:hAnsi="宋体" w:cs="宋体" w:hint="eastAsia"/>
          <w:sz w:val="24"/>
        </w:rPr>
        <w:t>状态进行分类的情况；</w:t>
      </w:r>
    </w:p>
    <w:p w14:paraId="49BEBD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（3）是否对同业业务交易对手进行集中统一的名单制管理，是否定期评估交易对手信用风险、动态调整交易对手名单。</w:t>
      </w:r>
    </w:p>
    <w:p w14:paraId="356F0C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（二）银行理财业务</w:t>
      </w:r>
    </w:p>
    <w:p w14:paraId="002C4E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1.组织管理体系方面</w:t>
      </w:r>
    </w:p>
    <w:p w14:paraId="3EC640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银行理财业务的组织管理体系是否完善，是否按照单独核算、风险隔离、行为规范、归口管理的要求设立专门的理财业务经营部门，负责集中统一经营管理全行理财业务。</w:t>
      </w:r>
    </w:p>
    <w:p w14:paraId="56A4CF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2.投资运作方面</w:t>
      </w:r>
    </w:p>
    <w:p w14:paraId="0BC9C1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2.1资金池运作</w:t>
      </w:r>
    </w:p>
    <w:p w14:paraId="5610C5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是否对每只理财产品实施单独管理、单独建账和单独核算；是否开展了滚动发售、混合运作、期限错配、分离定价的资金</w:t>
      </w:r>
      <w:proofErr w:type="gramStart"/>
      <w:r>
        <w:rPr>
          <w:rFonts w:ascii="宋体" w:eastAsia="宋体" w:hAnsi="宋体" w:cs="宋体" w:hint="eastAsia"/>
          <w:sz w:val="24"/>
        </w:rPr>
        <w:t>池模式</w:t>
      </w:r>
      <w:proofErr w:type="gramEnd"/>
      <w:r>
        <w:rPr>
          <w:rFonts w:ascii="宋体" w:eastAsia="宋体" w:hAnsi="宋体" w:cs="宋体" w:hint="eastAsia"/>
          <w:sz w:val="24"/>
        </w:rPr>
        <w:t>理财业务。</w:t>
      </w:r>
    </w:p>
    <w:p w14:paraId="5C6492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2.2不当交易行为</w:t>
      </w:r>
    </w:p>
    <w:p w14:paraId="195393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（1）是否存在理财产品投资本行或他行发行的理财产品的行为；</w:t>
      </w:r>
    </w:p>
    <w:p w14:paraId="365559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（2）是否存在本行理财产品之间相互交易，相互调节收益的行为；</w:t>
      </w:r>
    </w:p>
    <w:p w14:paraId="0360BE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（3）是否存在代客理财资金用于本行自营业务的行为；</w:t>
      </w:r>
    </w:p>
    <w:p w14:paraId="317B93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（4）是否存在本行自有资金购买本行发行的理财产品的行为；</w:t>
      </w:r>
    </w:p>
    <w:p w14:paraId="6CE0D7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（5）是否存在本行信贷资金为本行理财产品提供融资和担保的行为；</w:t>
      </w:r>
    </w:p>
    <w:p w14:paraId="08AF18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（6）理财产品与本行发生的关联交易行为，是否符合市场交易和公平交易原则。</w:t>
      </w:r>
    </w:p>
    <w:p w14:paraId="40462E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2.3理财投资合作机构</w:t>
      </w:r>
    </w:p>
    <w:p w14:paraId="5F5FB9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（1）是否存在委托非金融机构作为理财投资合作机构对理财资金进行投资管理，或者理财产品投资非金融机构发行的产品的情形；</w:t>
      </w:r>
    </w:p>
    <w:p w14:paraId="764DD5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（2）是否对理财投资合作机构实施名单制管理，建立了合作机构准入标准和程序、存续期管理、信息披露义务及退出机制。</w:t>
      </w:r>
    </w:p>
    <w:p w14:paraId="230521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3.资金投向方面</w:t>
      </w:r>
    </w:p>
    <w:p w14:paraId="16E0A2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3.1债权资产投资</w:t>
      </w:r>
    </w:p>
    <w:p w14:paraId="42C7CA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（1）是否存在理财产品直接投资信贷资产，直接或间接投资于本行信贷资产及其受（收）益权的行为；</w:t>
      </w:r>
    </w:p>
    <w:p w14:paraId="05B204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（2）是否存在面向</w:t>
      </w:r>
      <w:proofErr w:type="gramStart"/>
      <w:r>
        <w:rPr>
          <w:rFonts w:ascii="宋体" w:eastAsia="宋体" w:hAnsi="宋体" w:cs="宋体" w:hint="eastAsia"/>
          <w:sz w:val="24"/>
        </w:rPr>
        <w:t>非机构</w:t>
      </w:r>
      <w:proofErr w:type="gramEnd"/>
      <w:r>
        <w:rPr>
          <w:rFonts w:ascii="宋体" w:eastAsia="宋体" w:hAnsi="宋体" w:cs="宋体" w:hint="eastAsia"/>
          <w:sz w:val="24"/>
        </w:rPr>
        <w:t>客户发行的理财产品直接或间接投资于不良资产、不良资产支持证券或不良资产受（收）益权的行为；</w:t>
      </w:r>
    </w:p>
    <w:p w14:paraId="196359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（3）是否准确统计理财资金非标准化债权资产的规模，以及该项资产余额在任何时点是否超过理财产品余额的35%或本行上一年度审计报告披露总资产的4%；</w:t>
      </w:r>
    </w:p>
    <w:p w14:paraId="136783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（4）是否比照自营贷款管理流程，对非标准化债权资产投资进行投前尽职调查、风险审查和投后风险管理；</w:t>
      </w:r>
    </w:p>
    <w:p w14:paraId="05333D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（5）是否按照规定向投资者充分披露理财产品投资非标准化债权资产的情况。</w:t>
      </w:r>
    </w:p>
    <w:p w14:paraId="19C152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3.2权益类资产投资</w:t>
      </w:r>
    </w:p>
    <w:p w14:paraId="288AF1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是否存在面向一般个人客户销售的理财产品投资权益类资产的行为。</w:t>
      </w:r>
    </w:p>
    <w:p w14:paraId="755BE8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3.3隐性担保或回购</w:t>
      </w:r>
    </w:p>
    <w:p w14:paraId="61E954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是否为非标准化债权资产或股权性资产融资提供任何直接或间接、显性或隐性的担保或回购承诺。</w:t>
      </w:r>
    </w:p>
    <w:p w14:paraId="4F5FC6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4.保本型理财产品管理方面</w:t>
      </w:r>
    </w:p>
    <w:p w14:paraId="2852EB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是否对保本型理财产品准确进行会计核算，按照存款管理并纳入存款准备金的缴纳范围。</w:t>
      </w:r>
    </w:p>
    <w:p w14:paraId="101984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（三）信托业务</w:t>
      </w:r>
    </w:p>
    <w:p w14:paraId="3E0D22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1.信托公司内部或信托公司之间的不当交易方面</w:t>
      </w:r>
    </w:p>
    <w:p w14:paraId="18E068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（1）信托公司是否通过信托中信托（TOT）业务规避监管，如隐匿信托产品风险、变相开展“非标资金池”业务、规避结构化产品杠杆比例要求、突破合格投资者标准和信息披露要求等；</w:t>
      </w:r>
    </w:p>
    <w:p w14:paraId="7415C2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（2）是否存在以</w:t>
      </w:r>
      <w:proofErr w:type="gramStart"/>
      <w:r>
        <w:rPr>
          <w:rFonts w:ascii="宋体" w:eastAsia="宋体" w:hAnsi="宋体" w:cs="宋体" w:hint="eastAsia"/>
          <w:sz w:val="24"/>
        </w:rPr>
        <w:t>固有资金</w:t>
      </w:r>
      <w:proofErr w:type="gramEnd"/>
      <w:r>
        <w:rPr>
          <w:rFonts w:ascii="宋体" w:eastAsia="宋体" w:hAnsi="宋体" w:cs="宋体" w:hint="eastAsia"/>
          <w:sz w:val="24"/>
        </w:rPr>
        <w:t>直接或间接接盘信托风险资产，但风险揭示和拨备计提不足等情形；</w:t>
      </w:r>
    </w:p>
    <w:p w14:paraId="01C723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（3）信托公司之间的其他不当交易。</w:t>
      </w:r>
    </w:p>
    <w:p w14:paraId="4FB22E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2.信托公司与银行之间的不当交易方面</w:t>
      </w:r>
    </w:p>
    <w:p w14:paraId="01BEEE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（1）信托公司与银行开展各项业务合作时，是否存在未以合同形式明确各参与方风险管理责任、可能导致法律纠纷或投资者投诉的情形；</w:t>
      </w:r>
    </w:p>
    <w:p w14:paraId="14DDE6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（2）与银行开展代销业务合作时，是否存在名义上由银行代销主动管理类信托产品，实际上由银行主导相关项目的选择、尽职调查、审批以及贷后管理，并与代销银行签订隐性回购条款的情形；</w:t>
      </w:r>
    </w:p>
    <w:p w14:paraId="1FEF1C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（3）是否通过安排显性或隐性回购条款等方式帮助银行转移信贷资产，助其腾挪、隐匿风险或规避相关监管要求；</w:t>
      </w:r>
    </w:p>
    <w:p w14:paraId="332E1E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（4）金融机构作为委托人投资信托产品时，信托公司是否存在接受银行等第三方金融机构以保函等方式提供显性或隐性担保的情形；</w:t>
      </w:r>
    </w:p>
    <w:p w14:paraId="0B4F5C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（5）银信之间的其他不当交易。</w:t>
      </w:r>
    </w:p>
    <w:p w14:paraId="7E9D8E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3.信托公司与其</w:t>
      </w:r>
      <w:proofErr w:type="gramStart"/>
      <w:r>
        <w:rPr>
          <w:rFonts w:ascii="宋体" w:eastAsia="宋体" w:hAnsi="宋体" w:cs="宋体" w:hint="eastAsia"/>
          <w:sz w:val="24"/>
        </w:rPr>
        <w:t>他资管</w:t>
      </w:r>
      <w:proofErr w:type="gramEnd"/>
      <w:r>
        <w:rPr>
          <w:rFonts w:ascii="宋体" w:eastAsia="宋体" w:hAnsi="宋体" w:cs="宋体" w:hint="eastAsia"/>
          <w:sz w:val="24"/>
        </w:rPr>
        <w:t>机构（证券基金期货经营机构、保险机构及其持牌资管子公司）之间的不当交易方面</w:t>
      </w:r>
    </w:p>
    <w:p w14:paraId="7D65D8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（1）是否存在信托产品</w:t>
      </w:r>
      <w:proofErr w:type="gramStart"/>
      <w:r>
        <w:rPr>
          <w:rFonts w:ascii="宋体" w:eastAsia="宋体" w:hAnsi="宋体" w:cs="宋体" w:hint="eastAsia"/>
          <w:sz w:val="24"/>
        </w:rPr>
        <w:t>与资管产品</w:t>
      </w:r>
      <w:proofErr w:type="gramEnd"/>
      <w:r>
        <w:rPr>
          <w:rFonts w:ascii="宋体" w:eastAsia="宋体" w:hAnsi="宋体" w:cs="宋体" w:hint="eastAsia"/>
          <w:sz w:val="24"/>
        </w:rPr>
        <w:t>相互投资，但未以合同形式明确风险管理责任、可能导致投资者纠纷的情形；</w:t>
      </w:r>
    </w:p>
    <w:p w14:paraId="473938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（2）是否存在信托公司通过投资</w:t>
      </w:r>
      <w:proofErr w:type="gramStart"/>
      <w:r>
        <w:rPr>
          <w:rFonts w:ascii="宋体" w:eastAsia="宋体" w:hAnsi="宋体" w:cs="宋体" w:hint="eastAsia"/>
          <w:sz w:val="24"/>
        </w:rPr>
        <w:t>资</w:t>
      </w:r>
      <w:proofErr w:type="gramEnd"/>
      <w:r>
        <w:rPr>
          <w:rFonts w:ascii="宋体" w:eastAsia="宋体" w:hAnsi="宋体" w:cs="宋体" w:hint="eastAsia"/>
          <w:sz w:val="24"/>
        </w:rPr>
        <w:t>管产品，变相扩大投资范围、隐匿资金流向或突破杠杆比例等监管要求的情形；</w:t>
      </w:r>
    </w:p>
    <w:p w14:paraId="794714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（3）是否存在信托产品</w:t>
      </w:r>
      <w:proofErr w:type="gramStart"/>
      <w:r>
        <w:rPr>
          <w:rFonts w:ascii="宋体" w:eastAsia="宋体" w:hAnsi="宋体" w:cs="宋体" w:hint="eastAsia"/>
          <w:sz w:val="24"/>
        </w:rPr>
        <w:t>通过资管产品</w:t>
      </w:r>
      <w:proofErr w:type="gramEnd"/>
      <w:r>
        <w:rPr>
          <w:rFonts w:ascii="宋体" w:eastAsia="宋体" w:hAnsi="宋体" w:cs="宋体" w:hint="eastAsia"/>
          <w:sz w:val="24"/>
        </w:rPr>
        <w:t>汇集非合格投资者资金等违规情形；</w:t>
      </w:r>
    </w:p>
    <w:p w14:paraId="36DE14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（4）信托公司</w:t>
      </w:r>
      <w:proofErr w:type="gramStart"/>
      <w:r>
        <w:rPr>
          <w:rFonts w:ascii="宋体" w:eastAsia="宋体" w:hAnsi="宋体" w:cs="宋体" w:hint="eastAsia"/>
          <w:sz w:val="24"/>
        </w:rPr>
        <w:t>与资管机构</w:t>
      </w:r>
      <w:proofErr w:type="gramEnd"/>
      <w:r>
        <w:rPr>
          <w:rFonts w:ascii="宋体" w:eastAsia="宋体" w:hAnsi="宋体" w:cs="宋体" w:hint="eastAsia"/>
          <w:sz w:val="24"/>
        </w:rPr>
        <w:t>之间的其他不当交易。</w:t>
      </w:r>
    </w:p>
    <w:p w14:paraId="00CF2D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4.信托公司与非金融机构之间的不当交易方面</w:t>
      </w:r>
    </w:p>
    <w:p w14:paraId="2715E9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（1）信托公司聘请非金融机构作为证券投资信托投资顾问时，是否存在未有效履行资质审查、尽职调查及后续监督义务的情形；</w:t>
      </w:r>
    </w:p>
    <w:p w14:paraId="0EB565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（2）是否委托第三方非金融机构推介信托产品；</w:t>
      </w:r>
    </w:p>
    <w:p w14:paraId="600039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（3）是否作为融资渠道或放款通道，为中介机构发放个人购房首付款提供便利；</w:t>
      </w:r>
    </w:p>
    <w:p w14:paraId="03A64A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（4）信托公司与非金融机构之间的其他不当交易。</w:t>
      </w:r>
    </w:p>
    <w:p w14:paraId="1D8C41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三、不当激励方面</w:t>
      </w:r>
    </w:p>
    <w:p w14:paraId="28BE11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（一）考评指标设置</w:t>
      </w:r>
    </w:p>
    <w:p w14:paraId="1EB829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（1）本机构绩效考评指标设置是否涵盖监管规定的合</w:t>
      </w:r>
      <w:proofErr w:type="gramStart"/>
      <w:r>
        <w:rPr>
          <w:rFonts w:ascii="宋体" w:eastAsia="宋体" w:hAnsi="宋体" w:cs="宋体" w:hint="eastAsia"/>
          <w:sz w:val="24"/>
        </w:rPr>
        <w:t>规</w:t>
      </w:r>
      <w:proofErr w:type="gramEnd"/>
      <w:r>
        <w:rPr>
          <w:rFonts w:ascii="宋体" w:eastAsia="宋体" w:hAnsi="宋体" w:cs="宋体" w:hint="eastAsia"/>
          <w:sz w:val="24"/>
        </w:rPr>
        <w:t>经营类、风险管理类、经营效益类、发展转型类、社会责任类五类指标；</w:t>
      </w:r>
    </w:p>
    <w:p w14:paraId="1A2C74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（2）经营效益类指标是否以风险调整后收益指标为核心确定分值和权重，是否考虑资产期限及风险延期暴露等因素，并相应设置中长期资产收益对经营效益类指标的贡献度；</w:t>
      </w:r>
    </w:p>
    <w:p w14:paraId="368CE6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（3）合</w:t>
      </w:r>
      <w:proofErr w:type="gramStart"/>
      <w:r>
        <w:rPr>
          <w:rFonts w:ascii="宋体" w:eastAsia="宋体" w:hAnsi="宋体" w:cs="宋体" w:hint="eastAsia"/>
          <w:sz w:val="24"/>
        </w:rPr>
        <w:t>规</w:t>
      </w:r>
      <w:proofErr w:type="gramEnd"/>
      <w:r>
        <w:rPr>
          <w:rFonts w:ascii="宋体" w:eastAsia="宋体" w:hAnsi="宋体" w:cs="宋体" w:hint="eastAsia"/>
          <w:sz w:val="24"/>
        </w:rPr>
        <w:t>经营类指标和风险管理类指标权重是否明显高于其他类指标；</w:t>
      </w:r>
    </w:p>
    <w:p w14:paraId="5673CB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（4）是否设立时点性规模考评指标；</w:t>
      </w:r>
    </w:p>
    <w:p w14:paraId="33657C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（5）是否在综合绩效考评指标体系外设定单项、业务条线或临时性考评指标；</w:t>
      </w:r>
    </w:p>
    <w:p w14:paraId="576CFB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（6）是否设定没有具体目标值、单纯以市场份额或市场排名为要求的考评指标；</w:t>
      </w:r>
    </w:p>
    <w:p w14:paraId="0B0874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（7）分支机构是否自行制定考评办法或提高考评标准及相关要求；</w:t>
      </w:r>
    </w:p>
    <w:p w14:paraId="5E6968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（8）本机构考评对象存在被采取监管措施或行政处罚、发生案件、不规范</w:t>
      </w:r>
      <w:r>
        <w:rPr>
          <w:rFonts w:ascii="宋体" w:eastAsia="宋体" w:hAnsi="宋体" w:cs="宋体" w:hint="eastAsia"/>
          <w:sz w:val="24"/>
        </w:rPr>
        <w:lastRenderedPageBreak/>
        <w:t>经营行为的，是否相应调低相关指标的考评等级或得分。</w:t>
      </w:r>
    </w:p>
    <w:p w14:paraId="0CEB28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（二）考评机制管理</w:t>
      </w:r>
    </w:p>
    <w:p w14:paraId="347FD5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（1）是否依据董事会或相关经营决策层批准的年度经营计划，制定绩效考评制度和指标体系；</w:t>
      </w:r>
    </w:p>
    <w:p w14:paraId="272800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（2）是否指定专门部门负责绩效考评的制度建设、组织实施和质量控制；</w:t>
      </w:r>
    </w:p>
    <w:p w14:paraId="44A770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（3）本机构审计和监察部门是否对绩效考评实施情况进行检查，并对将业务费用变相作为绩效奖励、弄虚作假、违规操作等问题进行严肃问责；</w:t>
      </w:r>
    </w:p>
    <w:p w14:paraId="668F49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（4）是否建立对利润等指标的动态调整机制，在市场环境发生重大变化时，能够及时调整利润目标。</w:t>
      </w:r>
    </w:p>
    <w:p w14:paraId="220579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（三）薪酬支付管理</w:t>
      </w:r>
    </w:p>
    <w:p w14:paraId="472302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（1）薪酬支付期限是否与相应业务的风险持续时期保持一致，是否根据不同业务活动的业绩实现和风险变化情况合理确定薪酬的支付时间；</w:t>
      </w:r>
    </w:p>
    <w:p w14:paraId="2513FE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（2）针对高级管理人员以及对风险有重要影响岗位上的员工，是否按监管规定设置绩效薪酬的发放比例和延期支付期限；</w:t>
      </w:r>
    </w:p>
    <w:p w14:paraId="0B138B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（3）是否按监管规定建立了绩效薪酬延期追索、扣回制度并有效实施；</w:t>
      </w:r>
    </w:p>
    <w:p w14:paraId="07D34F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（4）是否按监管规定的标准，根据风险类指标管</w:t>
      </w:r>
      <w:proofErr w:type="gramStart"/>
      <w:r>
        <w:rPr>
          <w:rFonts w:ascii="宋体" w:eastAsia="宋体" w:hAnsi="宋体" w:cs="宋体" w:hint="eastAsia"/>
          <w:sz w:val="24"/>
        </w:rPr>
        <w:t>控情况</w:t>
      </w:r>
      <w:proofErr w:type="gramEnd"/>
      <w:r>
        <w:rPr>
          <w:rFonts w:ascii="宋体" w:eastAsia="宋体" w:hAnsi="宋体" w:cs="宋体" w:hint="eastAsia"/>
          <w:sz w:val="24"/>
        </w:rPr>
        <w:t>对当年绩效薪酬实施控制。</w:t>
      </w:r>
    </w:p>
    <w:p w14:paraId="509DD5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四、不当收费方面</w:t>
      </w:r>
    </w:p>
    <w:p w14:paraId="5213FD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（一）收费行为规范</w:t>
      </w:r>
    </w:p>
    <w:p w14:paraId="63E33B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（1）向客户收取服务费用时，是否有对应明确的服务内容，是否存在无实质性服务、未提升实质性效率的收费项目，以及多收费、少服务，超出价格目录范围收费的行为；</w:t>
      </w:r>
    </w:p>
    <w:p w14:paraId="1F5C33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（2）是否存在以贷转存、存贷挂钩、以贷收费、浮利分费、借贷搭售收费、一浮到顶、转嫁成本等七类附加不合理贷款条件的违法违规行为；</w:t>
      </w:r>
    </w:p>
    <w:p w14:paraId="2F1FDD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（3）是否严格执行政府指导价（政府定价）目录和收费规定。</w:t>
      </w:r>
    </w:p>
    <w:p w14:paraId="74817E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（二）价格信息披露</w:t>
      </w:r>
    </w:p>
    <w:p w14:paraId="26EDF9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（1）是否制定收费价目名录并按规定统一收费项目名称等要素；</w:t>
      </w:r>
    </w:p>
    <w:p w14:paraId="128F22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（2）是否按照规定在本行营业场所和网站主页等醒目位置及时、准确公示本行实行政府指导价、政府定价和市场调节价的服务项目等；</w:t>
      </w:r>
    </w:p>
    <w:p w14:paraId="183905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（3）本行提高市场调节价收费水平或新设市场调节价收费项目前，是否至少提前3个月进行公示；</w:t>
      </w:r>
    </w:p>
    <w:p w14:paraId="5E8E0B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（4）本行为客户提供服务时，是否事前告知相关服务项目、服务价格、优惠措施（含生效和终止日期），并在客户确认接受该服务价格后，提供相关服务。</w:t>
      </w:r>
    </w:p>
    <w:p w14:paraId="0A69AE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（三）内部管理程序</w:t>
      </w:r>
    </w:p>
    <w:p w14:paraId="1347B6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（1）是否由总部统一制定和调整本行实行市场调节价的收费项目，并按照监管规定的程序实施；</w:t>
      </w:r>
    </w:p>
    <w:p w14:paraId="412CE9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（2）是否指定一个部门牵头负责服务价格管理工作，并建立了服务价格内部审批制度；</w:t>
      </w:r>
    </w:p>
    <w:p w14:paraId="730A99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（3）是否建立了明确的价格行为</w:t>
      </w:r>
      <w:proofErr w:type="gramStart"/>
      <w:r>
        <w:rPr>
          <w:rFonts w:ascii="宋体" w:eastAsia="宋体" w:hAnsi="宋体" w:cs="宋体" w:hint="eastAsia"/>
          <w:sz w:val="24"/>
        </w:rPr>
        <w:t>违规问</w:t>
      </w:r>
      <w:proofErr w:type="gramEnd"/>
      <w:r>
        <w:rPr>
          <w:rFonts w:ascii="宋体" w:eastAsia="宋体" w:hAnsi="宋体" w:cs="宋体" w:hint="eastAsia"/>
          <w:sz w:val="24"/>
        </w:rPr>
        <w:t>责机制和内部处罚措施；</w:t>
      </w:r>
    </w:p>
    <w:p w14:paraId="78B0AF0D"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（4）是否建立了服务价格投诉管理制度，明确客户投诉登记、调查、处理、报告等事项的管理流程、负责部门和处理期限；是否设立统一的投诉电话、书面投诉联系方式等渠道并醒目公示。</w:t>
      </w:r>
    </w:p>
    <w:p w14:paraId="2D386BDA"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109.《中国银监会关于银行业风险防控工作的指导意见》</w:t>
      </w:r>
    </w:p>
    <w:p w14:paraId="688E53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37339A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文号：银监发〔2017〕6号</w:t>
      </w:r>
    </w:p>
    <w:p w14:paraId="51C9648E"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局，机关各部门，各政策性银行、大型银行、股份制银行，邮储银行，外资银行，金融资产管理公司，其他会管金融机构：</w:t>
      </w:r>
    </w:p>
    <w:p w14:paraId="36238B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贯彻落实中央经济工作会议“把防控金融风险放到更加重要的位置”总体要求，银行业应坚持底线思维、分类施策、稳妥推进、标本兼治，切实防范化解突出风险，严守不发生系统性风险底线。现就银行业风险防控工作提出以下指导意见。</w:t>
      </w:r>
    </w:p>
    <w:p w14:paraId="0CBDE1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一、加强信用风险管控，维护资产质量总体稳定</w:t>
      </w:r>
    </w:p>
    <w:p w14:paraId="6B7AB9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摸清风险底数。银行业金融机构要严格落实信贷及类信贷资产的分类标准和操作流程，真实、准确和动态地反映资产风险状况；建立健全信用风险预警体系，密切监测分析重点领域信用风险的生成和迁徙变化情况，定期开展信用风险压力测试。各级监管机构要重点关注逾期90天以上贷款与不良贷款比例超过100%、关注类贷款</w:t>
      </w:r>
      <w:proofErr w:type="gramStart"/>
      <w:r>
        <w:rPr>
          <w:rFonts w:ascii="宋体" w:eastAsia="宋体" w:hAnsi="宋体" w:cs="宋体" w:hint="eastAsia"/>
          <w:sz w:val="24"/>
        </w:rPr>
        <w:t>占比较</w:t>
      </w:r>
      <w:proofErr w:type="gramEnd"/>
      <w:r>
        <w:rPr>
          <w:rFonts w:ascii="宋体" w:eastAsia="宋体" w:hAnsi="宋体" w:cs="宋体" w:hint="eastAsia"/>
          <w:sz w:val="24"/>
        </w:rPr>
        <w:t>高或增长较快、类信贷及表外资产增长过快的银行业金融机构，重点治理资产风险分类不准确、通过各种手段隐匿或转移不良贷款的行为。</w:t>
      </w:r>
    </w:p>
    <w:p w14:paraId="5E2CFB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（二）严控增量风险。银行业金融机构要加强统一授信、统一管理，严格不同层级的审批权限；加强授信风险审查，有效</w:t>
      </w:r>
      <w:proofErr w:type="gramStart"/>
      <w:r>
        <w:rPr>
          <w:rFonts w:ascii="宋体" w:eastAsia="宋体" w:hAnsi="宋体" w:cs="宋体" w:hint="eastAsia"/>
          <w:sz w:val="24"/>
        </w:rPr>
        <w:t>甄别高</w:t>
      </w:r>
      <w:proofErr w:type="gramEnd"/>
      <w:r>
        <w:rPr>
          <w:rFonts w:ascii="宋体" w:eastAsia="宋体" w:hAnsi="宋体" w:cs="宋体" w:hint="eastAsia"/>
          <w:sz w:val="24"/>
        </w:rPr>
        <w:t>风险客户，防范多头授信、过度授信、给“僵尸企业”授信、给“空壳企业”授信、财务欺诈等风险。各级监管机构要重点治理放松授信条件、放松风险管理、贷款“三查”不到位等问题，对辖内银行业金融机构新发生的大额不良贷款暴露，要及时进行跟踪调查。</w:t>
      </w:r>
    </w:p>
    <w:p w14:paraId="7EC341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处置存量风险。银行业金融机构要综合运用重组、转让、追偿、核销等手段加快处置存量不良资产，通过追加担保、债务重组、资产置换等措施缓释潜在风险；通过解包还原、置换担保、救助核心企业、联合授信管理等方式，妥善化解担保圈风险；利用债权人委员会机制，按照“</w:t>
      </w:r>
      <w:proofErr w:type="gramStart"/>
      <w:r>
        <w:rPr>
          <w:rFonts w:ascii="宋体" w:eastAsia="宋体" w:hAnsi="宋体" w:cs="宋体" w:hint="eastAsia"/>
          <w:sz w:val="24"/>
        </w:rPr>
        <w:t>一</w:t>
      </w:r>
      <w:proofErr w:type="gramEnd"/>
      <w:r>
        <w:rPr>
          <w:rFonts w:ascii="宋体" w:eastAsia="宋体" w:hAnsi="宋体" w:cs="宋体" w:hint="eastAsia"/>
          <w:sz w:val="24"/>
        </w:rPr>
        <w:t>企</w:t>
      </w:r>
      <w:proofErr w:type="gramStart"/>
      <w:r>
        <w:rPr>
          <w:rFonts w:ascii="宋体" w:eastAsia="宋体" w:hAnsi="宋体" w:cs="宋体" w:hint="eastAsia"/>
          <w:sz w:val="24"/>
        </w:rPr>
        <w:t>一</w:t>
      </w:r>
      <w:proofErr w:type="gramEnd"/>
      <w:r>
        <w:rPr>
          <w:rFonts w:ascii="宋体" w:eastAsia="宋体" w:hAnsi="宋体" w:cs="宋体" w:hint="eastAsia"/>
          <w:sz w:val="24"/>
        </w:rPr>
        <w:t>策”原则制定风险处置计划；加强债权维护，切实遏制逃废债行为。</w:t>
      </w:r>
    </w:p>
    <w:p w14:paraId="23C141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提升风险缓释能力。银行业金融机构要加强资产质量迁徙趋势分析，增加利润留存，及时足额计提资产减值准备，增强风险缓释能力。各级监管机构要对银行业金融机构采取风险缓释措施有效性进行跟踪评估，对风险抵补能力不足的机构，应督促其限期整改；要引导银行业金融机构通过上市融资、增资扩股、发行新型资本工具等措施，提高损失吸收能力。</w:t>
      </w:r>
    </w:p>
    <w:p w14:paraId="47FF68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二、完善流动性风险治理体系，提升流动性风险管控能力</w:t>
      </w:r>
    </w:p>
    <w:p w14:paraId="2C5014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加强风险监测。银行业金融机构要完善流动性风险治理架构，将同业业务、投资业务、托管业务、理财业务等纳入流动性风险监测范围，制定合理的流动性限额和管理方案；提高对重点分支机构、币种和业务领域的关注强度，采取有效措施降低对同业存单等同业融资的依赖度。</w:t>
      </w:r>
    </w:p>
    <w:p w14:paraId="172B9E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加强重点机构管控。各级监管机构要锁定资金来源与运用明显错配、批发性融资占比高的银行业金融机构，实行“一对一”贴身盯防。督促同业存单增速较快、同业存单占同业负债比例较高的银行，合理控制同业存单等同业融资规模。</w:t>
      </w:r>
    </w:p>
    <w:p w14:paraId="7F6C10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（七）创新风险防控手段。探索试点城商行、农商行流动性互助机制，发挥好信托</w:t>
      </w:r>
      <w:proofErr w:type="gramStart"/>
      <w:r>
        <w:rPr>
          <w:rFonts w:ascii="宋体" w:eastAsia="宋体" w:hAnsi="宋体" w:cs="宋体" w:hint="eastAsia"/>
          <w:sz w:val="24"/>
        </w:rPr>
        <w:t>业保障</w:t>
      </w:r>
      <w:proofErr w:type="gramEnd"/>
      <w:r>
        <w:rPr>
          <w:rFonts w:ascii="宋体" w:eastAsia="宋体" w:hAnsi="宋体" w:cs="宋体" w:hint="eastAsia"/>
          <w:sz w:val="24"/>
        </w:rPr>
        <w:t>基金作用，构筑中小银行业金融机构流动性安全网。</w:t>
      </w:r>
    </w:p>
    <w:p w14:paraId="6FD152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提升应急管理能力。银行业金融机构要加强负债稳定性管理，确保负债总量适度、来源稳定、结构多元、期限匹配；完善流动性风险应对预案，定期开展流动性风险压力测试；加强向央行的报告沟通，运用“临时流动性便利”等工具，满足流动性需求。</w:t>
      </w:r>
    </w:p>
    <w:p w14:paraId="4C589C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三、加强债券投资业务管理，密切关注债券市场波动</w:t>
      </w:r>
    </w:p>
    <w:p w14:paraId="7E7C8E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（九）健全债券交易内控制度。银行业金融机构要建立贯穿债券交易各环节、覆盖全流程的内控体系，加强债券交易的合</w:t>
      </w:r>
      <w:proofErr w:type="gramStart"/>
      <w:r>
        <w:rPr>
          <w:rFonts w:ascii="宋体" w:eastAsia="宋体" w:hAnsi="宋体" w:cs="宋体" w:hint="eastAsia"/>
          <w:sz w:val="24"/>
        </w:rPr>
        <w:t>规</w:t>
      </w:r>
      <w:proofErr w:type="gramEnd"/>
      <w:r>
        <w:rPr>
          <w:rFonts w:ascii="宋体" w:eastAsia="宋体" w:hAnsi="宋体" w:cs="宋体" w:hint="eastAsia"/>
          <w:sz w:val="24"/>
        </w:rPr>
        <w:t>性审查和风险控制。坚持“穿透管理”和“实质重于形式”的原则，将债券投资纳入统一授信。</w:t>
      </w:r>
    </w:p>
    <w:p w14:paraId="0B6F99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强化业务集中管理。银行业金融机构应将直接债券投资以及通过特殊目的载体（SPV）、表外理财等方式开展的债券投资纳入统一监测范围，全面掌握资金真实投向和底层债券资产的基本信息、风险状况、交易变动等情况，实现</w:t>
      </w:r>
      <w:r>
        <w:rPr>
          <w:rFonts w:ascii="宋体" w:eastAsia="宋体" w:hAnsi="宋体" w:cs="宋体" w:hint="eastAsia"/>
          <w:sz w:val="24"/>
        </w:rPr>
        <w:lastRenderedPageBreak/>
        <w:t>准入集中、数据集中和退出集中管理。</w:t>
      </w:r>
    </w:p>
    <w:p w14:paraId="535AD1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（十一）严格控制投资杠杆。银行业金融机构要审慎开展委外投资业务，</w:t>
      </w:r>
      <w:proofErr w:type="gramStart"/>
      <w:r>
        <w:rPr>
          <w:rFonts w:ascii="宋体" w:eastAsia="宋体" w:hAnsi="宋体" w:cs="宋体" w:hint="eastAsia"/>
          <w:sz w:val="24"/>
        </w:rPr>
        <w:t>严格委</w:t>
      </w:r>
      <w:proofErr w:type="gramEnd"/>
      <w:r>
        <w:rPr>
          <w:rFonts w:ascii="宋体" w:eastAsia="宋体" w:hAnsi="宋体" w:cs="宋体" w:hint="eastAsia"/>
          <w:sz w:val="24"/>
        </w:rPr>
        <w:t>外机构审查和名单管理，</w:t>
      </w:r>
      <w:proofErr w:type="gramStart"/>
      <w:r>
        <w:rPr>
          <w:rFonts w:ascii="宋体" w:eastAsia="宋体" w:hAnsi="宋体" w:cs="宋体" w:hint="eastAsia"/>
          <w:sz w:val="24"/>
        </w:rPr>
        <w:t>明确委</w:t>
      </w:r>
      <w:proofErr w:type="gramEnd"/>
      <w:r>
        <w:rPr>
          <w:rFonts w:ascii="宋体" w:eastAsia="宋体" w:hAnsi="宋体" w:cs="宋体" w:hint="eastAsia"/>
          <w:sz w:val="24"/>
        </w:rPr>
        <w:t>外投资限额、单一受托人受托资产比例等要求，规范开展债券回购和质押融资，严格控制交易杠杆比率，不得违规放大投资杠杆。</w:t>
      </w:r>
    </w:p>
    <w:p w14:paraId="5E22657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（十二）加强风险监测防控。银行业金融机构要严格债券信用评级准入标准，做好债券</w:t>
      </w:r>
      <w:proofErr w:type="gramStart"/>
      <w:r>
        <w:rPr>
          <w:rFonts w:ascii="宋体" w:eastAsia="宋体" w:hAnsi="宋体" w:cs="宋体" w:hint="eastAsia"/>
          <w:sz w:val="24"/>
        </w:rPr>
        <w:t>投资久期管理</w:t>
      </w:r>
      <w:proofErr w:type="gramEnd"/>
      <w:r>
        <w:rPr>
          <w:rFonts w:ascii="宋体" w:eastAsia="宋体" w:hAnsi="宋体" w:cs="宋体" w:hint="eastAsia"/>
          <w:sz w:val="24"/>
        </w:rPr>
        <w:t>。高度关注债券集中到期的企业、出现债券违约的企业，防控债券违约风险向信贷业务传导。各级监管机构要督促风险管理能力薄弱、债券投资占比高的银行合理</w:t>
      </w:r>
      <w:proofErr w:type="gramStart"/>
      <w:r>
        <w:rPr>
          <w:rFonts w:ascii="宋体" w:eastAsia="宋体" w:hAnsi="宋体" w:cs="宋体" w:hint="eastAsia"/>
          <w:sz w:val="24"/>
        </w:rPr>
        <w:t>控制持债余额</w:t>
      </w:r>
      <w:proofErr w:type="gramEnd"/>
      <w:r>
        <w:rPr>
          <w:rFonts w:ascii="宋体" w:eastAsia="宋体" w:hAnsi="宋体" w:cs="宋体" w:hint="eastAsia"/>
          <w:sz w:val="24"/>
        </w:rPr>
        <w:t>。</w:t>
      </w:r>
    </w:p>
    <w:p w14:paraId="689AAE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四、整治同业业务，加强交叉金融业务管控</w:t>
      </w:r>
    </w:p>
    <w:p w14:paraId="1124D6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三）控制业务增量。银行业金融机构要完善同业业务内部管理架构，确保业务复杂程度与风险管理能力相匹配，审慎开展交叉金融业务。同业业务应由银行业金融机构总部统一管理、集中审批。制定统一的合作机构名单、产品投资目录，严禁与不在名单范围内的机构开展合作，严禁开展投资目录之外的业务。</w:t>
      </w:r>
    </w:p>
    <w:p w14:paraId="4D4DF4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（十四）做实穿透管理。银行业金融机构要建立交叉金融业务监测台账，准确掌握业务规模、业务品种、基础资产性质、风险状况、资本和</w:t>
      </w:r>
      <w:proofErr w:type="gramStart"/>
      <w:r>
        <w:rPr>
          <w:rFonts w:ascii="宋体" w:eastAsia="宋体" w:hAnsi="宋体" w:cs="宋体" w:hint="eastAsia"/>
          <w:sz w:val="24"/>
        </w:rPr>
        <w:t>拨备等相关</w:t>
      </w:r>
      <w:proofErr w:type="gramEnd"/>
      <w:r>
        <w:rPr>
          <w:rFonts w:ascii="宋体" w:eastAsia="宋体" w:hAnsi="宋体" w:cs="宋体" w:hint="eastAsia"/>
          <w:sz w:val="24"/>
        </w:rPr>
        <w:t>信息。新开展的同业投资业务不得进行多层嵌套，要根据基础资产性质，准确计量风险，足额计提资本和拨备。</w:t>
      </w:r>
    </w:p>
    <w:p w14:paraId="429BAB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（十五）消化存量风险。银行业金融机构应全面排查存量同业业务，对多层架构、复杂程度高的业务要制定整改计划。对风险高的同业投资业务，要制定应对策略和退出时间表。</w:t>
      </w:r>
    </w:p>
    <w:p w14:paraId="690B22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（十六）严查违规行为。各级监管机构要重点检查同业业务多层嵌套、特定目的载体投资未严格穿透</w:t>
      </w:r>
      <w:proofErr w:type="gramStart"/>
      <w:r>
        <w:rPr>
          <w:rFonts w:ascii="宋体" w:eastAsia="宋体" w:hAnsi="宋体" w:cs="宋体" w:hint="eastAsia"/>
          <w:sz w:val="24"/>
        </w:rPr>
        <w:t>至基础</w:t>
      </w:r>
      <w:proofErr w:type="gramEnd"/>
      <w:r>
        <w:rPr>
          <w:rFonts w:ascii="宋体" w:eastAsia="宋体" w:hAnsi="宋体" w:cs="宋体" w:hint="eastAsia"/>
          <w:sz w:val="24"/>
        </w:rPr>
        <w:t>资产、未将最终债务人纳入统一授信和集中度风险管控、资本拨备计提不足等问题。</w:t>
      </w:r>
    </w:p>
    <w:p w14:paraId="6B45B5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五、规范银行理财和代销业务，加强金融消费者保护</w:t>
      </w:r>
    </w:p>
    <w:p w14:paraId="6C4D1B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（十七）加强银行理财业务风险管控。银行业金融机构应当确保每只理财产</w:t>
      </w:r>
      <w:r>
        <w:rPr>
          <w:rFonts w:ascii="宋体" w:eastAsia="宋体" w:hAnsi="宋体" w:cs="宋体" w:hint="eastAsia"/>
          <w:sz w:val="24"/>
        </w:rPr>
        <w:lastRenderedPageBreak/>
        <w:t>品与所投资资产相对应，做到单独管理、单独建账、单独核算；不得开展滚动发售、混合运作、期限错配、分离定价的资金池理财业务；确保自营业务与代客业务相分离；不得在理财产品之间、理财产品客户之间或理财产品客户与其</w:t>
      </w:r>
      <w:proofErr w:type="gramStart"/>
      <w:r>
        <w:rPr>
          <w:rFonts w:ascii="宋体" w:eastAsia="宋体" w:hAnsi="宋体" w:cs="宋体" w:hint="eastAsia"/>
          <w:sz w:val="24"/>
        </w:rPr>
        <w:t>他主体</w:t>
      </w:r>
      <w:proofErr w:type="gramEnd"/>
      <w:r>
        <w:rPr>
          <w:rFonts w:ascii="宋体" w:eastAsia="宋体" w:hAnsi="宋体" w:cs="宋体" w:hint="eastAsia"/>
          <w:sz w:val="24"/>
        </w:rPr>
        <w:t>之间进行利益输送。</w:t>
      </w:r>
    </w:p>
    <w:p w14:paraId="6535B9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八）规范银行理财产品设计。银行业金融机构应当按照“简单、透明、可控”的原则设计和运作理财产品，在资金来源、运用、杠杆率、流动性、信息披露等方面严格遵守监管要求；严控嵌套投资，强化穿透管理，切实履行自身投资管理职责，不得简单将理财业务作为各</w:t>
      </w:r>
      <w:proofErr w:type="gramStart"/>
      <w:r>
        <w:rPr>
          <w:rFonts w:ascii="宋体" w:eastAsia="宋体" w:hAnsi="宋体" w:cs="宋体" w:hint="eastAsia"/>
          <w:sz w:val="24"/>
        </w:rPr>
        <w:t>类资管</w:t>
      </w:r>
      <w:proofErr w:type="gramEnd"/>
      <w:r>
        <w:rPr>
          <w:rFonts w:ascii="宋体" w:eastAsia="宋体" w:hAnsi="宋体" w:cs="宋体" w:hint="eastAsia"/>
          <w:sz w:val="24"/>
        </w:rPr>
        <w:t>产品的资金募集通道；严格控制杠杆，防范资金在金融体系内自我循环，不得使用自有资金购买本行发行的理财产品。</w:t>
      </w:r>
    </w:p>
    <w:p w14:paraId="590ED2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九）加强金融消费者保护。银行业金融机构应当按照风险匹配原则，严格区分公募与私募、批发与零售、自营与代客等不同产品类型，充分披露产品信息和揭示风险，将投资者分层管理落到实处。只有面向高资产净值、私人银行和机构客户发行的银行理财产品，可投资于境内二级市场股票、未上市企业股权等权益类资产。理财产品宣传及销售人员产品营销推介时，应真实、全面介绍产品的性质和特征，明确告知是本机构产品还是其他机构产品、是保本产品还是非保本产品、是有固定收益的产品还是没有固定收益的产品。不得误导客户购买与其风险承受能力不相匹配的理财产品，严格落实“双录”要求，做到“卖者尽责”基础上的“买者自负”，切实保护投资者合法权益。</w:t>
      </w:r>
    </w:p>
    <w:p w14:paraId="28BB38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审慎开展代销业务。银行业金融机构应当对代销业务实施严格谨慎管理。根据自身风险管理能力、合作机构风险评估情况、代销产品风险等级，合理确定代销业务品种和限额；银行业金融机构总部应对代销业务实行集中统一管理，对合作机构实行名单制管理，对拟代销产品应开展尽职调查，不得仅依据合作机构的产品审批资料作为产品审批依据；银行业金融机构应明示代销产品的代销属性，不得将代销产品与存款或自身发行的理财产品混淆销售。</w:t>
      </w:r>
    </w:p>
    <w:p w14:paraId="317381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六、坚持分类调控、因城施策，防范房地产领域风险</w:t>
      </w:r>
    </w:p>
    <w:p w14:paraId="3745C1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（二十一）分类实施房地产信贷调控。认真落实中央经济工作会议精神，明确住房居住属性。坚持分类调控、因城施策，严厉打击“首付贷”等行为，切实</w:t>
      </w:r>
      <w:r>
        <w:rPr>
          <w:rFonts w:ascii="宋体" w:eastAsia="宋体" w:hAnsi="宋体" w:cs="宋体" w:hint="eastAsia"/>
          <w:sz w:val="24"/>
        </w:rPr>
        <w:lastRenderedPageBreak/>
        <w:t>抑制热点城市房地产泡沫，建立促进房地产健康发展的长效机制。</w:t>
      </w:r>
    </w:p>
    <w:p w14:paraId="0A20E7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二）强化房地产风险管控。银行业金融机构要建立全口径房地产风险监测机制。将房地产企业贷款、个人按揭贷款、以房地产为抵押的贷款、房地产企业债券，以及其他形式的房地产融资纳入监测范围，定期开展房地产压力测试。加强房地产业</w:t>
      </w:r>
      <w:proofErr w:type="gramStart"/>
      <w:r>
        <w:rPr>
          <w:rFonts w:ascii="宋体" w:eastAsia="宋体" w:hAnsi="宋体" w:cs="宋体" w:hint="eastAsia"/>
          <w:sz w:val="24"/>
        </w:rPr>
        <w:t>务</w:t>
      </w:r>
      <w:proofErr w:type="gramEnd"/>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性管理，严禁资金违规流入房地产领域。各级监管机构要重点关注房地产融资占比高、贷款质量波动大的银行业金融机构，以及房地产信托业务增量较大、</w:t>
      </w:r>
      <w:proofErr w:type="gramStart"/>
      <w:r>
        <w:rPr>
          <w:rFonts w:ascii="宋体" w:eastAsia="宋体" w:hAnsi="宋体" w:cs="宋体" w:hint="eastAsia"/>
          <w:sz w:val="24"/>
        </w:rPr>
        <w:t>占比较</w:t>
      </w:r>
      <w:proofErr w:type="gramEnd"/>
      <w:r>
        <w:rPr>
          <w:rFonts w:ascii="宋体" w:eastAsia="宋体" w:hAnsi="宋体" w:cs="宋体" w:hint="eastAsia"/>
          <w:sz w:val="24"/>
        </w:rPr>
        <w:t>高的信托公司。</w:t>
      </w:r>
    </w:p>
    <w:p w14:paraId="2B5ACF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（二十三）加强房地产押品管理。银行业金融机构要完善押品准入管理机制，建立健全房地产押品动态监测机制，及时发布内部预警信息，采取有效应对措施。</w:t>
      </w:r>
    </w:p>
    <w:p w14:paraId="55E02D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七、加强地方政府债务风险管控，切实防范地方政府债务风险</w:t>
      </w:r>
    </w:p>
    <w:p w14:paraId="143699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四）严格落实《预算法》。银行业金融机构要认真落实《预算法》和《国务院关于加强地方政府性债务管理的意见》（国发〔2014〕43号）要求，不得违规新增地方政府融资平台贷款，严禁接受地方政府担保兜底。</w:t>
      </w:r>
    </w:p>
    <w:p w14:paraId="0DB7E5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（二十五）规范新型业务模式。银行业金融机构要依法合</w:t>
      </w:r>
      <w:proofErr w:type="gramStart"/>
      <w:r>
        <w:rPr>
          <w:rFonts w:ascii="宋体" w:eastAsia="宋体" w:hAnsi="宋体" w:cs="宋体" w:hint="eastAsia"/>
          <w:sz w:val="24"/>
        </w:rPr>
        <w:t>规</w:t>
      </w:r>
      <w:proofErr w:type="gramEnd"/>
      <w:r>
        <w:rPr>
          <w:rFonts w:ascii="宋体" w:eastAsia="宋体" w:hAnsi="宋体" w:cs="宋体" w:hint="eastAsia"/>
          <w:sz w:val="24"/>
        </w:rPr>
        <w:t>开展专项建设基金、政府与社会资本合作、政府购买服务等新型业务模式，明确各方权利义务关系，不得通过各种方式异化形成违规政府性债务。</w:t>
      </w:r>
    </w:p>
    <w:p w14:paraId="62F131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（二十六）强化融资平台风险管控。各级监管机构要会同有关部门强化地方政府债务全口径监测，指导银行业金融机构配合推进融资平台转型，明晰债权债务关系，防范债权悬空风险。银行业金融机构要紧</w:t>
      </w:r>
      <w:proofErr w:type="gramStart"/>
      <w:r>
        <w:rPr>
          <w:rFonts w:ascii="宋体" w:eastAsia="宋体" w:hAnsi="宋体" w:cs="宋体" w:hint="eastAsia"/>
          <w:sz w:val="24"/>
        </w:rPr>
        <w:t>盯</w:t>
      </w:r>
      <w:proofErr w:type="gramEnd"/>
      <w:r>
        <w:rPr>
          <w:rFonts w:ascii="宋体" w:eastAsia="宋体" w:hAnsi="宋体" w:cs="宋体" w:hint="eastAsia"/>
          <w:sz w:val="24"/>
        </w:rPr>
        <w:t>列入预警范围的潜在高风险地区，推动制定中长期债务风险化解规划，有效应对局部风险。</w:t>
      </w:r>
    </w:p>
    <w:p w14:paraId="59FB1C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八、稳妥推进互联网金融风险治理，促进合</w:t>
      </w:r>
      <w:proofErr w:type="gramStart"/>
      <w:r>
        <w:rPr>
          <w:rFonts w:ascii="宋体" w:eastAsia="宋体" w:hAnsi="宋体" w:cs="宋体" w:hint="eastAsia"/>
          <w:sz w:val="24"/>
        </w:rPr>
        <w:t>规</w:t>
      </w:r>
      <w:proofErr w:type="gramEnd"/>
      <w:r>
        <w:rPr>
          <w:rFonts w:ascii="宋体" w:eastAsia="宋体" w:hAnsi="宋体" w:cs="宋体" w:hint="eastAsia"/>
          <w:sz w:val="24"/>
        </w:rPr>
        <w:t>稳健发展</w:t>
      </w:r>
    </w:p>
    <w:p w14:paraId="119343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七）持续推进网络借贷平台（P2P）风险专项整治。严格执行《网络借贷信息中介机构业务活动管理暂行办法》和备案登记、资金存管等配套制度，按照专项整治工作实施方案要求，稳妥推进分类处置工作，督促网络借贷信息中介机构加强整改，适时采取关、停、并、转等措施。</w:t>
      </w:r>
    </w:p>
    <w:p w14:paraId="598574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（二十八）重点做好校园网贷的清理整顿工作。网络借贷信息中介机构不得</w:t>
      </w:r>
      <w:r>
        <w:rPr>
          <w:rFonts w:ascii="宋体" w:eastAsia="宋体" w:hAnsi="宋体" w:cs="宋体" w:hint="eastAsia"/>
          <w:sz w:val="24"/>
        </w:rPr>
        <w:lastRenderedPageBreak/>
        <w:t>将不具备还款能力的借款人纳入营销范围，禁止向未满18岁的在校大学生</w:t>
      </w:r>
      <w:proofErr w:type="gramStart"/>
      <w:r>
        <w:rPr>
          <w:rFonts w:ascii="宋体" w:eastAsia="宋体" w:hAnsi="宋体" w:cs="宋体" w:hint="eastAsia"/>
          <w:sz w:val="24"/>
        </w:rPr>
        <w:t>提供网贷服务</w:t>
      </w:r>
      <w:proofErr w:type="gramEnd"/>
      <w:r>
        <w:rPr>
          <w:rFonts w:ascii="宋体" w:eastAsia="宋体" w:hAnsi="宋体" w:cs="宋体" w:hint="eastAsia"/>
          <w:sz w:val="24"/>
        </w:rPr>
        <w:t>，不得进行虚假欺诈宣传和销售，不得通过各种方式变相发放高利贷。</w:t>
      </w:r>
    </w:p>
    <w:p w14:paraId="6FC9F0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（二十九）做好“现金贷”业务活动的清理整顿工作。网络借贷信息中介机构应依法合</w:t>
      </w:r>
      <w:proofErr w:type="gramStart"/>
      <w:r>
        <w:rPr>
          <w:rFonts w:ascii="宋体" w:eastAsia="宋体" w:hAnsi="宋体" w:cs="宋体" w:hint="eastAsia"/>
          <w:sz w:val="24"/>
        </w:rPr>
        <w:t>规</w:t>
      </w:r>
      <w:proofErr w:type="gramEnd"/>
      <w:r>
        <w:rPr>
          <w:rFonts w:ascii="宋体" w:eastAsia="宋体" w:hAnsi="宋体" w:cs="宋体" w:hint="eastAsia"/>
          <w:sz w:val="24"/>
        </w:rPr>
        <w:t>开展业务，确保出借人资金来源合法，禁止欺诈、虚假宣传。严格执行最高人民法院关于民间借贷利率的有关规定，不得违法高利放贷及暴力催收。</w:t>
      </w:r>
    </w:p>
    <w:p w14:paraId="311967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九、加强外部冲击风险监测，防止民间金融风险向银行业传递</w:t>
      </w:r>
    </w:p>
    <w:p w14:paraId="369FCF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（三十）防范跨境业务风险。银行业金融机构要严格遵守外汇管理相关政策，加强跨境资金流动监测预警。提高跨境并</w:t>
      </w:r>
      <w:proofErr w:type="gramStart"/>
      <w:r>
        <w:rPr>
          <w:rFonts w:ascii="宋体" w:eastAsia="宋体" w:hAnsi="宋体" w:cs="宋体" w:hint="eastAsia"/>
          <w:sz w:val="24"/>
        </w:rPr>
        <w:t>表风险</w:t>
      </w:r>
      <w:proofErr w:type="gramEnd"/>
      <w:r>
        <w:rPr>
          <w:rFonts w:ascii="宋体" w:eastAsia="宋体" w:hAnsi="宋体" w:cs="宋体" w:hint="eastAsia"/>
          <w:sz w:val="24"/>
        </w:rPr>
        <w:t>管理能力，加快健全环境与社会风险管理体系，确保国别风险准备金计提充足。加强境外合</w:t>
      </w:r>
      <w:proofErr w:type="gramStart"/>
      <w:r>
        <w:rPr>
          <w:rFonts w:ascii="宋体" w:eastAsia="宋体" w:hAnsi="宋体" w:cs="宋体" w:hint="eastAsia"/>
          <w:sz w:val="24"/>
        </w:rPr>
        <w:t>规</w:t>
      </w:r>
      <w:proofErr w:type="gramEnd"/>
      <w:r>
        <w:rPr>
          <w:rFonts w:ascii="宋体" w:eastAsia="宋体" w:hAnsi="宋体" w:cs="宋体" w:hint="eastAsia"/>
          <w:sz w:val="24"/>
        </w:rPr>
        <w:t>管理，及时排查反洗钱和重点领域合</w:t>
      </w:r>
      <w:proofErr w:type="gramStart"/>
      <w:r>
        <w:rPr>
          <w:rFonts w:ascii="宋体" w:eastAsia="宋体" w:hAnsi="宋体" w:cs="宋体" w:hint="eastAsia"/>
          <w:sz w:val="24"/>
        </w:rPr>
        <w:t>规</w:t>
      </w:r>
      <w:proofErr w:type="gramEnd"/>
      <w:r>
        <w:rPr>
          <w:rFonts w:ascii="宋体" w:eastAsia="宋体" w:hAnsi="宋体" w:cs="宋体" w:hint="eastAsia"/>
          <w:sz w:val="24"/>
        </w:rPr>
        <w:t>风险。提高银行及其客户科学分析外汇收支、币种结构、汇率波动走势和规律的能力，避免简单跟风变动可能带来的风险和损失。</w:t>
      </w:r>
    </w:p>
    <w:p w14:paraId="2BF0E4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十一）防范社会金融风险。各级监管机构应配合地方金融监管部门规范融资担保和小贷公司行业。落实国务院清理整顿各类交易场所要求，督促银行业金融机构开展专项排查，不得为违规交易所提供开户、托管、资金划转、代理买卖、支付清算、投资咨询等服务。</w:t>
      </w:r>
    </w:p>
    <w:p w14:paraId="536B38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十二）严处非法集资风险。各级监管机构要加大对未经批准设立银行业金融机构的查处力度，严肃查处非法使用“银行”名称、违法吸收公众存款、违法发放贷款的行为。银行业金融机构严禁为非法集资提供任何金融服务，严禁内部员工违规参与各类集资活动，积极协助相关部门加强账户、信息监测，及时发现和报告异常交易，劝阻客户受骗参与非法集资。</w:t>
      </w:r>
    </w:p>
    <w:p w14:paraId="5356C6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十、维护银行业经营稳定，防止出现重大案件和群体事件</w:t>
      </w:r>
    </w:p>
    <w:p w14:paraId="43081B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十三）加强案件风险防控。银行业金融机构要加强员工管理，有效防范内外勾结、利益输送等案件；加强重点环节管理，对授权卡、业务印章、空白凭证等物品管理全流程控制有效性进行评估；落实票据业务相关规定，规范业务操作，严禁与非法票据中介等机构开展业务合作；加大案件查处问责力度，切实做到发现一起、处理一起，做到“一案三问”“上追两级”，遏制案件多发频发态势；强化安全管理，加强安全防范设施建设，及时消除各类安全隐患。</w:t>
      </w:r>
    </w:p>
    <w:p w14:paraId="29062D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（三十四）加强信息科技风险防控。银行业金融机构要全面强化网络信息安全管理，提高身份认证机制安全性；加大对新兴电子渠道风险的管理力度，</w:t>
      </w:r>
      <w:proofErr w:type="gramStart"/>
      <w:r>
        <w:rPr>
          <w:rFonts w:ascii="宋体" w:eastAsia="宋体" w:hAnsi="宋体" w:cs="宋体" w:hint="eastAsia"/>
          <w:sz w:val="24"/>
        </w:rPr>
        <w:t>完善灾备体系</w:t>
      </w:r>
      <w:proofErr w:type="gramEnd"/>
      <w:r>
        <w:rPr>
          <w:rFonts w:ascii="宋体" w:eastAsia="宋体" w:hAnsi="宋体" w:cs="宋体" w:hint="eastAsia"/>
          <w:sz w:val="24"/>
        </w:rPr>
        <w:t>，制定完善应对预案；完善外包管理体系，降低外包风险，不得将信息科技管理责任外包。对发生严重信息科技风险事件的银行业金融机构，各级监管机构要及时采取必要的强制性监管措施。</w:t>
      </w:r>
    </w:p>
    <w:p w14:paraId="6D0AEB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（三十五）加强预期管理。银行业金融机构要主动发声，强化主动服务意识和沟通意识，提高信息披露频率和透明度。正确引导各方预期，提升各界对银行业的信心。积极</w:t>
      </w:r>
      <w:proofErr w:type="gramStart"/>
      <w:r>
        <w:rPr>
          <w:rFonts w:ascii="宋体" w:eastAsia="宋体" w:hAnsi="宋体" w:cs="宋体" w:hint="eastAsia"/>
          <w:sz w:val="24"/>
        </w:rPr>
        <w:t>研</w:t>
      </w:r>
      <w:proofErr w:type="gramEnd"/>
      <w:r>
        <w:rPr>
          <w:rFonts w:ascii="宋体" w:eastAsia="宋体" w:hAnsi="宋体" w:cs="宋体" w:hint="eastAsia"/>
          <w:sz w:val="24"/>
        </w:rPr>
        <w:t>判社会舆情走势，重点关注可能导致声誉风险的各类隐患，提前准备应对预案，提升应对能力。</w:t>
      </w:r>
    </w:p>
    <w:p w14:paraId="56FD1D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级监管机构、各银行业金融机构要稳妥有序开展风险防控工作，把握好节奏平衡，防止在化解风险过程中产生新的风险。各银行业金融机构要履行风险防控主体责任，实行“一把手”负责制，制定可行性、针对性强的实施方案，细化责任分工，层层压实责任，把责任落实到具体的机构、部门和人员，对于重大违规和案件风险，要一查到底，对相关机构、违规人员和领导人员</w:t>
      </w:r>
      <w:proofErr w:type="gramStart"/>
      <w:r>
        <w:rPr>
          <w:rFonts w:ascii="宋体" w:eastAsia="宋体" w:hAnsi="宋体" w:cs="宋体" w:hint="eastAsia"/>
          <w:sz w:val="24"/>
        </w:rPr>
        <w:t>严格问</w:t>
      </w:r>
      <w:proofErr w:type="gramEnd"/>
      <w:r>
        <w:rPr>
          <w:rFonts w:ascii="宋体" w:eastAsia="宋体" w:hAnsi="宋体" w:cs="宋体" w:hint="eastAsia"/>
          <w:sz w:val="24"/>
        </w:rPr>
        <w:t>责。各级监管机构要做到守土有责，及时开展工作督查，对自查整改不到位、存在违法违规问题的机构，要严肃问责。</w:t>
      </w:r>
    </w:p>
    <w:p w14:paraId="475BFEB4"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各法人银行业金融机构应分别于2017年7月20日和2018年1月20日前，向监管机构报告本机构上半年和全年相关工作进展。</w:t>
      </w:r>
      <w:proofErr w:type="gramStart"/>
      <w:r>
        <w:rPr>
          <w:rFonts w:ascii="宋体" w:eastAsia="宋体" w:hAnsi="宋体" w:cs="宋体" w:hint="eastAsia"/>
          <w:sz w:val="24"/>
        </w:rPr>
        <w:t>各银监</w:t>
      </w:r>
      <w:proofErr w:type="gramEnd"/>
      <w:r>
        <w:rPr>
          <w:rFonts w:ascii="宋体" w:eastAsia="宋体" w:hAnsi="宋体" w:cs="宋体" w:hint="eastAsia"/>
          <w:sz w:val="24"/>
        </w:rPr>
        <w:t>局应分别于2017年7月31日和2018年1月31日前，向银监会报告上半年和全年辖内银行业风险防控及督查工作情况。</w:t>
      </w:r>
    </w:p>
    <w:p w14:paraId="2F4726A5"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110.《中国银监会关于进一步深化整治银行业市场乱象的通知》</w:t>
      </w:r>
    </w:p>
    <w:p w14:paraId="57A246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发文机构：中国银行业监督管理委员会(已撤销)</w:t>
      </w:r>
      <w:r>
        <w:rPr>
          <w:rFonts w:ascii="宋体" w:eastAsia="宋体" w:hAnsi="宋体" w:cs="宋体" w:hint="eastAsia"/>
          <w:sz w:val="24"/>
        </w:rPr>
        <w:tab/>
      </w:r>
    </w:p>
    <w:p w14:paraId="0788F5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文号：银监发〔2018〕4号</w:t>
      </w:r>
    </w:p>
    <w:p w14:paraId="2C43E60D"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局，机关各部门，各政策性银行、大型银行、股份制银行，邮储银行，外资银行，金融资产管理公司：</w:t>
      </w:r>
    </w:p>
    <w:p w14:paraId="43DD3B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为全面贯彻落实党的十九大、中央经济工作会议和全国金融工作会议精神，坚决打好防范化解重大风险攻坚战，银监会决定进一步深化整治银行业市场乱象。现将有关事项通知如下：</w:t>
      </w:r>
    </w:p>
    <w:p w14:paraId="19506C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一、全面开展评估工作</w:t>
      </w:r>
    </w:p>
    <w:p w14:paraId="3D6DCA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和各级监管机构要高度重视，周密安排，精心组织，成立领导小组，层层实行“一把手”负责制，并结合实际制定工作实施方案，确保组织到位、推进到位、落实到位。要全面评估2017年已开展的“</w:t>
      </w:r>
      <w:proofErr w:type="gramStart"/>
      <w:r>
        <w:rPr>
          <w:rFonts w:ascii="宋体" w:eastAsia="宋体" w:hAnsi="宋体" w:cs="宋体" w:hint="eastAsia"/>
          <w:sz w:val="24"/>
        </w:rPr>
        <w:t>三三四十</w:t>
      </w:r>
      <w:proofErr w:type="gramEnd"/>
      <w:r>
        <w:rPr>
          <w:rFonts w:ascii="宋体" w:eastAsia="宋体" w:hAnsi="宋体" w:cs="宋体" w:hint="eastAsia"/>
          <w:sz w:val="24"/>
        </w:rPr>
        <w:t>”、信用风险专项排查、“两会一层”</w:t>
      </w:r>
      <w:proofErr w:type="gramStart"/>
      <w:r>
        <w:rPr>
          <w:rFonts w:ascii="宋体" w:eastAsia="宋体" w:hAnsi="宋体" w:cs="宋体" w:hint="eastAsia"/>
          <w:sz w:val="24"/>
        </w:rPr>
        <w:t>风控责任</w:t>
      </w:r>
      <w:proofErr w:type="gramEnd"/>
      <w:r>
        <w:rPr>
          <w:rFonts w:ascii="宋体" w:eastAsia="宋体" w:hAnsi="宋体" w:cs="宋体" w:hint="eastAsia"/>
          <w:sz w:val="24"/>
        </w:rPr>
        <w:t>落实等专项治理工作，对照2018年整治银行业市场乱象工作要点，梳理本机构、本部门、本地区存在的突出问题和风险隐患。各银行业金融机构重点评估自查是否全面深入、问题是否真实准确、整改是否及时彻底、问</w:t>
      </w:r>
      <w:proofErr w:type="gramStart"/>
      <w:r>
        <w:rPr>
          <w:rFonts w:ascii="宋体" w:eastAsia="宋体" w:hAnsi="宋体" w:cs="宋体" w:hint="eastAsia"/>
          <w:sz w:val="24"/>
        </w:rPr>
        <w:t>责是否</w:t>
      </w:r>
      <w:proofErr w:type="gramEnd"/>
      <w:r>
        <w:rPr>
          <w:rFonts w:ascii="宋体" w:eastAsia="宋体" w:hAnsi="宋体" w:cs="宋体" w:hint="eastAsia"/>
          <w:sz w:val="24"/>
        </w:rPr>
        <w:t>严格到位、发现的风险是否有效化解、制度短板是否得到弥补、制度执行力是否得到加强以及当前仍存在哪些突出问题等。各级监管机构重点评估是否存在检查不深不透、应查未查、发现问题隐瞒不报、</w:t>
      </w:r>
      <w:proofErr w:type="gramStart"/>
      <w:r>
        <w:rPr>
          <w:rFonts w:ascii="宋体" w:eastAsia="宋体" w:hAnsi="宋体" w:cs="宋体" w:hint="eastAsia"/>
          <w:sz w:val="24"/>
        </w:rPr>
        <w:t>应罚未罚</w:t>
      </w:r>
      <w:proofErr w:type="gramEnd"/>
      <w:r>
        <w:rPr>
          <w:rFonts w:ascii="宋体" w:eastAsia="宋体" w:hAnsi="宋体" w:cs="宋体" w:hint="eastAsia"/>
          <w:sz w:val="24"/>
        </w:rPr>
        <w:t>及处罚偏松偏软等问题和下一步监管重点，形成“整改-评估-整改”的工作机制。</w:t>
      </w:r>
    </w:p>
    <w:p w14:paraId="38045D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二、统筹推进各项工作</w:t>
      </w:r>
    </w:p>
    <w:p w14:paraId="1A8318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（一）坚持即查即改。各银行业金融机构要把整治银行业市场乱象作为一项常态化的重点工作，与业务经营管理、体制机制改革、合</w:t>
      </w:r>
      <w:proofErr w:type="gramStart"/>
      <w:r>
        <w:rPr>
          <w:rFonts w:ascii="宋体" w:eastAsia="宋体" w:hAnsi="宋体" w:cs="宋体" w:hint="eastAsia"/>
          <w:sz w:val="24"/>
        </w:rPr>
        <w:t>规</w:t>
      </w:r>
      <w:proofErr w:type="gramEnd"/>
      <w:r>
        <w:rPr>
          <w:rFonts w:ascii="宋体" w:eastAsia="宋体" w:hAnsi="宋体" w:cs="宋体" w:hint="eastAsia"/>
          <w:sz w:val="24"/>
        </w:rPr>
        <w:t>文化建设等相结合,同研究、同部署、同落实。要切实履行主体责任，将整治乱象转化为内控管理自觉行为，边排查边整改，边</w:t>
      </w:r>
      <w:proofErr w:type="gramStart"/>
      <w:r>
        <w:rPr>
          <w:rFonts w:ascii="宋体" w:eastAsia="宋体" w:hAnsi="宋体" w:cs="宋体" w:hint="eastAsia"/>
          <w:sz w:val="24"/>
        </w:rPr>
        <w:t>问责边教育</w:t>
      </w:r>
      <w:proofErr w:type="gramEnd"/>
      <w:r>
        <w:rPr>
          <w:rFonts w:ascii="宋体" w:eastAsia="宋体" w:hAnsi="宋体" w:cs="宋体" w:hint="eastAsia"/>
          <w:sz w:val="24"/>
        </w:rPr>
        <w:t>，边规范边提升，真正敬畏规则、合</w:t>
      </w:r>
      <w:proofErr w:type="gramStart"/>
      <w:r>
        <w:rPr>
          <w:rFonts w:ascii="宋体" w:eastAsia="宋体" w:hAnsi="宋体" w:cs="宋体" w:hint="eastAsia"/>
          <w:sz w:val="24"/>
        </w:rPr>
        <w:t>规</w:t>
      </w:r>
      <w:proofErr w:type="gramEnd"/>
      <w:r>
        <w:rPr>
          <w:rFonts w:ascii="宋体" w:eastAsia="宋体" w:hAnsi="宋体" w:cs="宋体" w:hint="eastAsia"/>
          <w:sz w:val="24"/>
        </w:rPr>
        <w:t>经营。</w:t>
      </w:r>
    </w:p>
    <w:p w14:paraId="3249A7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（二）开展现场检查。各级监管机构要把整治银行业市场乱象作为现场检查</w:t>
      </w:r>
      <w:r>
        <w:rPr>
          <w:rFonts w:ascii="宋体" w:eastAsia="宋体" w:hAnsi="宋体" w:cs="宋体" w:hint="eastAsia"/>
          <w:sz w:val="24"/>
        </w:rPr>
        <w:lastRenderedPageBreak/>
        <w:t>的重点，突出问题导向和风险导向，结合日常监管情况，找准重点机构、重点风险和重点业务，统筹确定检查对象、范围和比例，有的放矢，精准发力。要注重专项检查与常规检查相结合，采取“双随机”方式，切实提升检查的针对性和有效性。</w:t>
      </w:r>
    </w:p>
    <w:p w14:paraId="4EAEE1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（三）加强督促指导。银监会各机构</w:t>
      </w:r>
      <w:proofErr w:type="gramStart"/>
      <w:r>
        <w:rPr>
          <w:rFonts w:ascii="宋体" w:eastAsia="宋体" w:hAnsi="宋体" w:cs="宋体" w:hint="eastAsia"/>
          <w:sz w:val="24"/>
        </w:rPr>
        <w:t>监管部和各银</w:t>
      </w:r>
      <w:proofErr w:type="gramEnd"/>
      <w:r>
        <w:rPr>
          <w:rFonts w:ascii="宋体" w:eastAsia="宋体" w:hAnsi="宋体" w:cs="宋体" w:hint="eastAsia"/>
          <w:sz w:val="24"/>
        </w:rPr>
        <w:t>监局要按照工作职责，加强对本条线、本地区重点机构和重点业务的督促指导，原则上全年不少于2次。对督导发现存在不重视、行动慢、落实差、甚至搞形式主义等情况，要严肃通报、追责问责。银监会将于2018年下半年组织专门工作小组对重点地区进行督导，总结交流经验，及时纠正解决方案不细、情况不清、乱象较多、案件多发频发、处罚偏松偏软等问题。</w:t>
      </w:r>
    </w:p>
    <w:p w14:paraId="25FFC5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三、切实规范各类报告</w:t>
      </w:r>
    </w:p>
    <w:p w14:paraId="604F15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（一）评估报告</w:t>
      </w:r>
    </w:p>
    <w:p w14:paraId="54FF5E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1.报告路径和时间要求</w:t>
      </w:r>
    </w:p>
    <w:p w14:paraId="63DAEC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法人应在汇总分支机构评估情况基础上，于2018年3月10日前将评估报告报送监管部门。其中，银监会直接监管的全国性银行业金融机构报送至对口的机构监管部门，同时抄送现场检查局、审慎局和法规部；各地方法人机构报送至属地银监局。</w:t>
      </w:r>
    </w:p>
    <w:p w14:paraId="60AB6F66"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局要汇总辖内机构情况和自我评估情况，于2018年3月20日前将辖内汇总评估报告报送至现场检查局，同时抄送审慎局和法规部，并按机构类别汇总相关报告报送至对口的机构监管部门。</w:t>
      </w:r>
    </w:p>
    <w:p w14:paraId="2BDD894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各机构</w:t>
      </w:r>
      <w:proofErr w:type="gramStart"/>
      <w:r>
        <w:rPr>
          <w:rFonts w:ascii="宋体" w:eastAsia="宋体" w:hAnsi="宋体" w:cs="宋体" w:hint="eastAsia"/>
          <w:sz w:val="24"/>
        </w:rPr>
        <w:t>监管部</w:t>
      </w:r>
      <w:proofErr w:type="gramEnd"/>
      <w:r>
        <w:rPr>
          <w:rFonts w:ascii="宋体" w:eastAsia="宋体" w:hAnsi="宋体" w:cs="宋体" w:hint="eastAsia"/>
          <w:sz w:val="24"/>
        </w:rPr>
        <w:t>要按机构类别汇总本条线评估情况，于2018年3月底前将评估报告报送分管会领导，同时抄送现场检查局、审慎局和法规部。</w:t>
      </w:r>
    </w:p>
    <w:p w14:paraId="6CE922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报告内容。报告应简要概括，突出重点，内容包括但不限于：2017年已开展的专项治理工作评估情况，包括发现的主要问题、问题处置和风险化解情况、整改和问责情况、治理工作存在的不足等；当前存在的主要问题或风险隐患；下一步工作措施等。</w:t>
      </w:r>
    </w:p>
    <w:p w14:paraId="46D850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（二）工作报告</w:t>
      </w:r>
    </w:p>
    <w:p w14:paraId="738F95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1.报告路径和时间要求</w:t>
      </w:r>
    </w:p>
    <w:p w14:paraId="666A96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各银行业金融机构应分别于2018年6月10日前和12月10日前报送阶段性工作报告和年度工作报告及附表，报告路径同上。</w:t>
      </w:r>
    </w:p>
    <w:p w14:paraId="2211F6EE"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各银监</w:t>
      </w:r>
      <w:proofErr w:type="gramEnd"/>
      <w:r>
        <w:rPr>
          <w:rFonts w:ascii="宋体" w:eastAsia="宋体" w:hAnsi="宋体" w:cs="宋体" w:hint="eastAsia"/>
          <w:sz w:val="24"/>
        </w:rPr>
        <w:t>局应认真开展现场检查，并督促指导辖内机构开展整治工作，分别于2018年6月20日前和12月20日前报送阶段性工作报告和年度工作报告、附表及1—2个典型案例，报告路径同上。</w:t>
      </w:r>
    </w:p>
    <w:p w14:paraId="263AC3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各机构</w:t>
      </w:r>
      <w:proofErr w:type="gramStart"/>
      <w:r>
        <w:rPr>
          <w:rFonts w:ascii="宋体" w:eastAsia="宋体" w:hAnsi="宋体" w:cs="宋体" w:hint="eastAsia"/>
          <w:sz w:val="24"/>
        </w:rPr>
        <w:t>监管部</w:t>
      </w:r>
      <w:proofErr w:type="gramEnd"/>
      <w:r>
        <w:rPr>
          <w:rFonts w:ascii="宋体" w:eastAsia="宋体" w:hAnsi="宋体" w:cs="宋体" w:hint="eastAsia"/>
          <w:sz w:val="24"/>
        </w:rPr>
        <w:t>应扎实开展督导督查，并汇总本条</w:t>
      </w:r>
      <w:proofErr w:type="gramStart"/>
      <w:r>
        <w:rPr>
          <w:rFonts w:ascii="宋体" w:eastAsia="宋体" w:hAnsi="宋体" w:cs="宋体" w:hint="eastAsia"/>
          <w:sz w:val="24"/>
        </w:rPr>
        <w:t>线机构</w:t>
      </w:r>
      <w:proofErr w:type="gramEnd"/>
      <w:r>
        <w:rPr>
          <w:rFonts w:ascii="宋体" w:eastAsia="宋体" w:hAnsi="宋体" w:cs="宋体" w:hint="eastAsia"/>
          <w:sz w:val="24"/>
        </w:rPr>
        <w:t>工作情况，分别于2018年6月底前和12月底前报送阶段性报告和年度报告及附表。</w:t>
      </w:r>
    </w:p>
    <w:p w14:paraId="37654B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现场检查局应于2018年7月10日前和2019年1月10日前分别完成汇总并上报。</w:t>
      </w:r>
    </w:p>
    <w:p w14:paraId="43FD3F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2.报告内容。包括但不限于：组织实施情况；发现的主要问题和风险隐患；采取的工作措施及成效；下一步计划和意见建议等。</w:t>
      </w:r>
    </w:p>
    <w:p w14:paraId="65796B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整治工作期间发现的重大风险和重大问题，各银行业金融机构和各级监管机构要及时报告。</w:t>
      </w:r>
    </w:p>
    <w:p w14:paraId="7E1897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四、依法严肃处罚问责</w:t>
      </w:r>
    </w:p>
    <w:p w14:paraId="106C11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要建立问题台账，逐一落实整改，明确时限、责任到人，并严格按照党纪、政纪和内部规章进行问责。各级监管机构要及时采取监管措施予以纠正，对严重违法违规行为、屡查屡犯问题、重大案件和风险事件，要依法处罚问题机构和责任人。各级监管机构要严肃各项纪律，严格按照中央“八项规定”和纠正“四风”要求，自觉遵守各项制度规定，依法廉洁开展工作，规范监管行为，防范道德风险。对违反纪律的行为，各级纪检监察部门要坚决纠正，严肃查处。</w:t>
      </w:r>
    </w:p>
    <w:p w14:paraId="1CF8B2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联系人及电话：</w:t>
      </w:r>
      <w:proofErr w:type="gramStart"/>
      <w:r>
        <w:rPr>
          <w:rFonts w:ascii="宋体" w:eastAsia="宋体" w:hAnsi="宋体" w:cs="宋体" w:hint="eastAsia"/>
          <w:sz w:val="24"/>
        </w:rPr>
        <w:t>陈攀</w:t>
      </w:r>
      <w:proofErr w:type="gramEnd"/>
      <w:r>
        <w:rPr>
          <w:rFonts w:ascii="宋体" w:eastAsia="宋体" w:hAnsi="宋体" w:cs="宋体" w:hint="eastAsia"/>
          <w:sz w:val="24"/>
        </w:rPr>
        <w:t>,010-66278833</w:t>
      </w:r>
    </w:p>
    <w:p w14:paraId="0BD367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赵晓东,010-66278873</w:t>
      </w:r>
    </w:p>
    <w:p w14:paraId="4830BE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2018年1月12日</w:t>
      </w:r>
    </w:p>
    <w:p w14:paraId="10FEFC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附件1：</w:t>
      </w:r>
    </w:p>
    <w:p w14:paraId="211B73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进一步深化整治银行业市场乱象的意见</w:t>
      </w:r>
    </w:p>
    <w:p w14:paraId="352142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深入贯彻落实党的十九大、中央经济工作会议和全国金融工作会议精神，把主动防范化解金融风险放在更加重要的位置，持续推动整治银行业市场乱象向纵深发展，切实规范银行业经营行为，严守不发生系统性金融风险的底线，现提出以下工作意见。</w:t>
      </w:r>
    </w:p>
    <w:p w14:paraId="57FB6A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一、提高思想认识</w:t>
      </w:r>
    </w:p>
    <w:p w14:paraId="632A3C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和各级监管机构要准确把握习近平新时代中国特色社会主义思想的理论精髓，充分认识到金融安全事关国家安全、事关治国理政，充分认识到整治市场乱象是防范系统性金融风险的重要内容，充分认识到深化整治银行业市场乱象的长期性、复杂性和艰巨性。要在思想上政治上行动上与以习近平同志为核心的党中央保持高度一致，不折不扣落实党中央、国务院关于金融工作的决策部署，以深化整治银行业市场乱象为重要抓手，</w:t>
      </w:r>
      <w:proofErr w:type="gramStart"/>
      <w:r>
        <w:rPr>
          <w:rFonts w:ascii="宋体" w:eastAsia="宋体" w:hAnsi="宋体" w:cs="宋体" w:hint="eastAsia"/>
          <w:sz w:val="24"/>
        </w:rPr>
        <w:t>切实回归</w:t>
      </w:r>
      <w:proofErr w:type="gramEnd"/>
      <w:r>
        <w:rPr>
          <w:rFonts w:ascii="宋体" w:eastAsia="宋体" w:hAnsi="宋体" w:cs="宋体" w:hint="eastAsia"/>
          <w:sz w:val="24"/>
        </w:rPr>
        <w:t>服务实体经济本源，坚决打好防范化解重大风险攻坚战。</w:t>
      </w:r>
    </w:p>
    <w:p w14:paraId="667137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二、明确工作目标</w:t>
      </w:r>
    </w:p>
    <w:p w14:paraId="20779C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各银行业金融机构和各级监管机构要通过深化整治银行业市场乱象，使违法违规问题突出、大案要案高发频发的势头得到有效遏制；使促进资金</w:t>
      </w:r>
      <w:proofErr w:type="gramStart"/>
      <w:r>
        <w:rPr>
          <w:rFonts w:ascii="宋体" w:eastAsia="宋体" w:hAnsi="宋体" w:cs="宋体" w:hint="eastAsia"/>
          <w:sz w:val="24"/>
        </w:rPr>
        <w:t>脱虚向</w:t>
      </w:r>
      <w:proofErr w:type="gramEnd"/>
      <w:r>
        <w:rPr>
          <w:rFonts w:ascii="宋体" w:eastAsia="宋体" w:hAnsi="宋体" w:cs="宋体" w:hint="eastAsia"/>
          <w:sz w:val="24"/>
        </w:rPr>
        <w:t>实、回归服务实体经济本源的基础得到切实巩固；使银行业专注主业、实现差异化发展的态势得到加强延续；使依法合</w:t>
      </w:r>
      <w:proofErr w:type="gramStart"/>
      <w:r>
        <w:rPr>
          <w:rFonts w:ascii="宋体" w:eastAsia="宋体" w:hAnsi="宋体" w:cs="宋体" w:hint="eastAsia"/>
          <w:sz w:val="24"/>
        </w:rPr>
        <w:t>规</w:t>
      </w:r>
      <w:proofErr w:type="gramEnd"/>
      <w:r>
        <w:rPr>
          <w:rFonts w:ascii="宋体" w:eastAsia="宋体" w:hAnsi="宋体" w:cs="宋体" w:hint="eastAsia"/>
          <w:sz w:val="24"/>
        </w:rPr>
        <w:t>展业、稳健经营发展的文化得到培育深植。</w:t>
      </w:r>
    </w:p>
    <w:p w14:paraId="27A994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三、深化问题导向</w:t>
      </w:r>
    </w:p>
    <w:p w14:paraId="2FB207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和各级监管机构要把发现问题和解决问题作为深化整治银行业市场乱象的出发点和落脚点，紧盯问题多的机构、乱象多的区域、风险集中的业务领域。要坚持“靶向”治疗和重点整治，什么问题查得不彻底就查什么、什么乱象最突出就整治什么、什么方面整改不到位就整改什么、什么责任没有落实就问责什么，着力祛除市场乱象“顽疾”。</w:t>
      </w:r>
    </w:p>
    <w:p w14:paraId="5BDC6A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四、突出整治重点</w:t>
      </w:r>
    </w:p>
    <w:p w14:paraId="31F86D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各银行业金融机构和各级监管机构要抓住服务实体经济这个根本，严查资金</w:t>
      </w:r>
      <w:proofErr w:type="gramStart"/>
      <w:r>
        <w:rPr>
          <w:rFonts w:ascii="宋体" w:eastAsia="宋体" w:hAnsi="宋体" w:cs="宋体" w:hint="eastAsia"/>
          <w:sz w:val="24"/>
        </w:rPr>
        <w:t>脱实向</w:t>
      </w:r>
      <w:proofErr w:type="gramEnd"/>
      <w:r>
        <w:rPr>
          <w:rFonts w:ascii="宋体" w:eastAsia="宋体" w:hAnsi="宋体" w:cs="宋体" w:hint="eastAsia"/>
          <w:sz w:val="24"/>
        </w:rPr>
        <w:t>虚在金融体系空转的行为，严查“阳奉阴违”或选择性落实宏观调控政策和监管要求的行为，积极贯彻新发展理念，形成金融和实体经济、金融和房地产、金融体系内部的良性循环。要抓住完善公司治理这个基础，把整治重点放在规范股东行为、加强股权管理、推动“三会一层”依法合</w:t>
      </w:r>
      <w:proofErr w:type="gramStart"/>
      <w:r>
        <w:rPr>
          <w:rFonts w:ascii="宋体" w:eastAsia="宋体" w:hAnsi="宋体" w:cs="宋体" w:hint="eastAsia"/>
          <w:sz w:val="24"/>
        </w:rPr>
        <w:t>规</w:t>
      </w:r>
      <w:proofErr w:type="gramEnd"/>
      <w:r>
        <w:rPr>
          <w:rFonts w:ascii="宋体" w:eastAsia="宋体" w:hAnsi="宋体" w:cs="宋体" w:hint="eastAsia"/>
          <w:sz w:val="24"/>
        </w:rPr>
        <w:t>运作等方面。要抓住影子银行及交叉金融产品风险这个重点，严查同业、理财、表外等业务层层嵌套，业务发展速度与内控和风险管理能力不匹配，违规加杠杆、加链条、监管套利等行为。要抓住依法合</w:t>
      </w:r>
      <w:proofErr w:type="gramStart"/>
      <w:r>
        <w:rPr>
          <w:rFonts w:ascii="宋体" w:eastAsia="宋体" w:hAnsi="宋体" w:cs="宋体" w:hint="eastAsia"/>
          <w:sz w:val="24"/>
        </w:rPr>
        <w:t>规</w:t>
      </w:r>
      <w:proofErr w:type="gramEnd"/>
      <w:r>
        <w:rPr>
          <w:rFonts w:ascii="宋体" w:eastAsia="宋体" w:hAnsi="宋体" w:cs="宋体" w:hint="eastAsia"/>
          <w:sz w:val="24"/>
        </w:rPr>
        <w:t>经营这个着力点，坚决根治普遍存在的合</w:t>
      </w:r>
      <w:proofErr w:type="gramStart"/>
      <w:r>
        <w:rPr>
          <w:rFonts w:ascii="宋体" w:eastAsia="宋体" w:hAnsi="宋体" w:cs="宋体" w:hint="eastAsia"/>
          <w:sz w:val="24"/>
        </w:rPr>
        <w:t>规</w:t>
      </w:r>
      <w:proofErr w:type="gramEnd"/>
      <w:r>
        <w:rPr>
          <w:rFonts w:ascii="宋体" w:eastAsia="宋体" w:hAnsi="宋体" w:cs="宋体" w:hint="eastAsia"/>
          <w:sz w:val="24"/>
        </w:rPr>
        <w:t>意识淡薄、制度缺失、屡查屡犯等问题痼疾。要抓住金融消费者权益这个关键，严查乱设机构、乱办业务、违法违规销售、利益输送等行为，加强信息披露和金融产品适当性管理，规范市场竞争秩序，切实保障消费者合法权益，维护公众信心。</w:t>
      </w:r>
    </w:p>
    <w:p w14:paraId="2281CD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五、严查案件风险</w:t>
      </w:r>
    </w:p>
    <w:p w14:paraId="68A3C3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案件风险是银行业市场乱象最集中、最典型、最突出的表现形式。各级监管机构要按照“一案</w:t>
      </w:r>
      <w:proofErr w:type="gramStart"/>
      <w:r>
        <w:rPr>
          <w:rFonts w:ascii="宋体" w:eastAsia="宋体" w:hAnsi="宋体" w:cs="宋体" w:hint="eastAsia"/>
          <w:sz w:val="24"/>
        </w:rPr>
        <w:t>一</w:t>
      </w:r>
      <w:proofErr w:type="gramEnd"/>
      <w:r>
        <w:rPr>
          <w:rFonts w:ascii="宋体" w:eastAsia="宋体" w:hAnsi="宋体" w:cs="宋体" w:hint="eastAsia"/>
          <w:sz w:val="24"/>
        </w:rPr>
        <w:t>策、分类处置、标本兼治”的工作思路，严肃查处银行业案件和重大风险事件。要督促案发机构及时启动应急处置措施及内部问责机制，严肃处理，严肃问责。要按照“一案三查、上追两级”的要求，对案发机构和涉案机构依法处罚问责，同时综合使用审慎监管措施，让违法违规的机构和人员都要付出代价，切实维护银行业良好秩序。要坚持以公开为常态、不公开为例外，按照有关规定及时公布处罚情况，切实发挥“处罚一个、震慑一片”的警示作用。</w:t>
      </w:r>
    </w:p>
    <w:p w14:paraId="6D80F8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六、落实主体责任</w:t>
      </w:r>
    </w:p>
    <w:p w14:paraId="07BC57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要压实深化整治银行业市场乱象的主体责任。要把加强党的领导贯穿于全过程，党委会要将深化整治银行业市场乱象作为重大决策，专题研究、专题部署；纪委要全程监督纪律执行和任务落实，按照党纪、政纪和内部规章，加大对违法违规人员的问责力度，切实解决内部问责流于形式、处理浮于表面的问题。董事会要担负起最终责任，董事长是第一责任人；高管层要担负起执行责任；监事会要担负起监督责任；上级机构要担负起管理责任，真正使铁的制度、铁的纪律得到铁的执行。</w:t>
      </w:r>
    </w:p>
    <w:p w14:paraId="5F6DA6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七、把握力度节奏</w:t>
      </w:r>
    </w:p>
    <w:p w14:paraId="0C955B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和各级监管机构要坚持稳中求进，在守住不发生系统性金融风险的底线上求稳，在处置违法违规问题、重大案件和高风险事件上求进，坚决整治各类扰乱银行业市场秩序的乱象。要循序渐进，密切关注宏观形势和市场变化，把握好力度和节奏，制定阶段性目标，防止出现政策叠加和力度叠加，防范“处置风险的风险”。要新老划断，对于存量业务，区分问题性质、产生原因和造成后果等情况，给予一定的消化期和过渡期，差别化处置；对于整治银行业市场乱象工作开展以后（2017年5月1日后）的新增业务，严格按照法律法规进行规范，依法查处。要分类施策，坚持自查自纠从宽、监管发现从严，对主动发现、主动处置、主动作为的提高监管容忍度；对监管发现、主观恶意、性质恶劣、情节严重的依法从严处罚，特别是对重大案件和风险事件，依法予以顶格处罚。</w:t>
      </w:r>
    </w:p>
    <w:p w14:paraId="58F117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八、履行监管责任</w:t>
      </w:r>
    </w:p>
    <w:p w14:paraId="341406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各级监管机构要坚持“监管姓监”，依法监管，从严监管，廉洁监管，形成有风险没有及时发现就是失职、发现风险没有及时提示和处置就是渎职的严肃监管氛围。要坚持全面监管，既要</w:t>
      </w:r>
      <w:proofErr w:type="gramStart"/>
      <w:r>
        <w:rPr>
          <w:rFonts w:ascii="宋体" w:eastAsia="宋体" w:hAnsi="宋体" w:cs="宋体" w:hint="eastAsia"/>
          <w:sz w:val="24"/>
        </w:rPr>
        <w:t>管传统</w:t>
      </w:r>
      <w:proofErr w:type="gramEnd"/>
      <w:r>
        <w:rPr>
          <w:rFonts w:ascii="宋体" w:eastAsia="宋体" w:hAnsi="宋体" w:cs="宋体" w:hint="eastAsia"/>
          <w:sz w:val="24"/>
        </w:rPr>
        <w:t>业务，也要管创新业务；既要管有牌照的违法违规行为，也要管“无牌经营”。对于存在制度短板或监管“盲区”的，要及时弥补、及时纠正，增强监管规则的科学性、针对性。要坚持执法必严、违法必究，严格执行法律、法规和纪律，做到没收违法所得与罚款并重、处罚机构与处罚人员并举，对于涉及其他金融监管部门职责的依法移送相关部门，涉嫌违法犯罪的依法移送司法机关，着力解决监管</w:t>
      </w:r>
      <w:proofErr w:type="gramStart"/>
      <w:r>
        <w:rPr>
          <w:rFonts w:ascii="宋体" w:eastAsia="宋体" w:hAnsi="宋体" w:cs="宋体" w:hint="eastAsia"/>
          <w:sz w:val="24"/>
        </w:rPr>
        <w:t>问责不到位</w:t>
      </w:r>
      <w:proofErr w:type="gramEnd"/>
      <w:r>
        <w:rPr>
          <w:rFonts w:ascii="宋体" w:eastAsia="宋体" w:hAnsi="宋体" w:cs="宋体" w:hint="eastAsia"/>
          <w:sz w:val="24"/>
        </w:rPr>
        <w:t>、偏松偏软和区域差异较大等突出问题。各级纪检监察部门要切实发挥监督作用，对监管职责履行不到位、监管权力行使不规范、监管问</w:t>
      </w:r>
      <w:proofErr w:type="gramStart"/>
      <w:r>
        <w:rPr>
          <w:rFonts w:ascii="宋体" w:eastAsia="宋体" w:hAnsi="宋体" w:cs="宋体" w:hint="eastAsia"/>
          <w:sz w:val="24"/>
        </w:rPr>
        <w:t>责处罚</w:t>
      </w:r>
      <w:proofErr w:type="gramEnd"/>
      <w:r>
        <w:rPr>
          <w:rFonts w:ascii="宋体" w:eastAsia="宋体" w:hAnsi="宋体" w:cs="宋体" w:hint="eastAsia"/>
          <w:sz w:val="24"/>
        </w:rPr>
        <w:t>不严不实的机构或部门，严格依规依</w:t>
      </w:r>
      <w:proofErr w:type="gramStart"/>
      <w:r>
        <w:rPr>
          <w:rFonts w:ascii="宋体" w:eastAsia="宋体" w:hAnsi="宋体" w:cs="宋体" w:hint="eastAsia"/>
          <w:sz w:val="24"/>
        </w:rPr>
        <w:t>纪进行问</w:t>
      </w:r>
      <w:proofErr w:type="gramEnd"/>
      <w:r>
        <w:rPr>
          <w:rFonts w:ascii="宋体" w:eastAsia="宋体" w:hAnsi="宋体" w:cs="宋体" w:hint="eastAsia"/>
          <w:sz w:val="24"/>
        </w:rPr>
        <w:t>责处理。</w:t>
      </w:r>
    </w:p>
    <w:p w14:paraId="7F464F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九、形成监管合力</w:t>
      </w:r>
    </w:p>
    <w:p w14:paraId="475535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各级监管机构要强化并表监管，突出功能监管和行为监管，明确各自责任。机构监管部门要加强督导督查；功能和规制监管部门要加强政策指导、数据支持、法律保障和技术支撑；</w:t>
      </w:r>
      <w:proofErr w:type="gramStart"/>
      <w:r>
        <w:rPr>
          <w:rFonts w:ascii="宋体" w:eastAsia="宋体" w:hAnsi="宋体" w:cs="宋体" w:hint="eastAsia"/>
          <w:sz w:val="24"/>
        </w:rPr>
        <w:t>各银监</w:t>
      </w:r>
      <w:proofErr w:type="gramEnd"/>
      <w:r>
        <w:rPr>
          <w:rFonts w:ascii="宋体" w:eastAsia="宋体" w:hAnsi="宋体" w:cs="宋体" w:hint="eastAsia"/>
          <w:sz w:val="24"/>
        </w:rPr>
        <w:t>局要扎实开展本辖区的检查和督导工作；各级纪检</w:t>
      </w:r>
      <w:r>
        <w:rPr>
          <w:rFonts w:ascii="宋体" w:eastAsia="宋体" w:hAnsi="宋体" w:cs="宋体" w:hint="eastAsia"/>
          <w:sz w:val="24"/>
        </w:rPr>
        <w:lastRenderedPageBreak/>
        <w:t>监察部门要加强整治工作期间的监督执纪问责；各级巡视部门要将深化整治银行业市场乱象作为政治巡视的重要内容。要充分发挥监管、监察和巡视的综合效应，发挥理财登记托管中心、银行业信贷资产登记流转中心、信托登记公司等机构作用，发挥信访、投诉、举报、舆情等社会监督功能，综合运用审慎监管措施、机构监管评级、高管履职评价、行政处罚以及移送司法等手段，加强同银行业金融机构各协会、机构内审部门和外部审计机构的沟通联动，不断增强监管有效性。要自觉服从国务院金融稳定发展委员会的领导，加强与其他金融监管部门的监管协作，强化监管合力。</w:t>
      </w:r>
    </w:p>
    <w:p w14:paraId="2B0434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十、建立长效机制</w:t>
      </w:r>
    </w:p>
    <w:p w14:paraId="5B5CF2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业金融机构要以深化整治银行业市场乱象为切入点，严格自查自纠，弥补内部控制失效、风险管理不力、制度建设和执行力严重不足的短板，纠正片面追求规模扩张、高速发展的粗放式经营理念，注重向管理要效益、向质量要效益、向服务要效益，真正形成“不能违规、不敢违规、不愿违规”的合</w:t>
      </w:r>
      <w:proofErr w:type="gramStart"/>
      <w:r>
        <w:rPr>
          <w:rFonts w:ascii="宋体" w:eastAsia="宋体" w:hAnsi="宋体" w:cs="宋体" w:hint="eastAsia"/>
          <w:sz w:val="24"/>
        </w:rPr>
        <w:t>规</w:t>
      </w:r>
      <w:proofErr w:type="gramEnd"/>
      <w:r>
        <w:rPr>
          <w:rFonts w:ascii="宋体" w:eastAsia="宋体" w:hAnsi="宋体" w:cs="宋体" w:hint="eastAsia"/>
          <w:sz w:val="24"/>
        </w:rPr>
        <w:t>文化。各级监管机构要以深化整治银行业市场乱象为突破口，进一步补齐监管制度短板，形成以制度管业务、以制度管机构、以制度管人员的良好机制，切实解决产生乱象的体制机制问题，进一步优化银行业健康发展的生态环境。</w:t>
      </w:r>
    </w:p>
    <w:p w14:paraId="17E11F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附件2：</w:t>
      </w:r>
    </w:p>
    <w:p w14:paraId="32855F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2018年整治银行业市场乱象工作要点</w:t>
      </w:r>
    </w:p>
    <w:p w14:paraId="41B3A9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一、公司治理不健全</w:t>
      </w:r>
    </w:p>
    <w:p w14:paraId="247FCA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股东与股权方面。股东资质不符合规定条件；股东虚假出资、出资不实、抽逃或变相抽逃出资；股东入股资金来源不符合要求，以委托资金、债务资金或其他非自有资金入股；股东委托他人或接受他人委托持有银行股权，存在隐形股东、股权</w:t>
      </w:r>
      <w:proofErr w:type="gramStart"/>
      <w:r>
        <w:rPr>
          <w:rFonts w:ascii="宋体" w:eastAsia="宋体" w:hAnsi="宋体" w:cs="宋体" w:hint="eastAsia"/>
          <w:sz w:val="24"/>
        </w:rPr>
        <w:t>代持等</w:t>
      </w:r>
      <w:proofErr w:type="gramEnd"/>
      <w:r>
        <w:rPr>
          <w:rFonts w:ascii="宋体" w:eastAsia="宋体" w:hAnsi="宋体" w:cs="宋体" w:hint="eastAsia"/>
          <w:sz w:val="24"/>
        </w:rPr>
        <w:t>现象；未经批准超比例持有银行股权，或股东及其控股股东、实际控制人、关联方、一致行动人、最终受益人等通过隐瞒、欺骗等不正当</w:t>
      </w:r>
      <w:proofErr w:type="gramStart"/>
      <w:r>
        <w:rPr>
          <w:rFonts w:ascii="宋体" w:eastAsia="宋体" w:hAnsi="宋体" w:cs="宋体" w:hint="eastAsia"/>
          <w:sz w:val="24"/>
        </w:rPr>
        <w:t>手段超</w:t>
      </w:r>
      <w:proofErr w:type="gramEnd"/>
      <w:r>
        <w:rPr>
          <w:rFonts w:ascii="宋体" w:eastAsia="宋体" w:hAnsi="宋体" w:cs="宋体" w:hint="eastAsia"/>
          <w:sz w:val="24"/>
        </w:rPr>
        <w:t>比例持有银行股权；违规持有多家商业银行股权；股东不作为，未履行规定的义务；股东乱作为，频繁变更或违规变更股权，或挪用银行资金进行股权交易和并购活动，或滥用权利损害商业银行、存款人、其他股东利益；主要股东直接干预</w:t>
      </w:r>
      <w:r>
        <w:rPr>
          <w:rFonts w:ascii="宋体" w:eastAsia="宋体" w:hAnsi="宋体" w:cs="宋体" w:hint="eastAsia"/>
          <w:sz w:val="24"/>
        </w:rPr>
        <w:lastRenderedPageBreak/>
        <w:t>银行经营管理，进行利益输送等。</w:t>
      </w:r>
    </w:p>
    <w:p w14:paraId="5595D1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履职与考评方面。“三会一层”履职不到位，股东大会未有效发挥管控作用，董事会缺乏对战略定位、风险偏好、业务发展速度和规模的合理控制，监事会对董事会与高管层的监督职能未充分发挥，董事会和监事会人员缺位现象突出；董事会下设审计委员会、关联交易控制委员会、薪酬与考核委员会等专业委员会形同虚设，未实际履职或履职不到位、不充分；绩效考评指标设置不合理，合</w:t>
      </w:r>
      <w:proofErr w:type="gramStart"/>
      <w:r>
        <w:rPr>
          <w:rFonts w:ascii="宋体" w:eastAsia="宋体" w:hAnsi="宋体" w:cs="宋体" w:hint="eastAsia"/>
          <w:sz w:val="24"/>
        </w:rPr>
        <w:t>规</w:t>
      </w:r>
      <w:proofErr w:type="gramEnd"/>
      <w:r>
        <w:rPr>
          <w:rFonts w:ascii="宋体" w:eastAsia="宋体" w:hAnsi="宋体" w:cs="宋体" w:hint="eastAsia"/>
          <w:sz w:val="24"/>
        </w:rPr>
        <w:t>经营类指标和风险管理类指标权重低于其他类指标，或业务指标层层加码；设立时点性存款规模考评指标，或设定以存款市场份额、排名或同业比较为要求的考评指标；绩效薪酬的延期支付比例不合</w:t>
      </w:r>
      <w:proofErr w:type="gramStart"/>
      <w:r>
        <w:rPr>
          <w:rFonts w:ascii="宋体" w:eastAsia="宋体" w:hAnsi="宋体" w:cs="宋体" w:hint="eastAsia"/>
          <w:sz w:val="24"/>
        </w:rPr>
        <w:t>规</w:t>
      </w:r>
      <w:proofErr w:type="gramEnd"/>
      <w:r>
        <w:rPr>
          <w:rFonts w:ascii="宋体" w:eastAsia="宋体" w:hAnsi="宋体" w:cs="宋体" w:hint="eastAsia"/>
          <w:sz w:val="24"/>
        </w:rPr>
        <w:t>，或未能与业务的风险持续时期相匹配，或违规提前支付等。</w:t>
      </w:r>
    </w:p>
    <w:p w14:paraId="6F96FA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3.从业资质方面。董事、高级管理人员未经监管部门核准任职资格而履职；风险总监、合</w:t>
      </w:r>
      <w:proofErr w:type="gramStart"/>
      <w:r>
        <w:rPr>
          <w:rFonts w:ascii="宋体" w:eastAsia="宋体" w:hAnsi="宋体" w:cs="宋体" w:hint="eastAsia"/>
          <w:sz w:val="24"/>
        </w:rPr>
        <w:t>规</w:t>
      </w:r>
      <w:proofErr w:type="gramEnd"/>
      <w:r>
        <w:rPr>
          <w:rFonts w:ascii="宋体" w:eastAsia="宋体" w:hAnsi="宋体" w:cs="宋体" w:hint="eastAsia"/>
          <w:sz w:val="24"/>
        </w:rPr>
        <w:t>总监、内审及财务负责人等需要任职资格核准的人员未取得任职资格而履职；董事、高级管理人员任职资格条件发生重大变化导致其不再符合任职资格条件或影响正常履职的，未主动向监管部门报告并采取相应措施等。</w:t>
      </w:r>
    </w:p>
    <w:p w14:paraId="0E254B3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二、违反宏观调控政策</w:t>
      </w:r>
    </w:p>
    <w:p w14:paraId="47C32C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违反信贷政策。违规将表内外资金直接或间接、借道或绕道投向股票市场、“两高一剩”等限制或禁止领域，特别是失去清偿能力的“僵尸企业”；违规为地方政府提供债务融资，放大政府性债务；违规为环保排放不达标、严重污染环境且整改无望的落后企业提供授信或融资；违规为固定资产投资项目提供资本金，或向不符合条件的固定资产投资项目提供融资，导致资金滞留或闲置；</w:t>
      </w:r>
      <w:proofErr w:type="gramStart"/>
      <w:r>
        <w:rPr>
          <w:rFonts w:ascii="宋体" w:eastAsia="宋体" w:hAnsi="宋体" w:cs="宋体" w:hint="eastAsia"/>
          <w:sz w:val="24"/>
        </w:rPr>
        <w:t>不</w:t>
      </w:r>
      <w:proofErr w:type="gramEnd"/>
      <w:r>
        <w:rPr>
          <w:rFonts w:ascii="宋体" w:eastAsia="宋体" w:hAnsi="宋体" w:cs="宋体" w:hint="eastAsia"/>
          <w:sz w:val="24"/>
        </w:rPr>
        <w:t>尽职审查和管理，导致用于支持棚户区改造、精准扶贫、乡村振兴战略等民生领域的贷款被侵占或挪用；人为调整企业标准形态，规避小</w:t>
      </w:r>
      <w:proofErr w:type="gramStart"/>
      <w:r>
        <w:rPr>
          <w:rFonts w:ascii="宋体" w:eastAsia="宋体" w:hAnsi="宋体" w:cs="宋体" w:hint="eastAsia"/>
          <w:sz w:val="24"/>
        </w:rPr>
        <w:t>微企业</w:t>
      </w:r>
      <w:proofErr w:type="gramEnd"/>
      <w:r>
        <w:rPr>
          <w:rFonts w:ascii="宋体" w:eastAsia="宋体" w:hAnsi="宋体" w:cs="宋体" w:hint="eastAsia"/>
          <w:sz w:val="24"/>
        </w:rPr>
        <w:t>贷款指标等。</w:t>
      </w:r>
    </w:p>
    <w:p w14:paraId="259CD0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5.违反房地产行业政策。直接或变相为房地产企业支付土地购置费用提供各类表内外融资，或以自身信用提供支持或通道；向“四证”不全、资本金未足额到位的商业性房地产开发项目提供融资；发放首付不合</w:t>
      </w:r>
      <w:proofErr w:type="gramStart"/>
      <w:r>
        <w:rPr>
          <w:rFonts w:ascii="宋体" w:eastAsia="宋体" w:hAnsi="宋体" w:cs="宋体" w:hint="eastAsia"/>
          <w:sz w:val="24"/>
        </w:rPr>
        <w:t>规</w:t>
      </w:r>
      <w:proofErr w:type="gramEnd"/>
      <w:r>
        <w:rPr>
          <w:rFonts w:ascii="宋体" w:eastAsia="宋体" w:hAnsi="宋体" w:cs="宋体" w:hint="eastAsia"/>
          <w:sz w:val="24"/>
        </w:rPr>
        <w:t>的个人住房贷款；以充当筹资渠道或放款通道等方式，直接或间接为各类机构发放首付贷等行为提供便利；综合消费贷款、个人经营性贷款、信用卡透支等资金用于购房等。</w:t>
      </w:r>
    </w:p>
    <w:p w14:paraId="0BF31E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三、影子银行和交叉金融产品风险</w:t>
      </w:r>
    </w:p>
    <w:p w14:paraId="08F88C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违规开展同业业务。同业治理改革不到位；违规突破监管比例规定或期限控制开展同业业务；违规通过与银行、证券、保险、信托、基金等机构合作，隐匿资金来源和底层资产，未按照“穿透式”和“实质重于形式”原则进行风险管理并足额计提</w:t>
      </w:r>
      <w:proofErr w:type="gramStart"/>
      <w:r>
        <w:rPr>
          <w:rFonts w:ascii="宋体" w:eastAsia="宋体" w:hAnsi="宋体" w:cs="宋体" w:hint="eastAsia"/>
          <w:sz w:val="24"/>
        </w:rPr>
        <w:t>资本及拨备</w:t>
      </w:r>
      <w:proofErr w:type="gramEnd"/>
      <w:r>
        <w:rPr>
          <w:rFonts w:ascii="宋体" w:eastAsia="宋体" w:hAnsi="宋体" w:cs="宋体" w:hint="eastAsia"/>
          <w:sz w:val="24"/>
        </w:rPr>
        <w:t>，或未将最终债务人纳入统一授信和集中度风险管控；同业投资违规多层嵌套，存在隐匿最终投向、突破投资范围与杠杆限制、期限错配等情形；同业业务接受或提供了直接或间接、显性或隐性的第三方金融机构信用担保，或违规签订“抽屉协议”“阴阳合同”、兜底承诺等；违规通过同业业务充当他行资金管理“通道”，未履行风险管理职责，不掌握底层基础资产信息和实际风险承担情况等。</w:t>
      </w:r>
    </w:p>
    <w:p w14:paraId="42258F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7.违规开展理财业务。理财治理改革不完善、不到位；自营业务和代客理财业务未设置风险隔离；理财产品间未实现单独管理、建账和核算，违规开展滚动发行、集合运作、分离定价的资金池理财业务；利用本行自有资金购买本行发行的理财产品，本行信贷资金为本行理财产品提供融资或担保；违规通过发放自营贷款承接存在偿还风险的理财投资业务；理财产品直接投资信贷资产，直接或间接对接本行信贷资产收益权；为非标准化债权资产或股权性融资提供直接或间接、显性或隐性的担保或回购承诺；理财资金投资非标准化债权资产的余额超过监管规定；理财资金通过信托产品投资于权益类金融产品或具备权益类特征的金融产品，但未严格执行合格投资者标准等。</w:t>
      </w:r>
    </w:p>
    <w:p w14:paraId="35FF31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8.违规开展表外业务。未制定划分表外业务和表内业务的严格统一标准，存在故意模糊界限、随意腾挪的行为；违规开展跨业通道业务，利用各类信托计划、</w:t>
      </w:r>
      <w:proofErr w:type="gramStart"/>
      <w:r>
        <w:rPr>
          <w:rFonts w:ascii="宋体" w:eastAsia="宋体" w:hAnsi="宋体" w:cs="宋体" w:hint="eastAsia"/>
          <w:sz w:val="24"/>
        </w:rPr>
        <w:t>资管计划</w:t>
      </w:r>
      <w:proofErr w:type="gramEnd"/>
      <w:r>
        <w:rPr>
          <w:rFonts w:ascii="宋体" w:eastAsia="宋体" w:hAnsi="宋体" w:cs="宋体" w:hint="eastAsia"/>
          <w:sz w:val="24"/>
        </w:rPr>
        <w:t>、委托贷款等，规避资金投向、资产分类、拨备计提、资本占用等监管规定或将表内资产虚假出表；存在名义上为银行</w:t>
      </w:r>
      <w:proofErr w:type="gramStart"/>
      <w:r>
        <w:rPr>
          <w:rFonts w:ascii="宋体" w:eastAsia="宋体" w:hAnsi="宋体" w:cs="宋体" w:hint="eastAsia"/>
          <w:sz w:val="24"/>
        </w:rPr>
        <w:t>代销资管产品</w:t>
      </w:r>
      <w:proofErr w:type="gramEnd"/>
      <w:r>
        <w:rPr>
          <w:rFonts w:ascii="宋体" w:eastAsia="宋体" w:hAnsi="宋体" w:cs="宋体" w:hint="eastAsia"/>
          <w:sz w:val="24"/>
        </w:rPr>
        <w:t>，实际上由代销银行主导相关项目，并签订隐性回购条款承担实质风险，或在出现风险后以自营资金承接代销业务风险资产；接受委托人为金融资产管理公司和经营贷款机构的委托贷款业务申请；违规开展资金来源或资金用途不符合规定的委托贷款；委托贷款和自营业务未严格隔离风险，或未实行分账核算、分级授权管理；以信贷资产</w:t>
      </w:r>
      <w:proofErr w:type="gramStart"/>
      <w:r>
        <w:rPr>
          <w:rFonts w:ascii="宋体" w:eastAsia="宋体" w:hAnsi="宋体" w:cs="宋体" w:hint="eastAsia"/>
          <w:sz w:val="24"/>
        </w:rPr>
        <w:t>或资管产品</w:t>
      </w:r>
      <w:proofErr w:type="gramEnd"/>
      <w:r>
        <w:rPr>
          <w:rFonts w:ascii="宋体" w:eastAsia="宋体" w:hAnsi="宋体" w:cs="宋体" w:hint="eastAsia"/>
          <w:sz w:val="24"/>
        </w:rPr>
        <w:t>为基础资产，通过特定目的载体以打包、分层、份额</w:t>
      </w:r>
      <w:proofErr w:type="gramStart"/>
      <w:r>
        <w:rPr>
          <w:rFonts w:ascii="宋体" w:eastAsia="宋体" w:hAnsi="宋体" w:cs="宋体" w:hint="eastAsia"/>
          <w:sz w:val="24"/>
        </w:rPr>
        <w:t>化销售</w:t>
      </w:r>
      <w:proofErr w:type="gramEnd"/>
      <w:r>
        <w:rPr>
          <w:rFonts w:ascii="宋体" w:eastAsia="宋体" w:hAnsi="宋体" w:cs="宋体" w:hint="eastAsia"/>
          <w:sz w:val="24"/>
        </w:rPr>
        <w:t>等方式，</w:t>
      </w:r>
      <w:r>
        <w:rPr>
          <w:rFonts w:ascii="宋体" w:eastAsia="宋体" w:hAnsi="宋体" w:cs="宋体" w:hint="eastAsia"/>
          <w:sz w:val="24"/>
        </w:rPr>
        <w:lastRenderedPageBreak/>
        <w:t>在银行间市场、证券交易所市场以外的场所发行类资产证券化产品，实现资产非</w:t>
      </w:r>
      <w:proofErr w:type="gramStart"/>
      <w:r>
        <w:rPr>
          <w:rFonts w:ascii="宋体" w:eastAsia="宋体" w:hAnsi="宋体" w:cs="宋体" w:hint="eastAsia"/>
          <w:sz w:val="24"/>
        </w:rPr>
        <w:t>洁净出表并</w:t>
      </w:r>
      <w:proofErr w:type="gramEnd"/>
      <w:r>
        <w:rPr>
          <w:rFonts w:ascii="宋体" w:eastAsia="宋体" w:hAnsi="宋体" w:cs="宋体" w:hint="eastAsia"/>
          <w:sz w:val="24"/>
        </w:rPr>
        <w:t>减少资本计提等。</w:t>
      </w:r>
    </w:p>
    <w:p w14:paraId="1A26CC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9.违规开展合作业务。选择交易合作对手不审慎，未按规定建立合作机构名单制；与非金融机构开展合作时，存在未有效履行资质审查、尽职调查及后续监督义务等情形；违规开展信托目的违法违规的</w:t>
      </w:r>
      <w:proofErr w:type="gramStart"/>
      <w:r>
        <w:rPr>
          <w:rFonts w:ascii="宋体" w:eastAsia="宋体" w:hAnsi="宋体" w:cs="宋体" w:hint="eastAsia"/>
          <w:sz w:val="24"/>
        </w:rPr>
        <w:t>银信类业务</w:t>
      </w:r>
      <w:proofErr w:type="gramEnd"/>
      <w:r>
        <w:rPr>
          <w:rFonts w:ascii="宋体" w:eastAsia="宋体" w:hAnsi="宋体" w:cs="宋体" w:hint="eastAsia"/>
          <w:sz w:val="24"/>
        </w:rPr>
        <w:t>；违规与类金融机构、非持牌金融机构等开展合作；违规与非法中介公司开展业务；违规接受未取得融资担保业务经营许可证的第三方机构提供担保、增信服务以及兜底承诺等变相增信服务；违规为无放贷业务资质的机构提供资金发放贷款，或与无放贷业务资质的机构共同出资发放贷款；违规直接或变相投资以“现金贷”“校园贷”“首付贷”等为基础资产发售的类证券化产品或其他产品等。</w:t>
      </w:r>
    </w:p>
    <w:p w14:paraId="5D76D5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四、侵害金融消费者权益</w:t>
      </w:r>
    </w:p>
    <w:p w14:paraId="32F0DF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10.不当销售。假借所属机构名义私自推介、销售未经审批产品的私售“飞单”行为；擅自修改上级单位合同文本，或改造、变造上级单位发行的产品并违规进行销售；代销金融监管机构监管范围外的、</w:t>
      </w:r>
      <w:proofErr w:type="gramStart"/>
      <w:r>
        <w:rPr>
          <w:rFonts w:ascii="宋体" w:eastAsia="宋体" w:hAnsi="宋体" w:cs="宋体" w:hint="eastAsia"/>
          <w:sz w:val="24"/>
        </w:rPr>
        <w:t>不</w:t>
      </w:r>
      <w:proofErr w:type="gramEnd"/>
      <w:r>
        <w:rPr>
          <w:rFonts w:ascii="宋体" w:eastAsia="宋体" w:hAnsi="宋体" w:cs="宋体" w:hint="eastAsia"/>
          <w:sz w:val="24"/>
        </w:rPr>
        <w:t>持有金融牌照的机构发行的产品；将代销产品与存款或自身发行的理财产品混淆销售，或允许非本行人员在营业网点从事产品宣传推介、销售等活动；销售理财产品时，承诺回报、虚假宣传、掩饰风险、误导客户；强制捆绑、搭售或诱导客户购买与其风险承受能力不相符合的产品；违背“双录”要求；违规代</w:t>
      </w:r>
      <w:proofErr w:type="gramStart"/>
      <w:r>
        <w:rPr>
          <w:rFonts w:ascii="宋体" w:eastAsia="宋体" w:hAnsi="宋体" w:cs="宋体" w:hint="eastAsia"/>
          <w:sz w:val="24"/>
        </w:rPr>
        <w:t>客操作</w:t>
      </w:r>
      <w:proofErr w:type="gramEnd"/>
      <w:r>
        <w:rPr>
          <w:rFonts w:ascii="宋体" w:eastAsia="宋体" w:hAnsi="宋体" w:cs="宋体" w:hint="eastAsia"/>
          <w:sz w:val="24"/>
        </w:rPr>
        <w:t>等。</w:t>
      </w:r>
    </w:p>
    <w:p w14:paraId="5DC31E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11.不当收费。存在以贷转存、存贷挂钩、以贷收费、浮利分费、借贷搭售收费、一浮到顶、转嫁成本等七类附加不合理贷款条件的违法违规行为；违规对小</w:t>
      </w:r>
      <w:proofErr w:type="gramStart"/>
      <w:r>
        <w:rPr>
          <w:rFonts w:ascii="宋体" w:eastAsia="宋体" w:hAnsi="宋体" w:cs="宋体" w:hint="eastAsia"/>
          <w:sz w:val="24"/>
        </w:rPr>
        <w:t>微企业</w:t>
      </w:r>
      <w:proofErr w:type="gramEnd"/>
      <w:r>
        <w:rPr>
          <w:rFonts w:ascii="宋体" w:eastAsia="宋体" w:hAnsi="宋体" w:cs="宋体" w:hint="eastAsia"/>
          <w:sz w:val="24"/>
        </w:rPr>
        <w:t>收取承诺费或资金管理费；只收费不服务或其他质价不符的行为等。</w:t>
      </w:r>
    </w:p>
    <w:p w14:paraId="218889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五、利益输送</w:t>
      </w:r>
    </w:p>
    <w:p w14:paraId="0E10F4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12.向股东输送利益。违规为股东的融资行为提供显性或隐性担保；直接通过或借道同业、理财、表外等业务，突破比例限制或违反规定向股东提供资金；直接或变相接受本机构股权质押套取资金；股东质押本机构股权数量达到或超过其持有本机构股权的50%时，未对其在股东大会和派出董事在董事会上的表决权进行限制；为股东提供的产品、服务等支付明显高出市场公允价格的费用等。</w:t>
      </w:r>
    </w:p>
    <w:p w14:paraId="3B6EB7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13.向关系人员输送利益。直接或变相向关系人发放信用贷款，或员工以优于其他同类客户条件获取本行贷款；以低于同等条件，招收或调入客户的亲属或子女；存在“吃空额”或变相“吃空额”问题，或给关系人员显失公允的薪酬福利待遇；公款存放主体相关负责人员的配偶、子女及其配偶和其他直接利益相关人员为银行业金融机构员工的，未按规定实行回避；对大客户、大企业、大机构相关负责人进行变相商业贿赂等。</w:t>
      </w:r>
    </w:p>
    <w:p w14:paraId="2187D5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六、违法违规展业</w:t>
      </w:r>
    </w:p>
    <w:p w14:paraId="730963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14.未经审批设立</w:t>
      </w:r>
      <w:proofErr w:type="gramStart"/>
      <w:r>
        <w:rPr>
          <w:rFonts w:ascii="宋体" w:eastAsia="宋体" w:hAnsi="宋体" w:cs="宋体" w:hint="eastAsia"/>
          <w:sz w:val="24"/>
        </w:rPr>
        <w:t>机构并展业</w:t>
      </w:r>
      <w:proofErr w:type="gramEnd"/>
      <w:r>
        <w:rPr>
          <w:rFonts w:ascii="宋体" w:eastAsia="宋体" w:hAnsi="宋体" w:cs="宋体" w:hint="eastAsia"/>
          <w:sz w:val="24"/>
        </w:rPr>
        <w:t>。未经批准设立分支机构、网点，包括异地事业部、业务部、管理部、代表处、办事处、业务中心、客户中心、经营团队等，并从事业务活动；村镇银行</w:t>
      </w:r>
      <w:proofErr w:type="gramStart"/>
      <w:r>
        <w:rPr>
          <w:rFonts w:ascii="宋体" w:eastAsia="宋体" w:hAnsi="宋体" w:cs="宋体" w:hint="eastAsia"/>
          <w:sz w:val="24"/>
        </w:rPr>
        <w:t>跨经营</w:t>
      </w:r>
      <w:proofErr w:type="gramEnd"/>
      <w:r>
        <w:rPr>
          <w:rFonts w:ascii="宋体" w:eastAsia="宋体" w:hAnsi="宋体" w:cs="宋体" w:hint="eastAsia"/>
          <w:sz w:val="24"/>
        </w:rPr>
        <w:t>区域发放贷款、办理票据承兑与贴现（不含转贴现）业务；分支机构或专营机构超法定范围开展业务；超范围授权分支机构开展同业、票据业务等。</w:t>
      </w:r>
    </w:p>
    <w:p w14:paraId="4A45B9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15.违规开展存贷业务。虚存虚贷；授信集中</w:t>
      </w:r>
      <w:proofErr w:type="gramStart"/>
      <w:r>
        <w:rPr>
          <w:rFonts w:ascii="宋体" w:eastAsia="宋体" w:hAnsi="宋体" w:cs="宋体" w:hint="eastAsia"/>
          <w:sz w:val="24"/>
        </w:rPr>
        <w:t>度管理</w:t>
      </w:r>
      <w:proofErr w:type="gramEnd"/>
      <w:r>
        <w:rPr>
          <w:rFonts w:ascii="宋体" w:eastAsia="宋体" w:hAnsi="宋体" w:cs="宋体" w:hint="eastAsia"/>
          <w:sz w:val="24"/>
        </w:rPr>
        <w:t>不力，存在多头授信、过度授信、不适当分配授信额度等情形；超授权额度审批并发放贷款；贷款三查严重</w:t>
      </w:r>
      <w:proofErr w:type="gramStart"/>
      <w:r>
        <w:rPr>
          <w:rFonts w:ascii="宋体" w:eastAsia="宋体" w:hAnsi="宋体" w:cs="宋体" w:hint="eastAsia"/>
          <w:sz w:val="24"/>
        </w:rPr>
        <w:t>不</w:t>
      </w:r>
      <w:proofErr w:type="gramEnd"/>
      <w:r>
        <w:rPr>
          <w:rFonts w:ascii="宋体" w:eastAsia="宋体" w:hAnsi="宋体" w:cs="宋体" w:hint="eastAsia"/>
          <w:sz w:val="24"/>
        </w:rPr>
        <w:t>尽职，接受壳公司贷款、重复抵质押、虚假抵质押、违规担保；以代销名义向不符合贷款条件的企业进行融资；违规发放流动资金贷款用于固定资产投资或股权投资；违规通过第三方中介、返利、延迟支付、以贷转存、以贷开票等方式吸存；违规通过理财产品、同业业务倒存，虚增存款规模等。</w:t>
      </w:r>
    </w:p>
    <w:p w14:paraId="6FFCD9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16.违规开展票据业务。违规办理</w:t>
      </w:r>
      <w:proofErr w:type="gramStart"/>
      <w:r>
        <w:rPr>
          <w:rFonts w:ascii="宋体" w:eastAsia="宋体" w:hAnsi="宋体" w:cs="宋体" w:hint="eastAsia"/>
          <w:sz w:val="24"/>
        </w:rPr>
        <w:t>无真实</w:t>
      </w:r>
      <w:proofErr w:type="gramEnd"/>
      <w:r>
        <w:rPr>
          <w:rFonts w:ascii="宋体" w:eastAsia="宋体" w:hAnsi="宋体" w:cs="宋体" w:hint="eastAsia"/>
          <w:sz w:val="24"/>
        </w:rPr>
        <w:t>贸易背景银行承兑汇票业务；滚动循环签发银行承兑汇票，以票吸存，虚增资产负债规模；违规办理不与交易对手面签、不见票据、不出资金、不背书的票据转贴现“清单交易”业务；违规通过“即期卖断+买入返售+远期买断”、假买断或卖断、附回购承诺、逆程序操作等方式，规避监管要求；违规办理商业票据业务；违规将票据资产</w:t>
      </w:r>
      <w:proofErr w:type="gramStart"/>
      <w:r>
        <w:rPr>
          <w:rFonts w:ascii="宋体" w:eastAsia="宋体" w:hAnsi="宋体" w:cs="宋体" w:hint="eastAsia"/>
          <w:sz w:val="24"/>
        </w:rPr>
        <w:t>转为资管计划</w:t>
      </w:r>
      <w:proofErr w:type="gramEnd"/>
      <w:r>
        <w:rPr>
          <w:rFonts w:ascii="宋体" w:eastAsia="宋体" w:hAnsi="宋体" w:cs="宋体" w:hint="eastAsia"/>
          <w:sz w:val="24"/>
        </w:rPr>
        <w:t>，以投资代替贴现，减少资本计提；违规与票据中介、资金掮客合作开展票据业务或票据交易等。</w:t>
      </w:r>
    </w:p>
    <w:p w14:paraId="5233E5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17.违规掩盖或处置不良资产。资产质量分类严重失真，或人为调整分类掩盖不良；违规通过重组贷款、虚假盘活、过桥贷款、以贷收贷、签订抽屉协议或回购协议等掩盖资产质量；通过各</w:t>
      </w:r>
      <w:proofErr w:type="gramStart"/>
      <w:r>
        <w:rPr>
          <w:rFonts w:ascii="宋体" w:eastAsia="宋体" w:hAnsi="宋体" w:cs="宋体" w:hint="eastAsia"/>
          <w:sz w:val="24"/>
        </w:rPr>
        <w:t>类资管计划</w:t>
      </w:r>
      <w:proofErr w:type="gramEnd"/>
      <w:r>
        <w:rPr>
          <w:rFonts w:ascii="宋体" w:eastAsia="宋体" w:hAnsi="宋体" w:cs="宋体" w:hint="eastAsia"/>
          <w:sz w:val="24"/>
        </w:rPr>
        <w:t>违规转让等方式实现不良资产非</w:t>
      </w:r>
      <w:proofErr w:type="gramStart"/>
      <w:r>
        <w:rPr>
          <w:rFonts w:ascii="宋体" w:eastAsia="宋体" w:hAnsi="宋体" w:cs="宋体" w:hint="eastAsia"/>
          <w:sz w:val="24"/>
        </w:rPr>
        <w:t>洁</w:t>
      </w:r>
      <w:r>
        <w:rPr>
          <w:rFonts w:ascii="宋体" w:eastAsia="宋体" w:hAnsi="宋体" w:cs="宋体" w:hint="eastAsia"/>
          <w:sz w:val="24"/>
        </w:rPr>
        <w:lastRenderedPageBreak/>
        <w:t>净出表或</w:t>
      </w:r>
      <w:proofErr w:type="gramEnd"/>
      <w:r>
        <w:rPr>
          <w:rFonts w:ascii="宋体" w:eastAsia="宋体" w:hAnsi="宋体" w:cs="宋体" w:hint="eastAsia"/>
          <w:sz w:val="24"/>
        </w:rPr>
        <w:t>虚假出表；利用空壳公司或设立其他平台与关联账户融资承接不良贷款；将正常和关注类贷款与不良资产一起打包处置，或附带回购协议打包处置不良资产等。</w:t>
      </w:r>
    </w:p>
    <w:p w14:paraId="2BED89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七、案件与操作风险</w:t>
      </w:r>
    </w:p>
    <w:p w14:paraId="52B782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18.员工管理不到位。内外勾结盗用、挪用、套取银行或客户资金；从事非法金融活动，或利用机构名义为非法金融活动提供资金、服务等；利用职权违法违规对外担保；参与民间借贷、非法集资、充当资金掮客、经商办企业或在企业兼职等；未制定或认真执行定期轮岗、强制休假的规定；员工准入和问责不严助推“带病”流动等。</w:t>
      </w:r>
    </w:p>
    <w:p w14:paraId="651F7D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19.内控管理不到位。违规开立同业账户，或将同业账户出租给第三方使用；未向交易对手的一级法人核实授权真实情况；违规让他人随意进出和使用营业场所或办公场所；违规让他人在营业场所或办公场所开展非法金融业务；违反规定或管理不善造成关键印章失窃、遗失或被盗用；违反规定刻制印章、私自携带印章外出或未经审批在办公场所外使用印章等。</w:t>
      </w:r>
    </w:p>
    <w:p w14:paraId="042726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20.案件查处不到位。案件信息报送不及时，迟报、瞒报、漏报相关信息；应急处置措施不到位，导致资金、资产损失和声誉风险；案件调查不深入，对作案手段、发案原因未查实、不深究；处罚问</w:t>
      </w:r>
      <w:proofErr w:type="gramStart"/>
      <w:r>
        <w:rPr>
          <w:rFonts w:ascii="宋体" w:eastAsia="宋体" w:hAnsi="宋体" w:cs="宋体" w:hint="eastAsia"/>
          <w:sz w:val="24"/>
        </w:rPr>
        <w:t>责力度</w:t>
      </w:r>
      <w:proofErr w:type="gramEnd"/>
      <w:r>
        <w:rPr>
          <w:rFonts w:ascii="宋体" w:eastAsia="宋体" w:hAnsi="宋体" w:cs="宋体" w:hint="eastAsia"/>
          <w:sz w:val="24"/>
        </w:rPr>
        <w:t>与案件危害程度不匹配，监管处罚和机构内部问责宽松软，涉嫌刑事案件但未主动移送司法机关；风险排查走过场，后续整改流于形式，同质同类案件反复发生等。</w:t>
      </w:r>
    </w:p>
    <w:p w14:paraId="6CECC1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八、行业廉洁风险</w:t>
      </w:r>
    </w:p>
    <w:p w14:paraId="51C75A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21.业务经营方面。员工利用职务上的便利索取、收受贿赂，或违反国家规定索取、收受各种名义的回扣、手续费；在授信条件、业务审批、合作机构资质、交易对手选择、采购或外包业务招投标等环节设租寻租；放松条件为他人提供融资便利或协助他人从其他金融机构获取融资，以此为个人或关系人谋利；采取不正当竞争方式，甚至欺骗、行贿、其他方面利益交换和远期利益输送等方式获取存款；变相提高实体经济融资成本，以获取不当经营收入等。</w:t>
      </w:r>
    </w:p>
    <w:p w14:paraId="67F949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22.信息管理方面。违法违规查询、获取、使用、泄露、出售客户信息或商</w:t>
      </w:r>
      <w:r>
        <w:rPr>
          <w:rFonts w:ascii="宋体" w:eastAsia="宋体" w:hAnsi="宋体" w:cs="宋体" w:hint="eastAsia"/>
          <w:sz w:val="24"/>
        </w:rPr>
        <w:lastRenderedPageBreak/>
        <w:t>业秘密，以谋取私利；利用职责便利获取内幕信息、参与内幕交易；违规披露或泄露相关信息，造成负面影响甚至引发声誉风险等。</w:t>
      </w:r>
    </w:p>
    <w:p w14:paraId="618E9E3E"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此外，监管履职方面。超越法定权限或违反法定程序实施监管行为；对发现的违法违规行为未依法予以处理，或在查处中滥用自由裁量权或选择性执法；无正当理由未在规定时限内办结行政许可等监管事项；在监管工作中隐瞒欺骗、弄虚作假，或有不廉洁行为；在监管工作中出现重大失误，造成重大影响或严重损失等。</w:t>
      </w:r>
    </w:p>
    <w:p w14:paraId="37598E69"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111.《中央企业合规管理指引（试行）》</w:t>
      </w:r>
    </w:p>
    <w:p w14:paraId="01B91C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发文机构：国务院国有资产监督管理委员会</w:t>
      </w:r>
    </w:p>
    <w:p w14:paraId="35862E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文号：国</w:t>
      </w:r>
      <w:proofErr w:type="gramStart"/>
      <w:r>
        <w:rPr>
          <w:rFonts w:ascii="宋体" w:eastAsia="宋体" w:hAnsi="宋体" w:cs="宋体" w:hint="eastAsia"/>
          <w:sz w:val="24"/>
        </w:rPr>
        <w:t>资发法规</w:t>
      </w:r>
      <w:proofErr w:type="gramEnd"/>
      <w:r>
        <w:rPr>
          <w:rFonts w:ascii="宋体" w:eastAsia="宋体" w:hAnsi="宋体" w:cs="宋体" w:hint="eastAsia"/>
          <w:sz w:val="24"/>
        </w:rPr>
        <w:t>〔2018〕106号</w:t>
      </w:r>
    </w:p>
    <w:p w14:paraId="77C582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6F2734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为推动中央企业全面加强合</w:t>
      </w:r>
      <w:proofErr w:type="gramStart"/>
      <w:r>
        <w:rPr>
          <w:rFonts w:ascii="宋体" w:eastAsia="宋体" w:hAnsi="宋体" w:cs="宋体" w:hint="eastAsia"/>
          <w:sz w:val="24"/>
        </w:rPr>
        <w:t>规</w:t>
      </w:r>
      <w:proofErr w:type="gramEnd"/>
      <w:r>
        <w:rPr>
          <w:rFonts w:ascii="宋体" w:eastAsia="宋体" w:hAnsi="宋体" w:cs="宋体" w:hint="eastAsia"/>
          <w:sz w:val="24"/>
        </w:rPr>
        <w:t>管理，加快提升依法合</w:t>
      </w:r>
      <w:proofErr w:type="gramStart"/>
      <w:r>
        <w:rPr>
          <w:rFonts w:ascii="宋体" w:eastAsia="宋体" w:hAnsi="宋体" w:cs="宋体" w:hint="eastAsia"/>
          <w:sz w:val="24"/>
        </w:rPr>
        <w:t>规</w:t>
      </w:r>
      <w:proofErr w:type="gramEnd"/>
      <w:r>
        <w:rPr>
          <w:rFonts w:ascii="宋体" w:eastAsia="宋体" w:hAnsi="宋体" w:cs="宋体" w:hint="eastAsia"/>
          <w:sz w:val="24"/>
        </w:rPr>
        <w:t>经营管理水平，着力打造法治央企，保障企业持续健康发展，根据《中华人民共和国公司法》、《中华人民共和国企业国有资产法》等有关法律法规规定，制定本指引。</w:t>
      </w:r>
    </w:p>
    <w:p w14:paraId="4E17EE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本指引所称中央企业，是指国务院国有资产监督管理委员会（以下简称国资委）履行出资人职责的国家出资企业。</w:t>
      </w:r>
    </w:p>
    <w:p w14:paraId="071FA0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本指引所称合</w:t>
      </w:r>
      <w:proofErr w:type="gramStart"/>
      <w:r>
        <w:rPr>
          <w:rFonts w:ascii="宋体" w:eastAsia="宋体" w:hAnsi="宋体" w:cs="宋体" w:hint="eastAsia"/>
          <w:sz w:val="24"/>
        </w:rPr>
        <w:t>规</w:t>
      </w:r>
      <w:proofErr w:type="gramEnd"/>
      <w:r>
        <w:rPr>
          <w:rFonts w:ascii="宋体" w:eastAsia="宋体" w:hAnsi="宋体" w:cs="宋体" w:hint="eastAsia"/>
          <w:sz w:val="24"/>
        </w:rPr>
        <w:t>，是指中央企业及其员工的经营管理行为符合法律法规、监管规定、行业准则和企业章程、规章制度以及国际条约、规则等要求。</w:t>
      </w:r>
    </w:p>
    <w:p w14:paraId="6350C2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本指引所称合</w:t>
      </w:r>
      <w:proofErr w:type="gramStart"/>
      <w:r>
        <w:rPr>
          <w:rFonts w:ascii="宋体" w:eastAsia="宋体" w:hAnsi="宋体" w:cs="宋体" w:hint="eastAsia"/>
          <w:sz w:val="24"/>
        </w:rPr>
        <w:t>规</w:t>
      </w:r>
      <w:proofErr w:type="gramEnd"/>
      <w:r>
        <w:rPr>
          <w:rFonts w:ascii="宋体" w:eastAsia="宋体" w:hAnsi="宋体" w:cs="宋体" w:hint="eastAsia"/>
          <w:sz w:val="24"/>
        </w:rPr>
        <w:t>风险，是指中央企业及其员工因不合</w:t>
      </w:r>
      <w:proofErr w:type="gramStart"/>
      <w:r>
        <w:rPr>
          <w:rFonts w:ascii="宋体" w:eastAsia="宋体" w:hAnsi="宋体" w:cs="宋体" w:hint="eastAsia"/>
          <w:sz w:val="24"/>
        </w:rPr>
        <w:t>规</w:t>
      </w:r>
      <w:proofErr w:type="gramEnd"/>
      <w:r>
        <w:rPr>
          <w:rFonts w:ascii="宋体" w:eastAsia="宋体" w:hAnsi="宋体" w:cs="宋体" w:hint="eastAsia"/>
          <w:sz w:val="24"/>
        </w:rPr>
        <w:t>行为，引发法律责任、受到相关处罚、造成经济或声誉损失以及其他负面影响的可能性。</w:t>
      </w:r>
    </w:p>
    <w:p w14:paraId="2C2F6A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本指引所称合</w:t>
      </w:r>
      <w:proofErr w:type="gramStart"/>
      <w:r>
        <w:rPr>
          <w:rFonts w:ascii="宋体" w:eastAsia="宋体" w:hAnsi="宋体" w:cs="宋体" w:hint="eastAsia"/>
          <w:sz w:val="24"/>
        </w:rPr>
        <w:t>规</w:t>
      </w:r>
      <w:proofErr w:type="gramEnd"/>
      <w:r>
        <w:rPr>
          <w:rFonts w:ascii="宋体" w:eastAsia="宋体" w:hAnsi="宋体" w:cs="宋体" w:hint="eastAsia"/>
          <w:sz w:val="24"/>
        </w:rPr>
        <w:t>管理，是指以有效防控合</w:t>
      </w:r>
      <w:proofErr w:type="gramStart"/>
      <w:r>
        <w:rPr>
          <w:rFonts w:ascii="宋体" w:eastAsia="宋体" w:hAnsi="宋体" w:cs="宋体" w:hint="eastAsia"/>
          <w:sz w:val="24"/>
        </w:rPr>
        <w:t>规</w:t>
      </w:r>
      <w:proofErr w:type="gramEnd"/>
      <w:r>
        <w:rPr>
          <w:rFonts w:ascii="宋体" w:eastAsia="宋体" w:hAnsi="宋体" w:cs="宋体" w:hint="eastAsia"/>
          <w:sz w:val="24"/>
        </w:rPr>
        <w:t>风险为目的，以企业和员工经营管理行为为对象，开展包括制度制定、风险识别、合</w:t>
      </w:r>
      <w:proofErr w:type="gramStart"/>
      <w:r>
        <w:rPr>
          <w:rFonts w:ascii="宋体" w:eastAsia="宋体" w:hAnsi="宋体" w:cs="宋体" w:hint="eastAsia"/>
          <w:sz w:val="24"/>
        </w:rPr>
        <w:t>规</w:t>
      </w:r>
      <w:proofErr w:type="gramEnd"/>
      <w:r>
        <w:rPr>
          <w:rFonts w:ascii="宋体" w:eastAsia="宋体" w:hAnsi="宋体" w:cs="宋体" w:hint="eastAsia"/>
          <w:sz w:val="24"/>
        </w:rPr>
        <w:t>审查、风险应对、责任追究、考核评价、合</w:t>
      </w:r>
      <w:proofErr w:type="gramStart"/>
      <w:r>
        <w:rPr>
          <w:rFonts w:ascii="宋体" w:eastAsia="宋体" w:hAnsi="宋体" w:cs="宋体" w:hint="eastAsia"/>
          <w:sz w:val="24"/>
        </w:rPr>
        <w:t>规</w:t>
      </w:r>
      <w:proofErr w:type="gramEnd"/>
      <w:r>
        <w:rPr>
          <w:rFonts w:ascii="宋体" w:eastAsia="宋体" w:hAnsi="宋体" w:cs="宋体" w:hint="eastAsia"/>
          <w:sz w:val="24"/>
        </w:rPr>
        <w:t>培训等有组织、有计划的管理活动。</w:t>
      </w:r>
    </w:p>
    <w:p w14:paraId="3208CA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国资委负责指导监督中央企业合</w:t>
      </w:r>
      <w:proofErr w:type="gramStart"/>
      <w:r>
        <w:rPr>
          <w:rFonts w:ascii="宋体" w:eastAsia="宋体" w:hAnsi="宋体" w:cs="宋体" w:hint="eastAsia"/>
          <w:sz w:val="24"/>
        </w:rPr>
        <w:t>规</w:t>
      </w:r>
      <w:proofErr w:type="gramEnd"/>
      <w:r>
        <w:rPr>
          <w:rFonts w:ascii="宋体" w:eastAsia="宋体" w:hAnsi="宋体" w:cs="宋体" w:hint="eastAsia"/>
          <w:sz w:val="24"/>
        </w:rPr>
        <w:t>管理工作。</w:t>
      </w:r>
    </w:p>
    <w:p w14:paraId="16435F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中央企业应当按照以下原则加快建立健全合</w:t>
      </w:r>
      <w:proofErr w:type="gramStart"/>
      <w:r>
        <w:rPr>
          <w:rFonts w:ascii="宋体" w:eastAsia="宋体" w:hAnsi="宋体" w:cs="宋体" w:hint="eastAsia"/>
          <w:sz w:val="24"/>
        </w:rPr>
        <w:t>规</w:t>
      </w:r>
      <w:proofErr w:type="gramEnd"/>
      <w:r>
        <w:rPr>
          <w:rFonts w:ascii="宋体" w:eastAsia="宋体" w:hAnsi="宋体" w:cs="宋体" w:hint="eastAsia"/>
          <w:sz w:val="24"/>
        </w:rPr>
        <w:t>管理体系：</w:t>
      </w:r>
    </w:p>
    <w:p w14:paraId="31A433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（一）全面覆盖。坚持将合</w:t>
      </w:r>
      <w:proofErr w:type="gramStart"/>
      <w:r>
        <w:rPr>
          <w:rFonts w:ascii="宋体" w:eastAsia="宋体" w:hAnsi="宋体" w:cs="宋体" w:hint="eastAsia"/>
          <w:sz w:val="24"/>
        </w:rPr>
        <w:t>规</w:t>
      </w:r>
      <w:proofErr w:type="gramEnd"/>
      <w:r>
        <w:rPr>
          <w:rFonts w:ascii="宋体" w:eastAsia="宋体" w:hAnsi="宋体" w:cs="宋体" w:hint="eastAsia"/>
          <w:sz w:val="24"/>
        </w:rPr>
        <w:t>要求覆盖各业务领域、各部门、各级子企业和分支机构、全体员工，贯穿决策、执行、监督全流程。</w:t>
      </w:r>
    </w:p>
    <w:p w14:paraId="034DF6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（二）强化责任。把加强合</w:t>
      </w:r>
      <w:proofErr w:type="gramStart"/>
      <w:r>
        <w:rPr>
          <w:rFonts w:ascii="宋体" w:eastAsia="宋体" w:hAnsi="宋体" w:cs="宋体" w:hint="eastAsia"/>
          <w:sz w:val="24"/>
        </w:rPr>
        <w:t>规</w:t>
      </w:r>
      <w:proofErr w:type="gramEnd"/>
      <w:r>
        <w:rPr>
          <w:rFonts w:ascii="宋体" w:eastAsia="宋体" w:hAnsi="宋体" w:cs="宋体" w:hint="eastAsia"/>
          <w:sz w:val="24"/>
        </w:rPr>
        <w:t>管理作为企业主要负责人履行推进法治建设第一责任人职责的重要内容。建立全员合</w:t>
      </w:r>
      <w:proofErr w:type="gramStart"/>
      <w:r>
        <w:rPr>
          <w:rFonts w:ascii="宋体" w:eastAsia="宋体" w:hAnsi="宋体" w:cs="宋体" w:hint="eastAsia"/>
          <w:sz w:val="24"/>
        </w:rPr>
        <w:t>规</w:t>
      </w:r>
      <w:proofErr w:type="gramEnd"/>
      <w:r>
        <w:rPr>
          <w:rFonts w:ascii="宋体" w:eastAsia="宋体" w:hAnsi="宋体" w:cs="宋体" w:hint="eastAsia"/>
          <w:sz w:val="24"/>
        </w:rPr>
        <w:t>责任制，明确管理人员和各岗位员工的合</w:t>
      </w:r>
      <w:proofErr w:type="gramStart"/>
      <w:r>
        <w:rPr>
          <w:rFonts w:ascii="宋体" w:eastAsia="宋体" w:hAnsi="宋体" w:cs="宋体" w:hint="eastAsia"/>
          <w:sz w:val="24"/>
        </w:rPr>
        <w:t>规</w:t>
      </w:r>
      <w:proofErr w:type="gramEnd"/>
      <w:r>
        <w:rPr>
          <w:rFonts w:ascii="宋体" w:eastAsia="宋体" w:hAnsi="宋体" w:cs="宋体" w:hint="eastAsia"/>
          <w:sz w:val="24"/>
        </w:rPr>
        <w:t>责任并督促有效落实。</w:t>
      </w:r>
    </w:p>
    <w:p w14:paraId="60EA59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（三）协同联动。推动合</w:t>
      </w:r>
      <w:proofErr w:type="gramStart"/>
      <w:r>
        <w:rPr>
          <w:rFonts w:ascii="宋体" w:eastAsia="宋体" w:hAnsi="宋体" w:cs="宋体" w:hint="eastAsia"/>
          <w:sz w:val="24"/>
        </w:rPr>
        <w:t>规</w:t>
      </w:r>
      <w:proofErr w:type="gramEnd"/>
      <w:r>
        <w:rPr>
          <w:rFonts w:ascii="宋体" w:eastAsia="宋体" w:hAnsi="宋体" w:cs="宋体" w:hint="eastAsia"/>
          <w:sz w:val="24"/>
        </w:rPr>
        <w:t>管理与法律风险防范、监察、审计、内控、风险管理等工作相统筹、相衔接，确保合</w:t>
      </w:r>
      <w:proofErr w:type="gramStart"/>
      <w:r>
        <w:rPr>
          <w:rFonts w:ascii="宋体" w:eastAsia="宋体" w:hAnsi="宋体" w:cs="宋体" w:hint="eastAsia"/>
          <w:sz w:val="24"/>
        </w:rPr>
        <w:t>规</w:t>
      </w:r>
      <w:proofErr w:type="gramEnd"/>
      <w:r>
        <w:rPr>
          <w:rFonts w:ascii="宋体" w:eastAsia="宋体" w:hAnsi="宋体" w:cs="宋体" w:hint="eastAsia"/>
          <w:sz w:val="24"/>
        </w:rPr>
        <w:t>管理体系有效运行。</w:t>
      </w:r>
    </w:p>
    <w:p w14:paraId="196B96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（四）客观独立。严格依照法律法规等规定对企业和员工行为进行客观评价和处理。合</w:t>
      </w:r>
      <w:proofErr w:type="gramStart"/>
      <w:r>
        <w:rPr>
          <w:rFonts w:ascii="宋体" w:eastAsia="宋体" w:hAnsi="宋体" w:cs="宋体" w:hint="eastAsia"/>
          <w:sz w:val="24"/>
        </w:rPr>
        <w:t>规</w:t>
      </w:r>
      <w:proofErr w:type="gramEnd"/>
      <w:r>
        <w:rPr>
          <w:rFonts w:ascii="宋体" w:eastAsia="宋体" w:hAnsi="宋体" w:cs="宋体" w:hint="eastAsia"/>
          <w:sz w:val="24"/>
        </w:rPr>
        <w:t>管理牵头部门独立履行职责，不受其他部门和人员的干涉。</w:t>
      </w:r>
    </w:p>
    <w:p w14:paraId="4F70C9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合</w:t>
      </w:r>
      <w:proofErr w:type="gramStart"/>
      <w:r>
        <w:rPr>
          <w:rFonts w:ascii="宋体" w:eastAsia="宋体" w:hAnsi="宋体" w:cs="宋体" w:hint="eastAsia"/>
          <w:sz w:val="24"/>
        </w:rPr>
        <w:t>规</w:t>
      </w:r>
      <w:proofErr w:type="gramEnd"/>
      <w:r>
        <w:rPr>
          <w:rFonts w:ascii="宋体" w:eastAsia="宋体" w:hAnsi="宋体" w:cs="宋体" w:hint="eastAsia"/>
          <w:sz w:val="24"/>
        </w:rPr>
        <w:t>管理职责</w:t>
      </w:r>
    </w:p>
    <w:p w14:paraId="34E0DE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董事会的合</w:t>
      </w:r>
      <w:proofErr w:type="gramStart"/>
      <w:r>
        <w:rPr>
          <w:rFonts w:ascii="宋体" w:eastAsia="宋体" w:hAnsi="宋体" w:cs="宋体" w:hint="eastAsia"/>
          <w:sz w:val="24"/>
        </w:rPr>
        <w:t>规</w:t>
      </w:r>
      <w:proofErr w:type="gramEnd"/>
      <w:r>
        <w:rPr>
          <w:rFonts w:ascii="宋体" w:eastAsia="宋体" w:hAnsi="宋体" w:cs="宋体" w:hint="eastAsia"/>
          <w:sz w:val="24"/>
        </w:rPr>
        <w:t>管理职责主要包括：</w:t>
      </w:r>
    </w:p>
    <w:p w14:paraId="31CBEE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（一）批准企业合</w:t>
      </w:r>
      <w:proofErr w:type="gramStart"/>
      <w:r>
        <w:rPr>
          <w:rFonts w:ascii="宋体" w:eastAsia="宋体" w:hAnsi="宋体" w:cs="宋体" w:hint="eastAsia"/>
          <w:sz w:val="24"/>
        </w:rPr>
        <w:t>规</w:t>
      </w:r>
      <w:proofErr w:type="gramEnd"/>
      <w:r>
        <w:rPr>
          <w:rFonts w:ascii="宋体" w:eastAsia="宋体" w:hAnsi="宋体" w:cs="宋体" w:hint="eastAsia"/>
          <w:sz w:val="24"/>
        </w:rPr>
        <w:t>管理战略规划、基本制度和年度报告；</w:t>
      </w:r>
    </w:p>
    <w:p w14:paraId="77938D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（二）推动完善合</w:t>
      </w:r>
      <w:proofErr w:type="gramStart"/>
      <w:r>
        <w:rPr>
          <w:rFonts w:ascii="宋体" w:eastAsia="宋体" w:hAnsi="宋体" w:cs="宋体" w:hint="eastAsia"/>
          <w:sz w:val="24"/>
        </w:rPr>
        <w:t>规</w:t>
      </w:r>
      <w:proofErr w:type="gramEnd"/>
      <w:r>
        <w:rPr>
          <w:rFonts w:ascii="宋体" w:eastAsia="宋体" w:hAnsi="宋体" w:cs="宋体" w:hint="eastAsia"/>
          <w:sz w:val="24"/>
        </w:rPr>
        <w:t>管理体系；</w:t>
      </w:r>
    </w:p>
    <w:p w14:paraId="7298E5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（三）决定合</w:t>
      </w:r>
      <w:proofErr w:type="gramStart"/>
      <w:r>
        <w:rPr>
          <w:rFonts w:ascii="宋体" w:eastAsia="宋体" w:hAnsi="宋体" w:cs="宋体" w:hint="eastAsia"/>
          <w:sz w:val="24"/>
        </w:rPr>
        <w:t>规</w:t>
      </w:r>
      <w:proofErr w:type="gramEnd"/>
      <w:r>
        <w:rPr>
          <w:rFonts w:ascii="宋体" w:eastAsia="宋体" w:hAnsi="宋体" w:cs="宋体" w:hint="eastAsia"/>
          <w:sz w:val="24"/>
        </w:rPr>
        <w:t>管理负责人的任免；</w:t>
      </w:r>
    </w:p>
    <w:p w14:paraId="6E9FBB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（四）决定合</w:t>
      </w:r>
      <w:proofErr w:type="gramStart"/>
      <w:r>
        <w:rPr>
          <w:rFonts w:ascii="宋体" w:eastAsia="宋体" w:hAnsi="宋体" w:cs="宋体" w:hint="eastAsia"/>
          <w:sz w:val="24"/>
        </w:rPr>
        <w:t>规</w:t>
      </w:r>
      <w:proofErr w:type="gramEnd"/>
      <w:r>
        <w:rPr>
          <w:rFonts w:ascii="宋体" w:eastAsia="宋体" w:hAnsi="宋体" w:cs="宋体" w:hint="eastAsia"/>
          <w:sz w:val="24"/>
        </w:rPr>
        <w:t>管理牵头部门的设置和职能；</w:t>
      </w:r>
    </w:p>
    <w:p w14:paraId="00DA32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（五）研究决定合</w:t>
      </w:r>
      <w:proofErr w:type="gramStart"/>
      <w:r>
        <w:rPr>
          <w:rFonts w:ascii="宋体" w:eastAsia="宋体" w:hAnsi="宋体" w:cs="宋体" w:hint="eastAsia"/>
          <w:sz w:val="24"/>
        </w:rPr>
        <w:t>规</w:t>
      </w:r>
      <w:proofErr w:type="gramEnd"/>
      <w:r>
        <w:rPr>
          <w:rFonts w:ascii="宋体" w:eastAsia="宋体" w:hAnsi="宋体" w:cs="宋体" w:hint="eastAsia"/>
          <w:sz w:val="24"/>
        </w:rPr>
        <w:t>管理有关重大事项；</w:t>
      </w:r>
    </w:p>
    <w:p w14:paraId="4DDFD3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（六）按照权限决定有关违规人员的处理事项。</w:t>
      </w:r>
    </w:p>
    <w:p w14:paraId="1EBC4B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监事会的合</w:t>
      </w:r>
      <w:proofErr w:type="gramStart"/>
      <w:r>
        <w:rPr>
          <w:rFonts w:ascii="宋体" w:eastAsia="宋体" w:hAnsi="宋体" w:cs="宋体" w:hint="eastAsia"/>
          <w:sz w:val="24"/>
        </w:rPr>
        <w:t>规</w:t>
      </w:r>
      <w:proofErr w:type="gramEnd"/>
      <w:r>
        <w:rPr>
          <w:rFonts w:ascii="宋体" w:eastAsia="宋体" w:hAnsi="宋体" w:cs="宋体" w:hint="eastAsia"/>
          <w:sz w:val="24"/>
        </w:rPr>
        <w:t>管理职责主要包括：</w:t>
      </w:r>
    </w:p>
    <w:p w14:paraId="38AAA7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（一）监督董事会的决策与流程是否合</w:t>
      </w:r>
      <w:proofErr w:type="gramStart"/>
      <w:r>
        <w:rPr>
          <w:rFonts w:ascii="宋体" w:eastAsia="宋体" w:hAnsi="宋体" w:cs="宋体" w:hint="eastAsia"/>
          <w:sz w:val="24"/>
        </w:rPr>
        <w:t>规</w:t>
      </w:r>
      <w:proofErr w:type="gramEnd"/>
      <w:r>
        <w:rPr>
          <w:rFonts w:ascii="宋体" w:eastAsia="宋体" w:hAnsi="宋体" w:cs="宋体" w:hint="eastAsia"/>
          <w:sz w:val="24"/>
        </w:rPr>
        <w:t>；</w:t>
      </w:r>
    </w:p>
    <w:p w14:paraId="05E026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（二）监督董事和高级管理人员合</w:t>
      </w:r>
      <w:proofErr w:type="gramStart"/>
      <w:r>
        <w:rPr>
          <w:rFonts w:ascii="宋体" w:eastAsia="宋体" w:hAnsi="宋体" w:cs="宋体" w:hint="eastAsia"/>
          <w:sz w:val="24"/>
        </w:rPr>
        <w:t>规</w:t>
      </w:r>
      <w:proofErr w:type="gramEnd"/>
      <w:r>
        <w:rPr>
          <w:rFonts w:ascii="宋体" w:eastAsia="宋体" w:hAnsi="宋体" w:cs="宋体" w:hint="eastAsia"/>
          <w:sz w:val="24"/>
        </w:rPr>
        <w:t>管理职责履行情况；</w:t>
      </w:r>
    </w:p>
    <w:p w14:paraId="033EA3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（三）对引发重大合</w:t>
      </w:r>
      <w:proofErr w:type="gramStart"/>
      <w:r>
        <w:rPr>
          <w:rFonts w:ascii="宋体" w:eastAsia="宋体" w:hAnsi="宋体" w:cs="宋体" w:hint="eastAsia"/>
          <w:sz w:val="24"/>
        </w:rPr>
        <w:t>规</w:t>
      </w:r>
      <w:proofErr w:type="gramEnd"/>
      <w:r>
        <w:rPr>
          <w:rFonts w:ascii="宋体" w:eastAsia="宋体" w:hAnsi="宋体" w:cs="宋体" w:hint="eastAsia"/>
          <w:sz w:val="24"/>
        </w:rPr>
        <w:t>风险负有主要责任的董事、高级管理人员提出罢免建议；</w:t>
      </w:r>
    </w:p>
    <w:p w14:paraId="151820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（四）向董事会提出撤换公司合</w:t>
      </w:r>
      <w:proofErr w:type="gramStart"/>
      <w:r>
        <w:rPr>
          <w:rFonts w:ascii="宋体" w:eastAsia="宋体" w:hAnsi="宋体" w:cs="宋体" w:hint="eastAsia"/>
          <w:sz w:val="24"/>
        </w:rPr>
        <w:t>规</w:t>
      </w:r>
      <w:proofErr w:type="gramEnd"/>
      <w:r>
        <w:rPr>
          <w:rFonts w:ascii="宋体" w:eastAsia="宋体" w:hAnsi="宋体" w:cs="宋体" w:hint="eastAsia"/>
          <w:sz w:val="24"/>
        </w:rPr>
        <w:t>管理负责人的建议。</w:t>
      </w:r>
    </w:p>
    <w:p w14:paraId="59AB11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经理层的合</w:t>
      </w:r>
      <w:proofErr w:type="gramStart"/>
      <w:r>
        <w:rPr>
          <w:rFonts w:ascii="宋体" w:eastAsia="宋体" w:hAnsi="宋体" w:cs="宋体" w:hint="eastAsia"/>
          <w:sz w:val="24"/>
        </w:rPr>
        <w:t>规</w:t>
      </w:r>
      <w:proofErr w:type="gramEnd"/>
      <w:r>
        <w:rPr>
          <w:rFonts w:ascii="宋体" w:eastAsia="宋体" w:hAnsi="宋体" w:cs="宋体" w:hint="eastAsia"/>
          <w:sz w:val="24"/>
        </w:rPr>
        <w:t>管理职责主要包括：</w:t>
      </w:r>
    </w:p>
    <w:p w14:paraId="12DA8F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（一）根据董事会决定，建立健全合</w:t>
      </w:r>
      <w:proofErr w:type="gramStart"/>
      <w:r>
        <w:rPr>
          <w:rFonts w:ascii="宋体" w:eastAsia="宋体" w:hAnsi="宋体" w:cs="宋体" w:hint="eastAsia"/>
          <w:sz w:val="24"/>
        </w:rPr>
        <w:t>规</w:t>
      </w:r>
      <w:proofErr w:type="gramEnd"/>
      <w:r>
        <w:rPr>
          <w:rFonts w:ascii="宋体" w:eastAsia="宋体" w:hAnsi="宋体" w:cs="宋体" w:hint="eastAsia"/>
          <w:sz w:val="24"/>
        </w:rPr>
        <w:t>管理组织架构；</w:t>
      </w:r>
    </w:p>
    <w:p w14:paraId="65B0BD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（二）批准合</w:t>
      </w:r>
      <w:proofErr w:type="gramStart"/>
      <w:r>
        <w:rPr>
          <w:rFonts w:ascii="宋体" w:eastAsia="宋体" w:hAnsi="宋体" w:cs="宋体" w:hint="eastAsia"/>
          <w:sz w:val="24"/>
        </w:rPr>
        <w:t>规</w:t>
      </w:r>
      <w:proofErr w:type="gramEnd"/>
      <w:r>
        <w:rPr>
          <w:rFonts w:ascii="宋体" w:eastAsia="宋体" w:hAnsi="宋体" w:cs="宋体" w:hint="eastAsia"/>
          <w:sz w:val="24"/>
        </w:rPr>
        <w:t>管理具体制度规定；</w:t>
      </w:r>
    </w:p>
    <w:p w14:paraId="486398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（三）批准合</w:t>
      </w:r>
      <w:proofErr w:type="gramStart"/>
      <w:r>
        <w:rPr>
          <w:rFonts w:ascii="宋体" w:eastAsia="宋体" w:hAnsi="宋体" w:cs="宋体" w:hint="eastAsia"/>
          <w:sz w:val="24"/>
        </w:rPr>
        <w:t>规</w:t>
      </w:r>
      <w:proofErr w:type="gramEnd"/>
      <w:r>
        <w:rPr>
          <w:rFonts w:ascii="宋体" w:eastAsia="宋体" w:hAnsi="宋体" w:cs="宋体" w:hint="eastAsia"/>
          <w:sz w:val="24"/>
        </w:rPr>
        <w:t>管理计划，采取措施确保合规制度得到有效执行；</w:t>
      </w:r>
    </w:p>
    <w:p w14:paraId="2FE978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（四）明确合</w:t>
      </w:r>
      <w:proofErr w:type="gramStart"/>
      <w:r>
        <w:rPr>
          <w:rFonts w:ascii="宋体" w:eastAsia="宋体" w:hAnsi="宋体" w:cs="宋体" w:hint="eastAsia"/>
          <w:sz w:val="24"/>
        </w:rPr>
        <w:t>规</w:t>
      </w:r>
      <w:proofErr w:type="gramEnd"/>
      <w:r>
        <w:rPr>
          <w:rFonts w:ascii="宋体" w:eastAsia="宋体" w:hAnsi="宋体" w:cs="宋体" w:hint="eastAsia"/>
          <w:sz w:val="24"/>
        </w:rPr>
        <w:t>管理流程，确保合</w:t>
      </w:r>
      <w:proofErr w:type="gramStart"/>
      <w:r>
        <w:rPr>
          <w:rFonts w:ascii="宋体" w:eastAsia="宋体" w:hAnsi="宋体" w:cs="宋体" w:hint="eastAsia"/>
          <w:sz w:val="24"/>
        </w:rPr>
        <w:t>规</w:t>
      </w:r>
      <w:proofErr w:type="gramEnd"/>
      <w:r>
        <w:rPr>
          <w:rFonts w:ascii="宋体" w:eastAsia="宋体" w:hAnsi="宋体" w:cs="宋体" w:hint="eastAsia"/>
          <w:sz w:val="24"/>
        </w:rPr>
        <w:t>要求融入业务领域；</w:t>
      </w:r>
    </w:p>
    <w:p w14:paraId="2ACBBD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（五）及时制止并纠正不合</w:t>
      </w:r>
      <w:proofErr w:type="gramStart"/>
      <w:r>
        <w:rPr>
          <w:rFonts w:ascii="宋体" w:eastAsia="宋体" w:hAnsi="宋体" w:cs="宋体" w:hint="eastAsia"/>
          <w:sz w:val="24"/>
        </w:rPr>
        <w:t>规</w:t>
      </w:r>
      <w:proofErr w:type="gramEnd"/>
      <w:r>
        <w:rPr>
          <w:rFonts w:ascii="宋体" w:eastAsia="宋体" w:hAnsi="宋体" w:cs="宋体" w:hint="eastAsia"/>
          <w:sz w:val="24"/>
        </w:rPr>
        <w:t>的经营行为，按照权限对违规人员进行责任追究或提出处理建议；</w:t>
      </w:r>
    </w:p>
    <w:p w14:paraId="652F6C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（六）经董事会授权的其他事项。</w:t>
      </w:r>
    </w:p>
    <w:p w14:paraId="6767D2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中央企业设立合</w:t>
      </w:r>
      <w:proofErr w:type="gramStart"/>
      <w:r>
        <w:rPr>
          <w:rFonts w:ascii="宋体" w:eastAsia="宋体" w:hAnsi="宋体" w:cs="宋体" w:hint="eastAsia"/>
          <w:sz w:val="24"/>
        </w:rPr>
        <w:t>规</w:t>
      </w:r>
      <w:proofErr w:type="gramEnd"/>
      <w:r>
        <w:rPr>
          <w:rFonts w:ascii="宋体" w:eastAsia="宋体" w:hAnsi="宋体" w:cs="宋体" w:hint="eastAsia"/>
          <w:sz w:val="24"/>
        </w:rPr>
        <w:t>委员会，与企业法治建设领导小组或风险控制委员会等合署，承担合</w:t>
      </w:r>
      <w:proofErr w:type="gramStart"/>
      <w:r>
        <w:rPr>
          <w:rFonts w:ascii="宋体" w:eastAsia="宋体" w:hAnsi="宋体" w:cs="宋体" w:hint="eastAsia"/>
          <w:sz w:val="24"/>
        </w:rPr>
        <w:t>规</w:t>
      </w:r>
      <w:proofErr w:type="gramEnd"/>
      <w:r>
        <w:rPr>
          <w:rFonts w:ascii="宋体" w:eastAsia="宋体" w:hAnsi="宋体" w:cs="宋体" w:hint="eastAsia"/>
          <w:sz w:val="24"/>
        </w:rPr>
        <w:t>管理的组织领导和统筹协调工作，定期召开会议，研究决定合</w:t>
      </w:r>
      <w:proofErr w:type="gramStart"/>
      <w:r>
        <w:rPr>
          <w:rFonts w:ascii="宋体" w:eastAsia="宋体" w:hAnsi="宋体" w:cs="宋体" w:hint="eastAsia"/>
          <w:sz w:val="24"/>
        </w:rPr>
        <w:t>规</w:t>
      </w:r>
      <w:proofErr w:type="gramEnd"/>
      <w:r>
        <w:rPr>
          <w:rFonts w:ascii="宋体" w:eastAsia="宋体" w:hAnsi="宋体" w:cs="宋体" w:hint="eastAsia"/>
          <w:sz w:val="24"/>
        </w:rPr>
        <w:t>管理重大事项或提出意见建议，指导、监督和评价合</w:t>
      </w:r>
      <w:proofErr w:type="gramStart"/>
      <w:r>
        <w:rPr>
          <w:rFonts w:ascii="宋体" w:eastAsia="宋体" w:hAnsi="宋体" w:cs="宋体" w:hint="eastAsia"/>
          <w:sz w:val="24"/>
        </w:rPr>
        <w:t>规</w:t>
      </w:r>
      <w:proofErr w:type="gramEnd"/>
      <w:r>
        <w:rPr>
          <w:rFonts w:ascii="宋体" w:eastAsia="宋体" w:hAnsi="宋体" w:cs="宋体" w:hint="eastAsia"/>
          <w:sz w:val="24"/>
        </w:rPr>
        <w:t>管理工作。</w:t>
      </w:r>
    </w:p>
    <w:p w14:paraId="150558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中央企业相关负责人或总法律顾问担任合</w:t>
      </w:r>
      <w:proofErr w:type="gramStart"/>
      <w:r>
        <w:rPr>
          <w:rFonts w:ascii="宋体" w:eastAsia="宋体" w:hAnsi="宋体" w:cs="宋体" w:hint="eastAsia"/>
          <w:sz w:val="24"/>
        </w:rPr>
        <w:t>规</w:t>
      </w:r>
      <w:proofErr w:type="gramEnd"/>
      <w:r>
        <w:rPr>
          <w:rFonts w:ascii="宋体" w:eastAsia="宋体" w:hAnsi="宋体" w:cs="宋体" w:hint="eastAsia"/>
          <w:sz w:val="24"/>
        </w:rPr>
        <w:t>管理负责人，主要职责包括：</w:t>
      </w:r>
    </w:p>
    <w:p w14:paraId="0922A6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（一）组织制订合</w:t>
      </w:r>
      <w:proofErr w:type="gramStart"/>
      <w:r>
        <w:rPr>
          <w:rFonts w:ascii="宋体" w:eastAsia="宋体" w:hAnsi="宋体" w:cs="宋体" w:hint="eastAsia"/>
          <w:sz w:val="24"/>
        </w:rPr>
        <w:t>规</w:t>
      </w:r>
      <w:proofErr w:type="gramEnd"/>
      <w:r>
        <w:rPr>
          <w:rFonts w:ascii="宋体" w:eastAsia="宋体" w:hAnsi="宋体" w:cs="宋体" w:hint="eastAsia"/>
          <w:sz w:val="24"/>
        </w:rPr>
        <w:t>管理战略规划；</w:t>
      </w:r>
    </w:p>
    <w:p w14:paraId="116822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（二）参与企业重大决策并提出合</w:t>
      </w:r>
      <w:proofErr w:type="gramStart"/>
      <w:r>
        <w:rPr>
          <w:rFonts w:ascii="宋体" w:eastAsia="宋体" w:hAnsi="宋体" w:cs="宋体" w:hint="eastAsia"/>
          <w:sz w:val="24"/>
        </w:rPr>
        <w:t>规</w:t>
      </w:r>
      <w:proofErr w:type="gramEnd"/>
      <w:r>
        <w:rPr>
          <w:rFonts w:ascii="宋体" w:eastAsia="宋体" w:hAnsi="宋体" w:cs="宋体" w:hint="eastAsia"/>
          <w:sz w:val="24"/>
        </w:rPr>
        <w:t>意见；</w:t>
      </w:r>
    </w:p>
    <w:p w14:paraId="62ED89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（三）领导合</w:t>
      </w:r>
      <w:proofErr w:type="gramStart"/>
      <w:r>
        <w:rPr>
          <w:rFonts w:ascii="宋体" w:eastAsia="宋体" w:hAnsi="宋体" w:cs="宋体" w:hint="eastAsia"/>
          <w:sz w:val="24"/>
        </w:rPr>
        <w:t>规</w:t>
      </w:r>
      <w:proofErr w:type="gramEnd"/>
      <w:r>
        <w:rPr>
          <w:rFonts w:ascii="宋体" w:eastAsia="宋体" w:hAnsi="宋体" w:cs="宋体" w:hint="eastAsia"/>
          <w:sz w:val="24"/>
        </w:rPr>
        <w:t>管理牵头部门开展工作；</w:t>
      </w:r>
    </w:p>
    <w:p w14:paraId="4DC5DC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（四）向董事会和总经理汇报合</w:t>
      </w:r>
      <w:proofErr w:type="gramStart"/>
      <w:r>
        <w:rPr>
          <w:rFonts w:ascii="宋体" w:eastAsia="宋体" w:hAnsi="宋体" w:cs="宋体" w:hint="eastAsia"/>
          <w:sz w:val="24"/>
        </w:rPr>
        <w:t>规</w:t>
      </w:r>
      <w:proofErr w:type="gramEnd"/>
      <w:r>
        <w:rPr>
          <w:rFonts w:ascii="宋体" w:eastAsia="宋体" w:hAnsi="宋体" w:cs="宋体" w:hint="eastAsia"/>
          <w:sz w:val="24"/>
        </w:rPr>
        <w:t>管理重大事项；</w:t>
      </w:r>
    </w:p>
    <w:p w14:paraId="3AB098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（五）组织起草合</w:t>
      </w:r>
      <w:proofErr w:type="gramStart"/>
      <w:r>
        <w:rPr>
          <w:rFonts w:ascii="宋体" w:eastAsia="宋体" w:hAnsi="宋体" w:cs="宋体" w:hint="eastAsia"/>
          <w:sz w:val="24"/>
        </w:rPr>
        <w:t>规</w:t>
      </w:r>
      <w:proofErr w:type="gramEnd"/>
      <w:r>
        <w:rPr>
          <w:rFonts w:ascii="宋体" w:eastAsia="宋体" w:hAnsi="宋体" w:cs="宋体" w:hint="eastAsia"/>
          <w:sz w:val="24"/>
        </w:rPr>
        <w:t>管理年度报告。</w:t>
      </w:r>
    </w:p>
    <w:p w14:paraId="23D6EE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法律事务机构或其他相关机构为合</w:t>
      </w:r>
      <w:proofErr w:type="gramStart"/>
      <w:r>
        <w:rPr>
          <w:rFonts w:ascii="宋体" w:eastAsia="宋体" w:hAnsi="宋体" w:cs="宋体" w:hint="eastAsia"/>
          <w:sz w:val="24"/>
        </w:rPr>
        <w:t>规</w:t>
      </w:r>
      <w:proofErr w:type="gramEnd"/>
      <w:r>
        <w:rPr>
          <w:rFonts w:ascii="宋体" w:eastAsia="宋体" w:hAnsi="宋体" w:cs="宋体" w:hint="eastAsia"/>
          <w:sz w:val="24"/>
        </w:rPr>
        <w:t>管理牵头部门，组织、协调和监督合</w:t>
      </w:r>
      <w:proofErr w:type="gramStart"/>
      <w:r>
        <w:rPr>
          <w:rFonts w:ascii="宋体" w:eastAsia="宋体" w:hAnsi="宋体" w:cs="宋体" w:hint="eastAsia"/>
          <w:sz w:val="24"/>
        </w:rPr>
        <w:t>规</w:t>
      </w:r>
      <w:proofErr w:type="gramEnd"/>
      <w:r>
        <w:rPr>
          <w:rFonts w:ascii="宋体" w:eastAsia="宋体" w:hAnsi="宋体" w:cs="宋体" w:hint="eastAsia"/>
          <w:sz w:val="24"/>
        </w:rPr>
        <w:t>管理工作，为其他部门提供合</w:t>
      </w:r>
      <w:proofErr w:type="gramStart"/>
      <w:r>
        <w:rPr>
          <w:rFonts w:ascii="宋体" w:eastAsia="宋体" w:hAnsi="宋体" w:cs="宋体" w:hint="eastAsia"/>
          <w:sz w:val="24"/>
        </w:rPr>
        <w:t>规</w:t>
      </w:r>
      <w:proofErr w:type="gramEnd"/>
      <w:r>
        <w:rPr>
          <w:rFonts w:ascii="宋体" w:eastAsia="宋体" w:hAnsi="宋体" w:cs="宋体" w:hint="eastAsia"/>
          <w:sz w:val="24"/>
        </w:rPr>
        <w:t>支持，主要职责包括：</w:t>
      </w:r>
    </w:p>
    <w:p w14:paraId="079A67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（一）研究起草合</w:t>
      </w:r>
      <w:proofErr w:type="gramStart"/>
      <w:r>
        <w:rPr>
          <w:rFonts w:ascii="宋体" w:eastAsia="宋体" w:hAnsi="宋体" w:cs="宋体" w:hint="eastAsia"/>
          <w:sz w:val="24"/>
        </w:rPr>
        <w:t>规</w:t>
      </w:r>
      <w:proofErr w:type="gramEnd"/>
      <w:r>
        <w:rPr>
          <w:rFonts w:ascii="宋体" w:eastAsia="宋体" w:hAnsi="宋体" w:cs="宋体" w:hint="eastAsia"/>
          <w:sz w:val="24"/>
        </w:rPr>
        <w:t>管理计划、基本制度和具体制度规定；</w:t>
      </w:r>
    </w:p>
    <w:p w14:paraId="498A16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（二）持续关注法律法规等规则变化，组织开展合</w:t>
      </w:r>
      <w:proofErr w:type="gramStart"/>
      <w:r>
        <w:rPr>
          <w:rFonts w:ascii="宋体" w:eastAsia="宋体" w:hAnsi="宋体" w:cs="宋体" w:hint="eastAsia"/>
          <w:sz w:val="24"/>
        </w:rPr>
        <w:t>规</w:t>
      </w:r>
      <w:proofErr w:type="gramEnd"/>
      <w:r>
        <w:rPr>
          <w:rFonts w:ascii="宋体" w:eastAsia="宋体" w:hAnsi="宋体" w:cs="宋体" w:hint="eastAsia"/>
          <w:sz w:val="24"/>
        </w:rPr>
        <w:t>风险识别和预警，参与企业重大事项合</w:t>
      </w:r>
      <w:proofErr w:type="gramStart"/>
      <w:r>
        <w:rPr>
          <w:rFonts w:ascii="宋体" w:eastAsia="宋体" w:hAnsi="宋体" w:cs="宋体" w:hint="eastAsia"/>
          <w:sz w:val="24"/>
        </w:rPr>
        <w:t>规</w:t>
      </w:r>
      <w:proofErr w:type="gramEnd"/>
      <w:r>
        <w:rPr>
          <w:rFonts w:ascii="宋体" w:eastAsia="宋体" w:hAnsi="宋体" w:cs="宋体" w:hint="eastAsia"/>
          <w:sz w:val="24"/>
        </w:rPr>
        <w:t>审查和风险应对；</w:t>
      </w:r>
    </w:p>
    <w:p w14:paraId="519E39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（三）组织开展合</w:t>
      </w:r>
      <w:proofErr w:type="gramStart"/>
      <w:r>
        <w:rPr>
          <w:rFonts w:ascii="宋体" w:eastAsia="宋体" w:hAnsi="宋体" w:cs="宋体" w:hint="eastAsia"/>
          <w:sz w:val="24"/>
        </w:rPr>
        <w:t>规</w:t>
      </w:r>
      <w:proofErr w:type="gramEnd"/>
      <w:r>
        <w:rPr>
          <w:rFonts w:ascii="宋体" w:eastAsia="宋体" w:hAnsi="宋体" w:cs="宋体" w:hint="eastAsia"/>
          <w:sz w:val="24"/>
        </w:rPr>
        <w:t>检查与考核，对制度和流程进行合</w:t>
      </w:r>
      <w:proofErr w:type="gramStart"/>
      <w:r>
        <w:rPr>
          <w:rFonts w:ascii="宋体" w:eastAsia="宋体" w:hAnsi="宋体" w:cs="宋体" w:hint="eastAsia"/>
          <w:sz w:val="24"/>
        </w:rPr>
        <w:t>规</w:t>
      </w:r>
      <w:proofErr w:type="gramEnd"/>
      <w:r>
        <w:rPr>
          <w:rFonts w:ascii="宋体" w:eastAsia="宋体" w:hAnsi="宋体" w:cs="宋体" w:hint="eastAsia"/>
          <w:sz w:val="24"/>
        </w:rPr>
        <w:t>性评价，督促违规整改和持续改进；</w:t>
      </w:r>
    </w:p>
    <w:p w14:paraId="3E0133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（四）指导所属单位合</w:t>
      </w:r>
      <w:proofErr w:type="gramStart"/>
      <w:r>
        <w:rPr>
          <w:rFonts w:ascii="宋体" w:eastAsia="宋体" w:hAnsi="宋体" w:cs="宋体" w:hint="eastAsia"/>
          <w:sz w:val="24"/>
        </w:rPr>
        <w:t>规</w:t>
      </w:r>
      <w:proofErr w:type="gramEnd"/>
      <w:r>
        <w:rPr>
          <w:rFonts w:ascii="宋体" w:eastAsia="宋体" w:hAnsi="宋体" w:cs="宋体" w:hint="eastAsia"/>
          <w:sz w:val="24"/>
        </w:rPr>
        <w:t>管理工作；</w:t>
      </w:r>
    </w:p>
    <w:p w14:paraId="4F3495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（五）受理职责范围内的违规举报，组织或参与对违规事件的调查，并提出处理建议；</w:t>
      </w:r>
    </w:p>
    <w:p w14:paraId="2F4AD9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（六）组织或协助业务部门、人事部门开展合</w:t>
      </w:r>
      <w:proofErr w:type="gramStart"/>
      <w:r>
        <w:rPr>
          <w:rFonts w:ascii="宋体" w:eastAsia="宋体" w:hAnsi="宋体" w:cs="宋体" w:hint="eastAsia"/>
          <w:sz w:val="24"/>
        </w:rPr>
        <w:t>规</w:t>
      </w:r>
      <w:proofErr w:type="gramEnd"/>
      <w:r>
        <w:rPr>
          <w:rFonts w:ascii="宋体" w:eastAsia="宋体" w:hAnsi="宋体" w:cs="宋体" w:hint="eastAsia"/>
          <w:sz w:val="24"/>
        </w:rPr>
        <w:t>培训。</w:t>
      </w:r>
    </w:p>
    <w:p w14:paraId="6573BB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业务部门负责本领域的日常合</w:t>
      </w:r>
      <w:proofErr w:type="gramStart"/>
      <w:r>
        <w:rPr>
          <w:rFonts w:ascii="宋体" w:eastAsia="宋体" w:hAnsi="宋体" w:cs="宋体" w:hint="eastAsia"/>
          <w:sz w:val="24"/>
        </w:rPr>
        <w:t>规</w:t>
      </w:r>
      <w:proofErr w:type="gramEnd"/>
      <w:r>
        <w:rPr>
          <w:rFonts w:ascii="宋体" w:eastAsia="宋体" w:hAnsi="宋体" w:cs="宋体" w:hint="eastAsia"/>
          <w:sz w:val="24"/>
        </w:rPr>
        <w:t>管理工作，按照合</w:t>
      </w:r>
      <w:proofErr w:type="gramStart"/>
      <w:r>
        <w:rPr>
          <w:rFonts w:ascii="宋体" w:eastAsia="宋体" w:hAnsi="宋体" w:cs="宋体" w:hint="eastAsia"/>
          <w:sz w:val="24"/>
        </w:rPr>
        <w:t>规</w:t>
      </w:r>
      <w:proofErr w:type="gramEnd"/>
      <w:r>
        <w:rPr>
          <w:rFonts w:ascii="宋体" w:eastAsia="宋体" w:hAnsi="宋体" w:cs="宋体" w:hint="eastAsia"/>
          <w:sz w:val="24"/>
        </w:rPr>
        <w:t>要求完善业务管理制度和流程，主动开展合</w:t>
      </w:r>
      <w:proofErr w:type="gramStart"/>
      <w:r>
        <w:rPr>
          <w:rFonts w:ascii="宋体" w:eastAsia="宋体" w:hAnsi="宋体" w:cs="宋体" w:hint="eastAsia"/>
          <w:sz w:val="24"/>
        </w:rPr>
        <w:t>规</w:t>
      </w:r>
      <w:proofErr w:type="gramEnd"/>
      <w:r>
        <w:rPr>
          <w:rFonts w:ascii="宋体" w:eastAsia="宋体" w:hAnsi="宋体" w:cs="宋体" w:hint="eastAsia"/>
          <w:sz w:val="24"/>
        </w:rPr>
        <w:t>风险识别和隐患排查，发布合</w:t>
      </w:r>
      <w:proofErr w:type="gramStart"/>
      <w:r>
        <w:rPr>
          <w:rFonts w:ascii="宋体" w:eastAsia="宋体" w:hAnsi="宋体" w:cs="宋体" w:hint="eastAsia"/>
          <w:sz w:val="24"/>
        </w:rPr>
        <w:t>规</w:t>
      </w:r>
      <w:proofErr w:type="gramEnd"/>
      <w:r>
        <w:rPr>
          <w:rFonts w:ascii="宋体" w:eastAsia="宋体" w:hAnsi="宋体" w:cs="宋体" w:hint="eastAsia"/>
          <w:sz w:val="24"/>
        </w:rPr>
        <w:t>预警，组织合</w:t>
      </w:r>
      <w:proofErr w:type="gramStart"/>
      <w:r>
        <w:rPr>
          <w:rFonts w:ascii="宋体" w:eastAsia="宋体" w:hAnsi="宋体" w:cs="宋体" w:hint="eastAsia"/>
          <w:sz w:val="24"/>
        </w:rPr>
        <w:lastRenderedPageBreak/>
        <w:t>规</w:t>
      </w:r>
      <w:proofErr w:type="gramEnd"/>
      <w:r>
        <w:rPr>
          <w:rFonts w:ascii="宋体" w:eastAsia="宋体" w:hAnsi="宋体" w:cs="宋体" w:hint="eastAsia"/>
          <w:sz w:val="24"/>
        </w:rPr>
        <w:t>审查，及时向合</w:t>
      </w:r>
      <w:proofErr w:type="gramStart"/>
      <w:r>
        <w:rPr>
          <w:rFonts w:ascii="宋体" w:eastAsia="宋体" w:hAnsi="宋体" w:cs="宋体" w:hint="eastAsia"/>
          <w:sz w:val="24"/>
        </w:rPr>
        <w:t>规</w:t>
      </w:r>
      <w:proofErr w:type="gramEnd"/>
      <w:r>
        <w:rPr>
          <w:rFonts w:ascii="宋体" w:eastAsia="宋体" w:hAnsi="宋体" w:cs="宋体" w:hint="eastAsia"/>
          <w:sz w:val="24"/>
        </w:rPr>
        <w:t>管理牵头部门通报风险事项，妥善应对合</w:t>
      </w:r>
      <w:proofErr w:type="gramStart"/>
      <w:r>
        <w:rPr>
          <w:rFonts w:ascii="宋体" w:eastAsia="宋体" w:hAnsi="宋体" w:cs="宋体" w:hint="eastAsia"/>
          <w:sz w:val="24"/>
        </w:rPr>
        <w:t>规</w:t>
      </w:r>
      <w:proofErr w:type="gramEnd"/>
      <w:r>
        <w:rPr>
          <w:rFonts w:ascii="宋体" w:eastAsia="宋体" w:hAnsi="宋体" w:cs="宋体" w:hint="eastAsia"/>
          <w:sz w:val="24"/>
        </w:rPr>
        <w:t>风险事件，做好本领域合</w:t>
      </w:r>
      <w:proofErr w:type="gramStart"/>
      <w:r>
        <w:rPr>
          <w:rFonts w:ascii="宋体" w:eastAsia="宋体" w:hAnsi="宋体" w:cs="宋体" w:hint="eastAsia"/>
          <w:sz w:val="24"/>
        </w:rPr>
        <w:t>规</w:t>
      </w:r>
      <w:proofErr w:type="gramEnd"/>
      <w:r>
        <w:rPr>
          <w:rFonts w:ascii="宋体" w:eastAsia="宋体" w:hAnsi="宋体" w:cs="宋体" w:hint="eastAsia"/>
          <w:sz w:val="24"/>
        </w:rPr>
        <w:t>培训和商业伙伴合</w:t>
      </w:r>
      <w:proofErr w:type="gramStart"/>
      <w:r>
        <w:rPr>
          <w:rFonts w:ascii="宋体" w:eastAsia="宋体" w:hAnsi="宋体" w:cs="宋体" w:hint="eastAsia"/>
          <w:sz w:val="24"/>
        </w:rPr>
        <w:t>规</w:t>
      </w:r>
      <w:proofErr w:type="gramEnd"/>
      <w:r>
        <w:rPr>
          <w:rFonts w:ascii="宋体" w:eastAsia="宋体" w:hAnsi="宋体" w:cs="宋体" w:hint="eastAsia"/>
          <w:sz w:val="24"/>
        </w:rPr>
        <w:t>调查等工作，组织或配合进行违规问题调查并及时整改。</w:t>
      </w:r>
    </w:p>
    <w:p w14:paraId="23DBCA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监察、审计、法律、内控、风险管理、安全生产、质量环保等相关部门，在职权范围内履行合</w:t>
      </w:r>
      <w:proofErr w:type="gramStart"/>
      <w:r>
        <w:rPr>
          <w:rFonts w:ascii="宋体" w:eastAsia="宋体" w:hAnsi="宋体" w:cs="宋体" w:hint="eastAsia"/>
          <w:sz w:val="24"/>
        </w:rPr>
        <w:t>规</w:t>
      </w:r>
      <w:proofErr w:type="gramEnd"/>
      <w:r>
        <w:rPr>
          <w:rFonts w:ascii="宋体" w:eastAsia="宋体" w:hAnsi="宋体" w:cs="宋体" w:hint="eastAsia"/>
          <w:sz w:val="24"/>
        </w:rPr>
        <w:t>管理职责。</w:t>
      </w:r>
    </w:p>
    <w:p w14:paraId="41FBFA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合</w:t>
      </w:r>
      <w:proofErr w:type="gramStart"/>
      <w:r>
        <w:rPr>
          <w:rFonts w:ascii="宋体" w:eastAsia="宋体" w:hAnsi="宋体" w:cs="宋体" w:hint="eastAsia"/>
          <w:sz w:val="24"/>
        </w:rPr>
        <w:t>规</w:t>
      </w:r>
      <w:proofErr w:type="gramEnd"/>
      <w:r>
        <w:rPr>
          <w:rFonts w:ascii="宋体" w:eastAsia="宋体" w:hAnsi="宋体" w:cs="宋体" w:hint="eastAsia"/>
          <w:sz w:val="24"/>
        </w:rPr>
        <w:t>管理重点</w:t>
      </w:r>
    </w:p>
    <w:p w14:paraId="7AD3AE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中央企业应当根据外部环境变化，结合自身实际，在全面推进合</w:t>
      </w:r>
      <w:proofErr w:type="gramStart"/>
      <w:r>
        <w:rPr>
          <w:rFonts w:ascii="宋体" w:eastAsia="宋体" w:hAnsi="宋体" w:cs="宋体" w:hint="eastAsia"/>
          <w:sz w:val="24"/>
        </w:rPr>
        <w:t>规</w:t>
      </w:r>
      <w:proofErr w:type="gramEnd"/>
      <w:r>
        <w:rPr>
          <w:rFonts w:ascii="宋体" w:eastAsia="宋体" w:hAnsi="宋体" w:cs="宋体" w:hint="eastAsia"/>
          <w:sz w:val="24"/>
        </w:rPr>
        <w:t>管理的基础上，突出重点领域、重点环节和重点人员，切实防范合</w:t>
      </w:r>
      <w:proofErr w:type="gramStart"/>
      <w:r>
        <w:rPr>
          <w:rFonts w:ascii="宋体" w:eastAsia="宋体" w:hAnsi="宋体" w:cs="宋体" w:hint="eastAsia"/>
          <w:sz w:val="24"/>
        </w:rPr>
        <w:t>规</w:t>
      </w:r>
      <w:proofErr w:type="gramEnd"/>
      <w:r>
        <w:rPr>
          <w:rFonts w:ascii="宋体" w:eastAsia="宋体" w:hAnsi="宋体" w:cs="宋体" w:hint="eastAsia"/>
          <w:sz w:val="24"/>
        </w:rPr>
        <w:t>风险。</w:t>
      </w:r>
    </w:p>
    <w:p w14:paraId="25E7AE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加强对以下重点领域的合</w:t>
      </w:r>
      <w:proofErr w:type="gramStart"/>
      <w:r>
        <w:rPr>
          <w:rFonts w:ascii="宋体" w:eastAsia="宋体" w:hAnsi="宋体" w:cs="宋体" w:hint="eastAsia"/>
          <w:sz w:val="24"/>
        </w:rPr>
        <w:t>规</w:t>
      </w:r>
      <w:proofErr w:type="gramEnd"/>
      <w:r>
        <w:rPr>
          <w:rFonts w:ascii="宋体" w:eastAsia="宋体" w:hAnsi="宋体" w:cs="宋体" w:hint="eastAsia"/>
          <w:sz w:val="24"/>
        </w:rPr>
        <w:t>管理：</w:t>
      </w:r>
    </w:p>
    <w:p w14:paraId="44194F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（一）市场交易。完善交易管理制度，严格履行决策批准程序，建立健全自律诚信体系，突出反商业贿赂、反垄断、反不正当竞争，规范资产交易、招投标等活动；</w:t>
      </w:r>
    </w:p>
    <w:p w14:paraId="1A1CE4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（二）安全环保。严格执行国家安全生产、环境保护法律法规，完善企业生产规范和安全环保制度，加强监督检查，及时发现并整改违规问题；</w:t>
      </w:r>
    </w:p>
    <w:p w14:paraId="6169CC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（三）产品质量。完善质量体系，加强过程控制，严把各环节质量关，提供优质产品和服务；</w:t>
      </w:r>
    </w:p>
    <w:p w14:paraId="32CF13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（四）劳动用工。严格遵守劳动法律法规，健全完善劳动合同管理制度，规范劳动合同签订、履行、变更和解除，切实维护劳动者合法权益；</w:t>
      </w:r>
    </w:p>
    <w:p w14:paraId="4D1C3B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（五）财务税收。健全完善财务内部控制体系，严格执行财务事项操作和审批流程，严守财经纪律,强化依法纳税意识，严格遵守税收法律政策；</w:t>
      </w:r>
    </w:p>
    <w:p w14:paraId="4F3247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（六）知识产权。及时申请注册知识产权成果，规范实施许可和转让，加强对商业秘密和商标的保护,依法规范使用他人知识产权，防止侵权行为；</w:t>
      </w:r>
    </w:p>
    <w:p w14:paraId="56FAA4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（七）商业伙伴。对重要商业伙伴开展合</w:t>
      </w:r>
      <w:proofErr w:type="gramStart"/>
      <w:r>
        <w:rPr>
          <w:rFonts w:ascii="宋体" w:eastAsia="宋体" w:hAnsi="宋体" w:cs="宋体" w:hint="eastAsia"/>
          <w:sz w:val="24"/>
        </w:rPr>
        <w:t>规</w:t>
      </w:r>
      <w:proofErr w:type="gramEnd"/>
      <w:r>
        <w:rPr>
          <w:rFonts w:ascii="宋体" w:eastAsia="宋体" w:hAnsi="宋体" w:cs="宋体" w:hint="eastAsia"/>
          <w:sz w:val="24"/>
        </w:rPr>
        <w:t>调查，通过签订合</w:t>
      </w:r>
      <w:proofErr w:type="gramStart"/>
      <w:r>
        <w:rPr>
          <w:rFonts w:ascii="宋体" w:eastAsia="宋体" w:hAnsi="宋体" w:cs="宋体" w:hint="eastAsia"/>
          <w:sz w:val="24"/>
        </w:rPr>
        <w:t>规</w:t>
      </w:r>
      <w:proofErr w:type="gramEnd"/>
      <w:r>
        <w:rPr>
          <w:rFonts w:ascii="宋体" w:eastAsia="宋体" w:hAnsi="宋体" w:cs="宋体" w:hint="eastAsia"/>
          <w:sz w:val="24"/>
        </w:rPr>
        <w:t>协议、要求</w:t>
      </w:r>
      <w:proofErr w:type="gramStart"/>
      <w:r>
        <w:rPr>
          <w:rFonts w:ascii="宋体" w:eastAsia="宋体" w:hAnsi="宋体" w:cs="宋体" w:hint="eastAsia"/>
          <w:sz w:val="24"/>
        </w:rPr>
        <w:t>作出</w:t>
      </w:r>
      <w:proofErr w:type="gramEnd"/>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承诺等方式促进商业伙伴行为合</w:t>
      </w:r>
      <w:proofErr w:type="gramStart"/>
      <w:r>
        <w:rPr>
          <w:rFonts w:ascii="宋体" w:eastAsia="宋体" w:hAnsi="宋体" w:cs="宋体" w:hint="eastAsia"/>
          <w:sz w:val="24"/>
        </w:rPr>
        <w:t>规</w:t>
      </w:r>
      <w:proofErr w:type="gramEnd"/>
      <w:r>
        <w:rPr>
          <w:rFonts w:ascii="宋体" w:eastAsia="宋体" w:hAnsi="宋体" w:cs="宋体" w:hint="eastAsia"/>
          <w:sz w:val="24"/>
        </w:rPr>
        <w:t>；</w:t>
      </w:r>
    </w:p>
    <w:p w14:paraId="6883A3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（八）其他需要重点关注的领域。</w:t>
      </w:r>
    </w:p>
    <w:p w14:paraId="1D14CF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第十四条 加强对以下重点环节的合</w:t>
      </w:r>
      <w:proofErr w:type="gramStart"/>
      <w:r>
        <w:rPr>
          <w:rFonts w:ascii="宋体" w:eastAsia="宋体" w:hAnsi="宋体" w:cs="宋体" w:hint="eastAsia"/>
          <w:sz w:val="24"/>
        </w:rPr>
        <w:t>规</w:t>
      </w:r>
      <w:proofErr w:type="gramEnd"/>
      <w:r>
        <w:rPr>
          <w:rFonts w:ascii="宋体" w:eastAsia="宋体" w:hAnsi="宋体" w:cs="宋体" w:hint="eastAsia"/>
          <w:sz w:val="24"/>
        </w:rPr>
        <w:t>管理：</w:t>
      </w:r>
    </w:p>
    <w:p w14:paraId="426263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（一）制度制定环节。强化对规章制度、改革方案等重要文件的合</w:t>
      </w:r>
      <w:proofErr w:type="gramStart"/>
      <w:r>
        <w:rPr>
          <w:rFonts w:ascii="宋体" w:eastAsia="宋体" w:hAnsi="宋体" w:cs="宋体" w:hint="eastAsia"/>
          <w:sz w:val="24"/>
        </w:rPr>
        <w:t>规</w:t>
      </w:r>
      <w:proofErr w:type="gramEnd"/>
      <w:r>
        <w:rPr>
          <w:rFonts w:ascii="宋体" w:eastAsia="宋体" w:hAnsi="宋体" w:cs="宋体" w:hint="eastAsia"/>
          <w:sz w:val="24"/>
        </w:rPr>
        <w:t>审查，确保符合法律法规、监管规定等要求；</w:t>
      </w:r>
    </w:p>
    <w:p w14:paraId="538DBA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（二）经营决策环节。严格落实“三重一大”决策制度，细化各层级决策事项和权限，加强对决策事项的合</w:t>
      </w:r>
      <w:proofErr w:type="gramStart"/>
      <w:r>
        <w:rPr>
          <w:rFonts w:ascii="宋体" w:eastAsia="宋体" w:hAnsi="宋体" w:cs="宋体" w:hint="eastAsia"/>
          <w:sz w:val="24"/>
        </w:rPr>
        <w:t>规</w:t>
      </w:r>
      <w:proofErr w:type="gramEnd"/>
      <w:r>
        <w:rPr>
          <w:rFonts w:ascii="宋体" w:eastAsia="宋体" w:hAnsi="宋体" w:cs="宋体" w:hint="eastAsia"/>
          <w:sz w:val="24"/>
        </w:rPr>
        <w:t>论证把关，保障决策依法合</w:t>
      </w:r>
      <w:proofErr w:type="gramStart"/>
      <w:r>
        <w:rPr>
          <w:rFonts w:ascii="宋体" w:eastAsia="宋体" w:hAnsi="宋体" w:cs="宋体" w:hint="eastAsia"/>
          <w:sz w:val="24"/>
        </w:rPr>
        <w:t>规</w:t>
      </w:r>
      <w:proofErr w:type="gramEnd"/>
      <w:r>
        <w:rPr>
          <w:rFonts w:ascii="宋体" w:eastAsia="宋体" w:hAnsi="宋体" w:cs="宋体" w:hint="eastAsia"/>
          <w:sz w:val="24"/>
        </w:rPr>
        <w:t>；</w:t>
      </w:r>
    </w:p>
    <w:p w14:paraId="7F2729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（三）生产运营环节。严格执行合规制度，加强对重点流程的监督检查，确保生产经营过程中照章办事、按章操作；</w:t>
      </w:r>
    </w:p>
    <w:p w14:paraId="1C7347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（四）其他需要重点关注的环节。</w:t>
      </w:r>
    </w:p>
    <w:p w14:paraId="0D87AB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第十五条加强对以下重点人员的合</w:t>
      </w:r>
      <w:proofErr w:type="gramStart"/>
      <w:r>
        <w:rPr>
          <w:rFonts w:ascii="宋体" w:eastAsia="宋体" w:hAnsi="宋体" w:cs="宋体" w:hint="eastAsia"/>
          <w:sz w:val="24"/>
        </w:rPr>
        <w:t>规</w:t>
      </w:r>
      <w:proofErr w:type="gramEnd"/>
      <w:r>
        <w:rPr>
          <w:rFonts w:ascii="宋体" w:eastAsia="宋体" w:hAnsi="宋体" w:cs="宋体" w:hint="eastAsia"/>
          <w:sz w:val="24"/>
        </w:rPr>
        <w:t>管理：</w:t>
      </w:r>
    </w:p>
    <w:p w14:paraId="28C3F4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（一）管理人员。促进管理人员切实提高合</w:t>
      </w:r>
      <w:proofErr w:type="gramStart"/>
      <w:r>
        <w:rPr>
          <w:rFonts w:ascii="宋体" w:eastAsia="宋体" w:hAnsi="宋体" w:cs="宋体" w:hint="eastAsia"/>
          <w:sz w:val="24"/>
        </w:rPr>
        <w:t>规</w:t>
      </w:r>
      <w:proofErr w:type="gramEnd"/>
      <w:r>
        <w:rPr>
          <w:rFonts w:ascii="宋体" w:eastAsia="宋体" w:hAnsi="宋体" w:cs="宋体" w:hint="eastAsia"/>
          <w:sz w:val="24"/>
        </w:rPr>
        <w:t>意识，带头依法依规开展经营管理活动，认真履行承担的合</w:t>
      </w:r>
      <w:proofErr w:type="gramStart"/>
      <w:r>
        <w:rPr>
          <w:rFonts w:ascii="宋体" w:eastAsia="宋体" w:hAnsi="宋体" w:cs="宋体" w:hint="eastAsia"/>
          <w:sz w:val="24"/>
        </w:rPr>
        <w:t>规</w:t>
      </w:r>
      <w:proofErr w:type="gramEnd"/>
      <w:r>
        <w:rPr>
          <w:rFonts w:ascii="宋体" w:eastAsia="宋体" w:hAnsi="宋体" w:cs="宋体" w:hint="eastAsia"/>
          <w:sz w:val="24"/>
        </w:rPr>
        <w:t>管理职责，强化考核与监督问责；</w:t>
      </w:r>
    </w:p>
    <w:p w14:paraId="009812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（二）重要风险岗位人员。根据合</w:t>
      </w:r>
      <w:proofErr w:type="gramStart"/>
      <w:r>
        <w:rPr>
          <w:rFonts w:ascii="宋体" w:eastAsia="宋体" w:hAnsi="宋体" w:cs="宋体" w:hint="eastAsia"/>
          <w:sz w:val="24"/>
        </w:rPr>
        <w:t>规</w:t>
      </w:r>
      <w:proofErr w:type="gramEnd"/>
      <w:r>
        <w:rPr>
          <w:rFonts w:ascii="宋体" w:eastAsia="宋体" w:hAnsi="宋体" w:cs="宋体" w:hint="eastAsia"/>
          <w:sz w:val="24"/>
        </w:rPr>
        <w:t>风险评估情况明确界定重要风险岗位，有针对性加大培训力度，使重要风险岗位人员熟悉并严格遵守业务涉及的各项规定，加强监督检查和违规行为追责；</w:t>
      </w:r>
    </w:p>
    <w:p w14:paraId="6501C9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（三）海外人员。将合</w:t>
      </w:r>
      <w:proofErr w:type="gramStart"/>
      <w:r>
        <w:rPr>
          <w:rFonts w:ascii="宋体" w:eastAsia="宋体" w:hAnsi="宋体" w:cs="宋体" w:hint="eastAsia"/>
          <w:sz w:val="24"/>
        </w:rPr>
        <w:t>规</w:t>
      </w:r>
      <w:proofErr w:type="gramEnd"/>
      <w:r>
        <w:rPr>
          <w:rFonts w:ascii="宋体" w:eastAsia="宋体" w:hAnsi="宋体" w:cs="宋体" w:hint="eastAsia"/>
          <w:sz w:val="24"/>
        </w:rPr>
        <w:t>培训作为海外人员任职、上岗的必备条件，确保遵守我国和所在国法律法规等相关规定；</w:t>
      </w:r>
    </w:p>
    <w:p w14:paraId="10A26E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（四）其他需要重点关注的人员。</w:t>
      </w:r>
    </w:p>
    <w:p w14:paraId="42751C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第十六条强化海外投资经营行为的合</w:t>
      </w:r>
      <w:proofErr w:type="gramStart"/>
      <w:r>
        <w:rPr>
          <w:rFonts w:ascii="宋体" w:eastAsia="宋体" w:hAnsi="宋体" w:cs="宋体" w:hint="eastAsia"/>
          <w:sz w:val="24"/>
        </w:rPr>
        <w:t>规</w:t>
      </w:r>
      <w:proofErr w:type="gramEnd"/>
      <w:r>
        <w:rPr>
          <w:rFonts w:ascii="宋体" w:eastAsia="宋体" w:hAnsi="宋体" w:cs="宋体" w:hint="eastAsia"/>
          <w:sz w:val="24"/>
        </w:rPr>
        <w:t>管理：</w:t>
      </w:r>
    </w:p>
    <w:p w14:paraId="21E4A6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（一）深入研究投资所在国法律法规及相关国际规则，全面掌握禁止性规定，明确海外投资经营行为的红线、底线；</w:t>
      </w:r>
    </w:p>
    <w:p w14:paraId="5BCC43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（二）健全海外合</w:t>
      </w:r>
      <w:proofErr w:type="gramStart"/>
      <w:r>
        <w:rPr>
          <w:rFonts w:ascii="宋体" w:eastAsia="宋体" w:hAnsi="宋体" w:cs="宋体" w:hint="eastAsia"/>
          <w:sz w:val="24"/>
        </w:rPr>
        <w:t>规</w:t>
      </w:r>
      <w:proofErr w:type="gramEnd"/>
      <w:r>
        <w:rPr>
          <w:rFonts w:ascii="宋体" w:eastAsia="宋体" w:hAnsi="宋体" w:cs="宋体" w:hint="eastAsia"/>
          <w:sz w:val="24"/>
        </w:rPr>
        <w:t>经营的制度、体系、流程，重视开展项目的合</w:t>
      </w:r>
      <w:proofErr w:type="gramStart"/>
      <w:r>
        <w:rPr>
          <w:rFonts w:ascii="宋体" w:eastAsia="宋体" w:hAnsi="宋体" w:cs="宋体" w:hint="eastAsia"/>
          <w:sz w:val="24"/>
        </w:rPr>
        <w:t>规</w:t>
      </w:r>
      <w:proofErr w:type="gramEnd"/>
      <w:r>
        <w:rPr>
          <w:rFonts w:ascii="宋体" w:eastAsia="宋体" w:hAnsi="宋体" w:cs="宋体" w:hint="eastAsia"/>
          <w:sz w:val="24"/>
        </w:rPr>
        <w:t>论证和尽职调查，依法加强对境外机构的管控，规范经营管理行为。</w:t>
      </w:r>
    </w:p>
    <w:p w14:paraId="4635C9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（三）定期排查梳理海外投资经营业务的风险状况，重点关注重大决策、重大合同、大额资金管控和</w:t>
      </w:r>
      <w:proofErr w:type="gramStart"/>
      <w:r>
        <w:rPr>
          <w:rFonts w:ascii="宋体" w:eastAsia="宋体" w:hAnsi="宋体" w:cs="宋体" w:hint="eastAsia"/>
          <w:sz w:val="24"/>
        </w:rPr>
        <w:t>境外子</w:t>
      </w:r>
      <w:proofErr w:type="gramEnd"/>
      <w:r>
        <w:rPr>
          <w:rFonts w:ascii="宋体" w:eastAsia="宋体" w:hAnsi="宋体" w:cs="宋体" w:hint="eastAsia"/>
          <w:sz w:val="24"/>
        </w:rPr>
        <w:t>企业公司治理等方面存在的合</w:t>
      </w:r>
      <w:proofErr w:type="gramStart"/>
      <w:r>
        <w:rPr>
          <w:rFonts w:ascii="宋体" w:eastAsia="宋体" w:hAnsi="宋体" w:cs="宋体" w:hint="eastAsia"/>
          <w:sz w:val="24"/>
        </w:rPr>
        <w:t>规</w:t>
      </w:r>
      <w:proofErr w:type="gramEnd"/>
      <w:r>
        <w:rPr>
          <w:rFonts w:ascii="宋体" w:eastAsia="宋体" w:hAnsi="宋体" w:cs="宋体" w:hint="eastAsia"/>
          <w:sz w:val="24"/>
        </w:rPr>
        <w:t>风险,妥善处理、及时报告，防止扩大蔓延。</w:t>
      </w:r>
    </w:p>
    <w:p w14:paraId="187B5E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第四章 合</w:t>
      </w:r>
      <w:proofErr w:type="gramStart"/>
      <w:r>
        <w:rPr>
          <w:rFonts w:ascii="宋体" w:eastAsia="宋体" w:hAnsi="宋体" w:cs="宋体" w:hint="eastAsia"/>
          <w:sz w:val="24"/>
        </w:rPr>
        <w:t>规</w:t>
      </w:r>
      <w:proofErr w:type="gramEnd"/>
      <w:r>
        <w:rPr>
          <w:rFonts w:ascii="宋体" w:eastAsia="宋体" w:hAnsi="宋体" w:cs="宋体" w:hint="eastAsia"/>
          <w:sz w:val="24"/>
        </w:rPr>
        <w:t>管理运行</w:t>
      </w:r>
    </w:p>
    <w:p w14:paraId="4FF028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建立健全合</w:t>
      </w:r>
      <w:proofErr w:type="gramStart"/>
      <w:r>
        <w:rPr>
          <w:rFonts w:ascii="宋体" w:eastAsia="宋体" w:hAnsi="宋体" w:cs="宋体" w:hint="eastAsia"/>
          <w:sz w:val="24"/>
        </w:rPr>
        <w:t>规</w:t>
      </w:r>
      <w:proofErr w:type="gramEnd"/>
      <w:r>
        <w:rPr>
          <w:rFonts w:ascii="宋体" w:eastAsia="宋体" w:hAnsi="宋体" w:cs="宋体" w:hint="eastAsia"/>
          <w:sz w:val="24"/>
        </w:rPr>
        <w:t>管理制度，制定全员普遍遵守的合</w:t>
      </w:r>
      <w:proofErr w:type="gramStart"/>
      <w:r>
        <w:rPr>
          <w:rFonts w:ascii="宋体" w:eastAsia="宋体" w:hAnsi="宋体" w:cs="宋体" w:hint="eastAsia"/>
          <w:sz w:val="24"/>
        </w:rPr>
        <w:t>规</w:t>
      </w:r>
      <w:proofErr w:type="gramEnd"/>
      <w:r>
        <w:rPr>
          <w:rFonts w:ascii="宋体" w:eastAsia="宋体" w:hAnsi="宋体" w:cs="宋体" w:hint="eastAsia"/>
          <w:sz w:val="24"/>
        </w:rPr>
        <w:t>行为规范，针对重点领域制定专项合</w:t>
      </w:r>
      <w:proofErr w:type="gramStart"/>
      <w:r>
        <w:rPr>
          <w:rFonts w:ascii="宋体" w:eastAsia="宋体" w:hAnsi="宋体" w:cs="宋体" w:hint="eastAsia"/>
          <w:sz w:val="24"/>
        </w:rPr>
        <w:t>规</w:t>
      </w:r>
      <w:proofErr w:type="gramEnd"/>
      <w:r>
        <w:rPr>
          <w:rFonts w:ascii="宋体" w:eastAsia="宋体" w:hAnsi="宋体" w:cs="宋体" w:hint="eastAsia"/>
          <w:sz w:val="24"/>
        </w:rPr>
        <w:t>管理制度，并根据法律法规变化和监管动态，及时将外部有关合</w:t>
      </w:r>
      <w:proofErr w:type="gramStart"/>
      <w:r>
        <w:rPr>
          <w:rFonts w:ascii="宋体" w:eastAsia="宋体" w:hAnsi="宋体" w:cs="宋体" w:hint="eastAsia"/>
          <w:sz w:val="24"/>
        </w:rPr>
        <w:t>规</w:t>
      </w:r>
      <w:proofErr w:type="gramEnd"/>
      <w:r>
        <w:rPr>
          <w:rFonts w:ascii="宋体" w:eastAsia="宋体" w:hAnsi="宋体" w:cs="宋体" w:hint="eastAsia"/>
          <w:sz w:val="24"/>
        </w:rPr>
        <w:t>要求转化为内部规章制度。</w:t>
      </w:r>
    </w:p>
    <w:p w14:paraId="4B60BE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建立合</w:t>
      </w:r>
      <w:proofErr w:type="gramStart"/>
      <w:r>
        <w:rPr>
          <w:rFonts w:ascii="宋体" w:eastAsia="宋体" w:hAnsi="宋体" w:cs="宋体" w:hint="eastAsia"/>
          <w:sz w:val="24"/>
        </w:rPr>
        <w:t>规</w:t>
      </w:r>
      <w:proofErr w:type="gramEnd"/>
      <w:r>
        <w:rPr>
          <w:rFonts w:ascii="宋体" w:eastAsia="宋体" w:hAnsi="宋体" w:cs="宋体" w:hint="eastAsia"/>
          <w:sz w:val="24"/>
        </w:rPr>
        <w:t>风险识别预警机制，全面系统梳理经营管理活动中存在的合</w:t>
      </w:r>
      <w:proofErr w:type="gramStart"/>
      <w:r>
        <w:rPr>
          <w:rFonts w:ascii="宋体" w:eastAsia="宋体" w:hAnsi="宋体" w:cs="宋体" w:hint="eastAsia"/>
          <w:sz w:val="24"/>
        </w:rPr>
        <w:t>规</w:t>
      </w:r>
      <w:proofErr w:type="gramEnd"/>
      <w:r>
        <w:rPr>
          <w:rFonts w:ascii="宋体" w:eastAsia="宋体" w:hAnsi="宋体" w:cs="宋体" w:hint="eastAsia"/>
          <w:sz w:val="24"/>
        </w:rPr>
        <w:t>风险，对风险发生的可能性、影响程度、潜在后果等进行系统分析，对于典型性、普遍性和可能产生较严重后果的风险及时发布预警。</w:t>
      </w:r>
    </w:p>
    <w:p w14:paraId="596B0A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加强合</w:t>
      </w:r>
      <w:proofErr w:type="gramStart"/>
      <w:r>
        <w:rPr>
          <w:rFonts w:ascii="宋体" w:eastAsia="宋体" w:hAnsi="宋体" w:cs="宋体" w:hint="eastAsia"/>
          <w:sz w:val="24"/>
        </w:rPr>
        <w:t>规</w:t>
      </w:r>
      <w:proofErr w:type="gramEnd"/>
      <w:r>
        <w:rPr>
          <w:rFonts w:ascii="宋体" w:eastAsia="宋体" w:hAnsi="宋体" w:cs="宋体" w:hint="eastAsia"/>
          <w:sz w:val="24"/>
        </w:rPr>
        <w:t>风险应对，针对发现的风险制定预案，采取有效措施，及时应对处置。对于重大合</w:t>
      </w:r>
      <w:proofErr w:type="gramStart"/>
      <w:r>
        <w:rPr>
          <w:rFonts w:ascii="宋体" w:eastAsia="宋体" w:hAnsi="宋体" w:cs="宋体" w:hint="eastAsia"/>
          <w:sz w:val="24"/>
        </w:rPr>
        <w:t>规</w:t>
      </w:r>
      <w:proofErr w:type="gramEnd"/>
      <w:r>
        <w:rPr>
          <w:rFonts w:ascii="宋体" w:eastAsia="宋体" w:hAnsi="宋体" w:cs="宋体" w:hint="eastAsia"/>
          <w:sz w:val="24"/>
        </w:rPr>
        <w:t>风险事件，合</w:t>
      </w:r>
      <w:proofErr w:type="gramStart"/>
      <w:r>
        <w:rPr>
          <w:rFonts w:ascii="宋体" w:eastAsia="宋体" w:hAnsi="宋体" w:cs="宋体" w:hint="eastAsia"/>
          <w:sz w:val="24"/>
        </w:rPr>
        <w:t>规</w:t>
      </w:r>
      <w:proofErr w:type="gramEnd"/>
      <w:r>
        <w:rPr>
          <w:rFonts w:ascii="宋体" w:eastAsia="宋体" w:hAnsi="宋体" w:cs="宋体" w:hint="eastAsia"/>
          <w:sz w:val="24"/>
        </w:rPr>
        <w:t>委员会统筹领导，合</w:t>
      </w:r>
      <w:proofErr w:type="gramStart"/>
      <w:r>
        <w:rPr>
          <w:rFonts w:ascii="宋体" w:eastAsia="宋体" w:hAnsi="宋体" w:cs="宋体" w:hint="eastAsia"/>
          <w:sz w:val="24"/>
        </w:rPr>
        <w:t>规</w:t>
      </w:r>
      <w:proofErr w:type="gramEnd"/>
      <w:r>
        <w:rPr>
          <w:rFonts w:ascii="宋体" w:eastAsia="宋体" w:hAnsi="宋体" w:cs="宋体" w:hint="eastAsia"/>
          <w:sz w:val="24"/>
        </w:rPr>
        <w:t>管理负责人牵头，相关部门协同配合，最大限度化解风险、降低损失。</w:t>
      </w:r>
    </w:p>
    <w:p w14:paraId="7A8C01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建立健全合</w:t>
      </w:r>
      <w:proofErr w:type="gramStart"/>
      <w:r>
        <w:rPr>
          <w:rFonts w:ascii="宋体" w:eastAsia="宋体" w:hAnsi="宋体" w:cs="宋体" w:hint="eastAsia"/>
          <w:sz w:val="24"/>
        </w:rPr>
        <w:t>规</w:t>
      </w:r>
      <w:proofErr w:type="gramEnd"/>
      <w:r>
        <w:rPr>
          <w:rFonts w:ascii="宋体" w:eastAsia="宋体" w:hAnsi="宋体" w:cs="宋体" w:hint="eastAsia"/>
          <w:sz w:val="24"/>
        </w:rPr>
        <w:t>审查机制，将合</w:t>
      </w:r>
      <w:proofErr w:type="gramStart"/>
      <w:r>
        <w:rPr>
          <w:rFonts w:ascii="宋体" w:eastAsia="宋体" w:hAnsi="宋体" w:cs="宋体" w:hint="eastAsia"/>
          <w:sz w:val="24"/>
        </w:rPr>
        <w:t>规</w:t>
      </w:r>
      <w:proofErr w:type="gramEnd"/>
      <w:r>
        <w:rPr>
          <w:rFonts w:ascii="宋体" w:eastAsia="宋体" w:hAnsi="宋体" w:cs="宋体" w:hint="eastAsia"/>
          <w:sz w:val="24"/>
        </w:rPr>
        <w:t>审查作为规章制度制定、重大事项决策、重要合同签订、重大项目运营等经营管理行为的必经程序，及时对不合</w:t>
      </w:r>
      <w:proofErr w:type="gramStart"/>
      <w:r>
        <w:rPr>
          <w:rFonts w:ascii="宋体" w:eastAsia="宋体" w:hAnsi="宋体" w:cs="宋体" w:hint="eastAsia"/>
          <w:sz w:val="24"/>
        </w:rPr>
        <w:t>规</w:t>
      </w:r>
      <w:proofErr w:type="gramEnd"/>
      <w:r>
        <w:rPr>
          <w:rFonts w:ascii="宋体" w:eastAsia="宋体" w:hAnsi="宋体" w:cs="宋体" w:hint="eastAsia"/>
          <w:sz w:val="24"/>
        </w:rPr>
        <w:t>的内容提出修改建议，未经合</w:t>
      </w:r>
      <w:proofErr w:type="gramStart"/>
      <w:r>
        <w:rPr>
          <w:rFonts w:ascii="宋体" w:eastAsia="宋体" w:hAnsi="宋体" w:cs="宋体" w:hint="eastAsia"/>
          <w:sz w:val="24"/>
        </w:rPr>
        <w:t>规</w:t>
      </w:r>
      <w:proofErr w:type="gramEnd"/>
      <w:r>
        <w:rPr>
          <w:rFonts w:ascii="宋体" w:eastAsia="宋体" w:hAnsi="宋体" w:cs="宋体" w:hint="eastAsia"/>
          <w:sz w:val="24"/>
        </w:rPr>
        <w:t>审查不得实施。</w:t>
      </w:r>
    </w:p>
    <w:p w14:paraId="681997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强化</w:t>
      </w:r>
      <w:proofErr w:type="gramStart"/>
      <w:r>
        <w:rPr>
          <w:rFonts w:ascii="宋体" w:eastAsia="宋体" w:hAnsi="宋体" w:cs="宋体" w:hint="eastAsia"/>
          <w:sz w:val="24"/>
        </w:rPr>
        <w:t>违规问</w:t>
      </w:r>
      <w:proofErr w:type="gramEnd"/>
      <w:r>
        <w:rPr>
          <w:rFonts w:ascii="宋体" w:eastAsia="宋体" w:hAnsi="宋体" w:cs="宋体" w:hint="eastAsia"/>
          <w:sz w:val="24"/>
        </w:rPr>
        <w:t>责，完善违规行为处罚机制，明晰违规责任范围，细化惩处标准。畅通举报渠道，针对反映的问题和线索，及时开展调查，严肃追究违规人员责任。</w:t>
      </w:r>
    </w:p>
    <w:p w14:paraId="38C75F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开展合</w:t>
      </w:r>
      <w:proofErr w:type="gramStart"/>
      <w:r>
        <w:rPr>
          <w:rFonts w:ascii="宋体" w:eastAsia="宋体" w:hAnsi="宋体" w:cs="宋体" w:hint="eastAsia"/>
          <w:sz w:val="24"/>
        </w:rPr>
        <w:t>规</w:t>
      </w:r>
      <w:proofErr w:type="gramEnd"/>
      <w:r>
        <w:rPr>
          <w:rFonts w:ascii="宋体" w:eastAsia="宋体" w:hAnsi="宋体" w:cs="宋体" w:hint="eastAsia"/>
          <w:sz w:val="24"/>
        </w:rPr>
        <w:t>管理评估，定期对合</w:t>
      </w:r>
      <w:proofErr w:type="gramStart"/>
      <w:r>
        <w:rPr>
          <w:rFonts w:ascii="宋体" w:eastAsia="宋体" w:hAnsi="宋体" w:cs="宋体" w:hint="eastAsia"/>
          <w:sz w:val="24"/>
        </w:rPr>
        <w:t>规</w:t>
      </w:r>
      <w:proofErr w:type="gramEnd"/>
      <w:r>
        <w:rPr>
          <w:rFonts w:ascii="宋体" w:eastAsia="宋体" w:hAnsi="宋体" w:cs="宋体" w:hint="eastAsia"/>
          <w:sz w:val="24"/>
        </w:rPr>
        <w:t>管理体系的有效性进行分析，对重大或反复出现的合</w:t>
      </w:r>
      <w:proofErr w:type="gramStart"/>
      <w:r>
        <w:rPr>
          <w:rFonts w:ascii="宋体" w:eastAsia="宋体" w:hAnsi="宋体" w:cs="宋体" w:hint="eastAsia"/>
          <w:sz w:val="24"/>
        </w:rPr>
        <w:t>规</w:t>
      </w:r>
      <w:proofErr w:type="gramEnd"/>
      <w:r>
        <w:rPr>
          <w:rFonts w:ascii="宋体" w:eastAsia="宋体" w:hAnsi="宋体" w:cs="宋体" w:hint="eastAsia"/>
          <w:sz w:val="24"/>
        </w:rPr>
        <w:t>风险和违规问题，深入查找根源，完善相关制度，堵塞管理漏洞，强化过程管控，持续改进提升。</w:t>
      </w:r>
    </w:p>
    <w:p w14:paraId="539BE0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合</w:t>
      </w:r>
      <w:proofErr w:type="gramStart"/>
      <w:r>
        <w:rPr>
          <w:rFonts w:ascii="宋体" w:eastAsia="宋体" w:hAnsi="宋体" w:cs="宋体" w:hint="eastAsia"/>
          <w:sz w:val="24"/>
        </w:rPr>
        <w:t>规</w:t>
      </w:r>
      <w:proofErr w:type="gramEnd"/>
      <w:r>
        <w:rPr>
          <w:rFonts w:ascii="宋体" w:eastAsia="宋体" w:hAnsi="宋体" w:cs="宋体" w:hint="eastAsia"/>
          <w:sz w:val="24"/>
        </w:rPr>
        <w:t>管理保障</w:t>
      </w:r>
    </w:p>
    <w:p w14:paraId="1DF99D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加强合</w:t>
      </w:r>
      <w:proofErr w:type="gramStart"/>
      <w:r>
        <w:rPr>
          <w:rFonts w:ascii="宋体" w:eastAsia="宋体" w:hAnsi="宋体" w:cs="宋体" w:hint="eastAsia"/>
          <w:sz w:val="24"/>
        </w:rPr>
        <w:t>规</w:t>
      </w:r>
      <w:proofErr w:type="gramEnd"/>
      <w:r>
        <w:rPr>
          <w:rFonts w:ascii="宋体" w:eastAsia="宋体" w:hAnsi="宋体" w:cs="宋体" w:hint="eastAsia"/>
          <w:sz w:val="24"/>
        </w:rPr>
        <w:t>考核评价，把合</w:t>
      </w:r>
      <w:proofErr w:type="gramStart"/>
      <w:r>
        <w:rPr>
          <w:rFonts w:ascii="宋体" w:eastAsia="宋体" w:hAnsi="宋体" w:cs="宋体" w:hint="eastAsia"/>
          <w:sz w:val="24"/>
        </w:rPr>
        <w:t>规</w:t>
      </w:r>
      <w:proofErr w:type="gramEnd"/>
      <w:r>
        <w:rPr>
          <w:rFonts w:ascii="宋体" w:eastAsia="宋体" w:hAnsi="宋体" w:cs="宋体" w:hint="eastAsia"/>
          <w:sz w:val="24"/>
        </w:rPr>
        <w:t>经营管理情况纳入对各部门和所属企业负责人的年度综合考核，细化评价指标。对所属单位和员工合</w:t>
      </w:r>
      <w:proofErr w:type="gramStart"/>
      <w:r>
        <w:rPr>
          <w:rFonts w:ascii="宋体" w:eastAsia="宋体" w:hAnsi="宋体" w:cs="宋体" w:hint="eastAsia"/>
          <w:sz w:val="24"/>
        </w:rPr>
        <w:t>规</w:t>
      </w:r>
      <w:proofErr w:type="gramEnd"/>
      <w:r>
        <w:rPr>
          <w:rFonts w:ascii="宋体" w:eastAsia="宋体" w:hAnsi="宋体" w:cs="宋体" w:hint="eastAsia"/>
          <w:sz w:val="24"/>
        </w:rPr>
        <w:t>职责履行情况进行评价，并将结果作为员工考核、干部任用、评先选优等工作的重要依据。</w:t>
      </w:r>
    </w:p>
    <w:p w14:paraId="0C299B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强化合</w:t>
      </w:r>
      <w:proofErr w:type="gramStart"/>
      <w:r>
        <w:rPr>
          <w:rFonts w:ascii="宋体" w:eastAsia="宋体" w:hAnsi="宋体" w:cs="宋体" w:hint="eastAsia"/>
          <w:sz w:val="24"/>
        </w:rPr>
        <w:t>规</w:t>
      </w:r>
      <w:proofErr w:type="gramEnd"/>
      <w:r>
        <w:rPr>
          <w:rFonts w:ascii="宋体" w:eastAsia="宋体" w:hAnsi="宋体" w:cs="宋体" w:hint="eastAsia"/>
          <w:sz w:val="24"/>
        </w:rPr>
        <w:t>管理信息化建设，通过信息化手段优化管理流程，记录和保存相关信息。运用大数据等工具，加强对经营管理行为依法合</w:t>
      </w:r>
      <w:proofErr w:type="gramStart"/>
      <w:r>
        <w:rPr>
          <w:rFonts w:ascii="宋体" w:eastAsia="宋体" w:hAnsi="宋体" w:cs="宋体" w:hint="eastAsia"/>
          <w:sz w:val="24"/>
        </w:rPr>
        <w:t>规</w:t>
      </w:r>
      <w:proofErr w:type="gramEnd"/>
      <w:r>
        <w:rPr>
          <w:rFonts w:ascii="宋体" w:eastAsia="宋体" w:hAnsi="宋体" w:cs="宋体" w:hint="eastAsia"/>
          <w:sz w:val="24"/>
        </w:rPr>
        <w:t>情况的实时在线监控和风险分析，实现信息集成与共享。</w:t>
      </w:r>
    </w:p>
    <w:p w14:paraId="334E89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第二十五条 建立专业化、高素质的合</w:t>
      </w:r>
      <w:proofErr w:type="gramStart"/>
      <w:r>
        <w:rPr>
          <w:rFonts w:ascii="宋体" w:eastAsia="宋体" w:hAnsi="宋体" w:cs="宋体" w:hint="eastAsia"/>
          <w:sz w:val="24"/>
        </w:rPr>
        <w:t>规</w:t>
      </w:r>
      <w:proofErr w:type="gramEnd"/>
      <w:r>
        <w:rPr>
          <w:rFonts w:ascii="宋体" w:eastAsia="宋体" w:hAnsi="宋体" w:cs="宋体" w:hint="eastAsia"/>
          <w:sz w:val="24"/>
        </w:rPr>
        <w:t>管理队伍，根据业务规模、合</w:t>
      </w:r>
      <w:proofErr w:type="gramStart"/>
      <w:r>
        <w:rPr>
          <w:rFonts w:ascii="宋体" w:eastAsia="宋体" w:hAnsi="宋体" w:cs="宋体" w:hint="eastAsia"/>
          <w:sz w:val="24"/>
        </w:rPr>
        <w:t>规</w:t>
      </w:r>
      <w:proofErr w:type="gramEnd"/>
      <w:r>
        <w:rPr>
          <w:rFonts w:ascii="宋体" w:eastAsia="宋体" w:hAnsi="宋体" w:cs="宋体" w:hint="eastAsia"/>
          <w:sz w:val="24"/>
        </w:rPr>
        <w:t>风险水平等因素配备合</w:t>
      </w:r>
      <w:proofErr w:type="gramStart"/>
      <w:r>
        <w:rPr>
          <w:rFonts w:ascii="宋体" w:eastAsia="宋体" w:hAnsi="宋体" w:cs="宋体" w:hint="eastAsia"/>
          <w:sz w:val="24"/>
        </w:rPr>
        <w:t>规</w:t>
      </w:r>
      <w:proofErr w:type="gramEnd"/>
      <w:r>
        <w:rPr>
          <w:rFonts w:ascii="宋体" w:eastAsia="宋体" w:hAnsi="宋体" w:cs="宋体" w:hint="eastAsia"/>
          <w:sz w:val="24"/>
        </w:rPr>
        <w:t>管理人员，持续加强业务培训，提升队伍能力水平。</w:t>
      </w:r>
    </w:p>
    <w:p w14:paraId="66EB3C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海外经营重要地区、重点项目应当明确合</w:t>
      </w:r>
      <w:proofErr w:type="gramStart"/>
      <w:r>
        <w:rPr>
          <w:rFonts w:ascii="宋体" w:eastAsia="宋体" w:hAnsi="宋体" w:cs="宋体" w:hint="eastAsia"/>
          <w:sz w:val="24"/>
        </w:rPr>
        <w:t>规</w:t>
      </w:r>
      <w:proofErr w:type="gramEnd"/>
      <w:r>
        <w:rPr>
          <w:rFonts w:ascii="宋体" w:eastAsia="宋体" w:hAnsi="宋体" w:cs="宋体" w:hint="eastAsia"/>
          <w:sz w:val="24"/>
        </w:rPr>
        <w:t>管理机构或配备专职人员，切实防范合</w:t>
      </w:r>
      <w:proofErr w:type="gramStart"/>
      <w:r>
        <w:rPr>
          <w:rFonts w:ascii="宋体" w:eastAsia="宋体" w:hAnsi="宋体" w:cs="宋体" w:hint="eastAsia"/>
          <w:sz w:val="24"/>
        </w:rPr>
        <w:t>规</w:t>
      </w:r>
      <w:proofErr w:type="gramEnd"/>
      <w:r>
        <w:rPr>
          <w:rFonts w:ascii="宋体" w:eastAsia="宋体" w:hAnsi="宋体" w:cs="宋体" w:hint="eastAsia"/>
          <w:sz w:val="24"/>
        </w:rPr>
        <w:t>风险。</w:t>
      </w:r>
    </w:p>
    <w:p w14:paraId="6984FF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重视合</w:t>
      </w:r>
      <w:proofErr w:type="gramStart"/>
      <w:r>
        <w:rPr>
          <w:rFonts w:ascii="宋体" w:eastAsia="宋体" w:hAnsi="宋体" w:cs="宋体" w:hint="eastAsia"/>
          <w:sz w:val="24"/>
        </w:rPr>
        <w:t>规</w:t>
      </w:r>
      <w:proofErr w:type="gramEnd"/>
      <w:r>
        <w:rPr>
          <w:rFonts w:ascii="宋体" w:eastAsia="宋体" w:hAnsi="宋体" w:cs="宋体" w:hint="eastAsia"/>
          <w:sz w:val="24"/>
        </w:rPr>
        <w:t>培训，结合法治宣传教育，建立制度化、常态</w:t>
      </w:r>
      <w:proofErr w:type="gramStart"/>
      <w:r>
        <w:rPr>
          <w:rFonts w:ascii="宋体" w:eastAsia="宋体" w:hAnsi="宋体" w:cs="宋体" w:hint="eastAsia"/>
          <w:sz w:val="24"/>
        </w:rPr>
        <w:t>化培训</w:t>
      </w:r>
      <w:proofErr w:type="gramEnd"/>
      <w:r>
        <w:rPr>
          <w:rFonts w:ascii="宋体" w:eastAsia="宋体" w:hAnsi="宋体" w:cs="宋体" w:hint="eastAsia"/>
          <w:sz w:val="24"/>
        </w:rPr>
        <w:t>机制，确保员工理解、遵循企业合</w:t>
      </w:r>
      <w:proofErr w:type="gramStart"/>
      <w:r>
        <w:rPr>
          <w:rFonts w:ascii="宋体" w:eastAsia="宋体" w:hAnsi="宋体" w:cs="宋体" w:hint="eastAsia"/>
          <w:sz w:val="24"/>
        </w:rPr>
        <w:t>规</w:t>
      </w:r>
      <w:proofErr w:type="gramEnd"/>
      <w:r>
        <w:rPr>
          <w:rFonts w:ascii="宋体" w:eastAsia="宋体" w:hAnsi="宋体" w:cs="宋体" w:hint="eastAsia"/>
          <w:sz w:val="24"/>
        </w:rPr>
        <w:t>目标和要求。</w:t>
      </w:r>
    </w:p>
    <w:p w14:paraId="2E4286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积极培育合</w:t>
      </w:r>
      <w:proofErr w:type="gramStart"/>
      <w:r>
        <w:rPr>
          <w:rFonts w:ascii="宋体" w:eastAsia="宋体" w:hAnsi="宋体" w:cs="宋体" w:hint="eastAsia"/>
          <w:sz w:val="24"/>
        </w:rPr>
        <w:t>规</w:t>
      </w:r>
      <w:proofErr w:type="gramEnd"/>
      <w:r>
        <w:rPr>
          <w:rFonts w:ascii="宋体" w:eastAsia="宋体" w:hAnsi="宋体" w:cs="宋体" w:hint="eastAsia"/>
          <w:sz w:val="24"/>
        </w:rPr>
        <w:t>文化，通过制定发放合</w:t>
      </w:r>
      <w:proofErr w:type="gramStart"/>
      <w:r>
        <w:rPr>
          <w:rFonts w:ascii="宋体" w:eastAsia="宋体" w:hAnsi="宋体" w:cs="宋体" w:hint="eastAsia"/>
          <w:sz w:val="24"/>
        </w:rPr>
        <w:t>规</w:t>
      </w:r>
      <w:proofErr w:type="gramEnd"/>
      <w:r>
        <w:rPr>
          <w:rFonts w:ascii="宋体" w:eastAsia="宋体" w:hAnsi="宋体" w:cs="宋体" w:hint="eastAsia"/>
          <w:sz w:val="24"/>
        </w:rPr>
        <w:t>手册、签订合</w:t>
      </w:r>
      <w:proofErr w:type="gramStart"/>
      <w:r>
        <w:rPr>
          <w:rFonts w:ascii="宋体" w:eastAsia="宋体" w:hAnsi="宋体" w:cs="宋体" w:hint="eastAsia"/>
          <w:sz w:val="24"/>
        </w:rPr>
        <w:t>规</w:t>
      </w:r>
      <w:proofErr w:type="gramEnd"/>
      <w:r>
        <w:rPr>
          <w:rFonts w:ascii="宋体" w:eastAsia="宋体" w:hAnsi="宋体" w:cs="宋体" w:hint="eastAsia"/>
          <w:sz w:val="24"/>
        </w:rPr>
        <w:t>承诺书等方式，强化全员安全、质量、诚信和廉洁等意识，树立依法合</w:t>
      </w:r>
      <w:proofErr w:type="gramStart"/>
      <w:r>
        <w:rPr>
          <w:rFonts w:ascii="宋体" w:eastAsia="宋体" w:hAnsi="宋体" w:cs="宋体" w:hint="eastAsia"/>
          <w:sz w:val="24"/>
        </w:rPr>
        <w:t>规</w:t>
      </w:r>
      <w:proofErr w:type="gramEnd"/>
      <w:r>
        <w:rPr>
          <w:rFonts w:ascii="宋体" w:eastAsia="宋体" w:hAnsi="宋体" w:cs="宋体" w:hint="eastAsia"/>
          <w:sz w:val="24"/>
        </w:rPr>
        <w:t>、守法诚信的价值观，筑牢合</w:t>
      </w:r>
      <w:proofErr w:type="gramStart"/>
      <w:r>
        <w:rPr>
          <w:rFonts w:ascii="宋体" w:eastAsia="宋体" w:hAnsi="宋体" w:cs="宋体" w:hint="eastAsia"/>
          <w:sz w:val="24"/>
        </w:rPr>
        <w:t>规</w:t>
      </w:r>
      <w:proofErr w:type="gramEnd"/>
      <w:r>
        <w:rPr>
          <w:rFonts w:ascii="宋体" w:eastAsia="宋体" w:hAnsi="宋体" w:cs="宋体" w:hint="eastAsia"/>
          <w:sz w:val="24"/>
        </w:rPr>
        <w:t>经营的思想基础。</w:t>
      </w:r>
    </w:p>
    <w:p w14:paraId="492769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建立合</w:t>
      </w:r>
      <w:proofErr w:type="gramStart"/>
      <w:r>
        <w:rPr>
          <w:rFonts w:ascii="宋体" w:eastAsia="宋体" w:hAnsi="宋体" w:cs="宋体" w:hint="eastAsia"/>
          <w:sz w:val="24"/>
        </w:rPr>
        <w:t>规</w:t>
      </w:r>
      <w:proofErr w:type="gramEnd"/>
      <w:r>
        <w:rPr>
          <w:rFonts w:ascii="宋体" w:eastAsia="宋体" w:hAnsi="宋体" w:cs="宋体" w:hint="eastAsia"/>
          <w:sz w:val="24"/>
        </w:rPr>
        <w:t>报告制度，发生较大合</w:t>
      </w:r>
      <w:proofErr w:type="gramStart"/>
      <w:r>
        <w:rPr>
          <w:rFonts w:ascii="宋体" w:eastAsia="宋体" w:hAnsi="宋体" w:cs="宋体" w:hint="eastAsia"/>
          <w:sz w:val="24"/>
        </w:rPr>
        <w:t>规</w:t>
      </w:r>
      <w:proofErr w:type="gramEnd"/>
      <w:r>
        <w:rPr>
          <w:rFonts w:ascii="宋体" w:eastAsia="宋体" w:hAnsi="宋体" w:cs="宋体" w:hint="eastAsia"/>
          <w:sz w:val="24"/>
        </w:rPr>
        <w:t>风险事件，合</w:t>
      </w:r>
      <w:proofErr w:type="gramStart"/>
      <w:r>
        <w:rPr>
          <w:rFonts w:ascii="宋体" w:eastAsia="宋体" w:hAnsi="宋体" w:cs="宋体" w:hint="eastAsia"/>
          <w:sz w:val="24"/>
        </w:rPr>
        <w:t>规</w:t>
      </w:r>
      <w:proofErr w:type="gramEnd"/>
      <w:r>
        <w:rPr>
          <w:rFonts w:ascii="宋体" w:eastAsia="宋体" w:hAnsi="宋体" w:cs="宋体" w:hint="eastAsia"/>
          <w:sz w:val="24"/>
        </w:rPr>
        <w:t>管理牵头部门和相关部门应当及时向合</w:t>
      </w:r>
      <w:proofErr w:type="gramStart"/>
      <w:r>
        <w:rPr>
          <w:rFonts w:ascii="宋体" w:eastAsia="宋体" w:hAnsi="宋体" w:cs="宋体" w:hint="eastAsia"/>
          <w:sz w:val="24"/>
        </w:rPr>
        <w:t>规</w:t>
      </w:r>
      <w:proofErr w:type="gramEnd"/>
      <w:r>
        <w:rPr>
          <w:rFonts w:ascii="宋体" w:eastAsia="宋体" w:hAnsi="宋体" w:cs="宋体" w:hint="eastAsia"/>
          <w:sz w:val="24"/>
        </w:rPr>
        <w:t>管理负责人、分管领导报告。重大合</w:t>
      </w:r>
      <w:proofErr w:type="gramStart"/>
      <w:r>
        <w:rPr>
          <w:rFonts w:ascii="宋体" w:eastAsia="宋体" w:hAnsi="宋体" w:cs="宋体" w:hint="eastAsia"/>
          <w:sz w:val="24"/>
        </w:rPr>
        <w:t>规</w:t>
      </w:r>
      <w:proofErr w:type="gramEnd"/>
      <w:r>
        <w:rPr>
          <w:rFonts w:ascii="宋体" w:eastAsia="宋体" w:hAnsi="宋体" w:cs="宋体" w:hint="eastAsia"/>
          <w:sz w:val="24"/>
        </w:rPr>
        <w:t>风险事件应当向国资委和有关部门报告。</w:t>
      </w:r>
    </w:p>
    <w:p w14:paraId="07F513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管理牵头部门于每年年底全面总结合</w:t>
      </w:r>
      <w:proofErr w:type="gramStart"/>
      <w:r>
        <w:rPr>
          <w:rFonts w:ascii="宋体" w:eastAsia="宋体" w:hAnsi="宋体" w:cs="宋体" w:hint="eastAsia"/>
          <w:sz w:val="24"/>
        </w:rPr>
        <w:t>规</w:t>
      </w:r>
      <w:proofErr w:type="gramEnd"/>
      <w:r>
        <w:rPr>
          <w:rFonts w:ascii="宋体" w:eastAsia="宋体" w:hAnsi="宋体" w:cs="宋体" w:hint="eastAsia"/>
          <w:sz w:val="24"/>
        </w:rPr>
        <w:t>管理工作情况，起草年度报告，经董事会审议通过后及时</w:t>
      </w:r>
      <w:proofErr w:type="gramStart"/>
      <w:r>
        <w:rPr>
          <w:rFonts w:ascii="宋体" w:eastAsia="宋体" w:hAnsi="宋体" w:cs="宋体" w:hint="eastAsia"/>
          <w:sz w:val="24"/>
        </w:rPr>
        <w:t>报送国</w:t>
      </w:r>
      <w:proofErr w:type="gramEnd"/>
      <w:r>
        <w:rPr>
          <w:rFonts w:ascii="宋体" w:eastAsia="宋体" w:hAnsi="宋体" w:cs="宋体" w:hint="eastAsia"/>
          <w:sz w:val="24"/>
        </w:rPr>
        <w:t>资委。</w:t>
      </w:r>
    </w:p>
    <w:p w14:paraId="600191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附 则</w:t>
      </w:r>
    </w:p>
    <w:p w14:paraId="3747C0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中央企业根据本指引，结合实际制定合</w:t>
      </w:r>
      <w:proofErr w:type="gramStart"/>
      <w:r>
        <w:rPr>
          <w:rFonts w:ascii="宋体" w:eastAsia="宋体" w:hAnsi="宋体" w:cs="宋体" w:hint="eastAsia"/>
          <w:sz w:val="24"/>
        </w:rPr>
        <w:t>规</w:t>
      </w:r>
      <w:proofErr w:type="gramEnd"/>
      <w:r>
        <w:rPr>
          <w:rFonts w:ascii="宋体" w:eastAsia="宋体" w:hAnsi="宋体" w:cs="宋体" w:hint="eastAsia"/>
          <w:sz w:val="24"/>
        </w:rPr>
        <w:t>管理实施细则。</w:t>
      </w:r>
    </w:p>
    <w:p w14:paraId="56B7CB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地方国有资产监督管理机构可以参照本指引，积极推进所出资企业合</w:t>
      </w:r>
      <w:proofErr w:type="gramStart"/>
      <w:r>
        <w:rPr>
          <w:rFonts w:ascii="宋体" w:eastAsia="宋体" w:hAnsi="宋体" w:cs="宋体" w:hint="eastAsia"/>
          <w:sz w:val="24"/>
        </w:rPr>
        <w:t>规</w:t>
      </w:r>
      <w:proofErr w:type="gramEnd"/>
      <w:r>
        <w:rPr>
          <w:rFonts w:ascii="宋体" w:eastAsia="宋体" w:hAnsi="宋体" w:cs="宋体" w:hint="eastAsia"/>
          <w:sz w:val="24"/>
        </w:rPr>
        <w:t>管理工作。</w:t>
      </w:r>
    </w:p>
    <w:p w14:paraId="63F469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本指引由国资委负责解释。</w:t>
      </w:r>
    </w:p>
    <w:p w14:paraId="32867959"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第三十一条 本指引自公布之日起施行。</w:t>
      </w:r>
    </w:p>
    <w:p w14:paraId="6BEA15F5"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112.《企业境外经营合规管理指引》</w:t>
      </w:r>
      <w:r>
        <w:rPr>
          <w:rFonts w:ascii="宋体" w:eastAsia="宋体" w:hAnsi="宋体" w:cs="宋体" w:hint="eastAsia"/>
          <w:b/>
          <w:bCs/>
          <w:sz w:val="24"/>
        </w:rPr>
        <w:tab/>
      </w:r>
    </w:p>
    <w:p w14:paraId="0E5954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发文机构：国家发展和改革委员会，外交部，商务部，中国人民银行，国务院国有资产监督管理委员会，国家外汇管理局，中华全国工商业联合会</w:t>
      </w:r>
      <w:r>
        <w:rPr>
          <w:rFonts w:ascii="宋体" w:eastAsia="宋体" w:hAnsi="宋体" w:cs="宋体" w:hint="eastAsia"/>
          <w:sz w:val="24"/>
        </w:rPr>
        <w:tab/>
      </w:r>
    </w:p>
    <w:p w14:paraId="141B40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w:t>
      </w:r>
      <w:proofErr w:type="gramStart"/>
      <w:r>
        <w:rPr>
          <w:rFonts w:ascii="宋体" w:eastAsia="宋体" w:hAnsi="宋体" w:cs="宋体" w:hint="eastAsia"/>
          <w:sz w:val="24"/>
        </w:rPr>
        <w:t>发改外资</w:t>
      </w:r>
      <w:proofErr w:type="gramEnd"/>
      <w:r>
        <w:rPr>
          <w:rFonts w:ascii="宋体" w:eastAsia="宋体" w:hAnsi="宋体" w:cs="宋体" w:hint="eastAsia"/>
          <w:sz w:val="24"/>
        </w:rPr>
        <w:t>〔2018〕1916号</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748D9C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77ACFD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目的及依据</w:t>
      </w:r>
    </w:p>
    <w:p w14:paraId="4289F1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为更好服务企业开展境外经营业务，推动企业持续加强合</w:t>
      </w:r>
      <w:proofErr w:type="gramStart"/>
      <w:r>
        <w:rPr>
          <w:rFonts w:ascii="宋体" w:eastAsia="宋体" w:hAnsi="宋体" w:cs="宋体" w:hint="eastAsia"/>
          <w:sz w:val="24"/>
        </w:rPr>
        <w:t>规</w:t>
      </w:r>
      <w:proofErr w:type="gramEnd"/>
      <w:r>
        <w:rPr>
          <w:rFonts w:ascii="宋体" w:eastAsia="宋体" w:hAnsi="宋体" w:cs="宋体" w:hint="eastAsia"/>
          <w:sz w:val="24"/>
        </w:rPr>
        <w:t>管理，根据国家有关法律法规和政策规定，参考 GB/T 35770-2017《合规管理体系指南》及有关国际合</w:t>
      </w:r>
      <w:proofErr w:type="gramStart"/>
      <w:r>
        <w:rPr>
          <w:rFonts w:ascii="宋体" w:eastAsia="宋体" w:hAnsi="宋体" w:cs="宋体" w:hint="eastAsia"/>
          <w:sz w:val="24"/>
        </w:rPr>
        <w:t>规</w:t>
      </w:r>
      <w:proofErr w:type="gramEnd"/>
      <w:r>
        <w:rPr>
          <w:rFonts w:ascii="宋体" w:eastAsia="宋体" w:hAnsi="宋体" w:cs="宋体" w:hint="eastAsia"/>
          <w:sz w:val="24"/>
        </w:rPr>
        <w:t>规则，制定本指引。</w:t>
      </w:r>
    </w:p>
    <w:p w14:paraId="40EFC1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适用范围</w:t>
      </w:r>
    </w:p>
    <w:p w14:paraId="48DF3B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本指引适用于开展对外贸易、境外投资、对外承包工程等“走出去”相关业务的中国境内企业及其境外子公司、分公司、代表机构等境外分支机构（以下简称“企业”）。</w:t>
      </w:r>
    </w:p>
    <w:p w14:paraId="36F286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法律法规对企业合</w:t>
      </w:r>
      <w:proofErr w:type="gramStart"/>
      <w:r>
        <w:rPr>
          <w:rFonts w:ascii="宋体" w:eastAsia="宋体" w:hAnsi="宋体" w:cs="宋体" w:hint="eastAsia"/>
          <w:sz w:val="24"/>
        </w:rPr>
        <w:t>规</w:t>
      </w:r>
      <w:proofErr w:type="gramEnd"/>
      <w:r>
        <w:rPr>
          <w:rFonts w:ascii="宋体" w:eastAsia="宋体" w:hAnsi="宋体" w:cs="宋体" w:hint="eastAsia"/>
          <w:sz w:val="24"/>
        </w:rPr>
        <w:t>管理另有专门规定的，从其规定。行业监管部门对企业境外经营合</w:t>
      </w:r>
      <w:proofErr w:type="gramStart"/>
      <w:r>
        <w:rPr>
          <w:rFonts w:ascii="宋体" w:eastAsia="宋体" w:hAnsi="宋体" w:cs="宋体" w:hint="eastAsia"/>
          <w:sz w:val="24"/>
        </w:rPr>
        <w:t>规</w:t>
      </w:r>
      <w:proofErr w:type="gramEnd"/>
      <w:r>
        <w:rPr>
          <w:rFonts w:ascii="宋体" w:eastAsia="宋体" w:hAnsi="宋体" w:cs="宋体" w:hint="eastAsia"/>
          <w:sz w:val="24"/>
        </w:rPr>
        <w:t>管理另有专门规定的，有关行业企业应当遵守其规定。</w:t>
      </w:r>
    </w:p>
    <w:p w14:paraId="111A4B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基本概念</w:t>
      </w:r>
    </w:p>
    <w:p w14:paraId="38C1B9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本指引所称合</w:t>
      </w:r>
      <w:proofErr w:type="gramStart"/>
      <w:r>
        <w:rPr>
          <w:rFonts w:ascii="宋体" w:eastAsia="宋体" w:hAnsi="宋体" w:cs="宋体" w:hint="eastAsia"/>
          <w:sz w:val="24"/>
        </w:rPr>
        <w:t>规</w:t>
      </w:r>
      <w:proofErr w:type="gramEnd"/>
      <w:r>
        <w:rPr>
          <w:rFonts w:ascii="宋体" w:eastAsia="宋体" w:hAnsi="宋体" w:cs="宋体" w:hint="eastAsia"/>
          <w:sz w:val="24"/>
        </w:rPr>
        <w:t>，是指企业及其员工的经营管理行为符合有关法律法规、国际条约、监管规定、行业准则、商业惯例、道德规范和企业依法制定的章程及规章制度等要求。</w:t>
      </w:r>
    </w:p>
    <w:p w14:paraId="7AFE4A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合</w:t>
      </w:r>
      <w:proofErr w:type="gramStart"/>
      <w:r>
        <w:rPr>
          <w:rFonts w:ascii="宋体" w:eastAsia="宋体" w:hAnsi="宋体" w:cs="宋体" w:hint="eastAsia"/>
          <w:sz w:val="24"/>
        </w:rPr>
        <w:t>规</w:t>
      </w:r>
      <w:proofErr w:type="gramEnd"/>
      <w:r>
        <w:rPr>
          <w:rFonts w:ascii="宋体" w:eastAsia="宋体" w:hAnsi="宋体" w:cs="宋体" w:hint="eastAsia"/>
          <w:sz w:val="24"/>
        </w:rPr>
        <w:t>管理框架</w:t>
      </w:r>
    </w:p>
    <w:p w14:paraId="0889FE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企业应以倡导合</w:t>
      </w:r>
      <w:proofErr w:type="gramStart"/>
      <w:r>
        <w:rPr>
          <w:rFonts w:ascii="宋体" w:eastAsia="宋体" w:hAnsi="宋体" w:cs="宋体" w:hint="eastAsia"/>
          <w:sz w:val="24"/>
        </w:rPr>
        <w:t>规</w:t>
      </w:r>
      <w:proofErr w:type="gramEnd"/>
      <w:r>
        <w:rPr>
          <w:rFonts w:ascii="宋体" w:eastAsia="宋体" w:hAnsi="宋体" w:cs="宋体" w:hint="eastAsia"/>
          <w:sz w:val="24"/>
        </w:rPr>
        <w:t>经营价值观为导向，明确合</w:t>
      </w:r>
      <w:proofErr w:type="gramStart"/>
      <w:r>
        <w:rPr>
          <w:rFonts w:ascii="宋体" w:eastAsia="宋体" w:hAnsi="宋体" w:cs="宋体" w:hint="eastAsia"/>
          <w:sz w:val="24"/>
        </w:rPr>
        <w:t>规</w:t>
      </w:r>
      <w:proofErr w:type="gramEnd"/>
      <w:r>
        <w:rPr>
          <w:rFonts w:ascii="宋体" w:eastAsia="宋体" w:hAnsi="宋体" w:cs="宋体" w:hint="eastAsia"/>
          <w:sz w:val="24"/>
        </w:rPr>
        <w:t>管理工作内容，健全合</w:t>
      </w:r>
      <w:proofErr w:type="gramStart"/>
      <w:r>
        <w:rPr>
          <w:rFonts w:ascii="宋体" w:eastAsia="宋体" w:hAnsi="宋体" w:cs="宋体" w:hint="eastAsia"/>
          <w:sz w:val="24"/>
        </w:rPr>
        <w:t>规</w:t>
      </w:r>
      <w:proofErr w:type="gramEnd"/>
      <w:r>
        <w:rPr>
          <w:rFonts w:ascii="宋体" w:eastAsia="宋体" w:hAnsi="宋体" w:cs="宋体" w:hint="eastAsia"/>
          <w:sz w:val="24"/>
        </w:rPr>
        <w:t>管理架构，制定合</w:t>
      </w:r>
      <w:proofErr w:type="gramStart"/>
      <w:r>
        <w:rPr>
          <w:rFonts w:ascii="宋体" w:eastAsia="宋体" w:hAnsi="宋体" w:cs="宋体" w:hint="eastAsia"/>
          <w:sz w:val="24"/>
        </w:rPr>
        <w:t>规</w:t>
      </w:r>
      <w:proofErr w:type="gramEnd"/>
      <w:r>
        <w:rPr>
          <w:rFonts w:ascii="宋体" w:eastAsia="宋体" w:hAnsi="宋体" w:cs="宋体" w:hint="eastAsia"/>
          <w:sz w:val="24"/>
        </w:rPr>
        <w:t>管理制度，完善合</w:t>
      </w:r>
      <w:proofErr w:type="gramStart"/>
      <w:r>
        <w:rPr>
          <w:rFonts w:ascii="宋体" w:eastAsia="宋体" w:hAnsi="宋体" w:cs="宋体" w:hint="eastAsia"/>
          <w:sz w:val="24"/>
        </w:rPr>
        <w:t>规</w:t>
      </w:r>
      <w:proofErr w:type="gramEnd"/>
      <w:r>
        <w:rPr>
          <w:rFonts w:ascii="宋体" w:eastAsia="宋体" w:hAnsi="宋体" w:cs="宋体" w:hint="eastAsia"/>
          <w:sz w:val="24"/>
        </w:rPr>
        <w:t>运行机制，加强合</w:t>
      </w:r>
      <w:proofErr w:type="gramStart"/>
      <w:r>
        <w:rPr>
          <w:rFonts w:ascii="宋体" w:eastAsia="宋体" w:hAnsi="宋体" w:cs="宋体" w:hint="eastAsia"/>
          <w:sz w:val="24"/>
        </w:rPr>
        <w:t>规</w:t>
      </w:r>
      <w:proofErr w:type="gramEnd"/>
      <w:r>
        <w:rPr>
          <w:rFonts w:ascii="宋体" w:eastAsia="宋体" w:hAnsi="宋体" w:cs="宋体" w:hint="eastAsia"/>
          <w:sz w:val="24"/>
        </w:rPr>
        <w:t>风险识别、评估与处置，开展合</w:t>
      </w:r>
      <w:proofErr w:type="gramStart"/>
      <w:r>
        <w:rPr>
          <w:rFonts w:ascii="宋体" w:eastAsia="宋体" w:hAnsi="宋体" w:cs="宋体" w:hint="eastAsia"/>
          <w:sz w:val="24"/>
        </w:rPr>
        <w:t>规</w:t>
      </w:r>
      <w:proofErr w:type="gramEnd"/>
      <w:r>
        <w:rPr>
          <w:rFonts w:ascii="宋体" w:eastAsia="宋体" w:hAnsi="宋体" w:cs="宋体" w:hint="eastAsia"/>
          <w:sz w:val="24"/>
        </w:rPr>
        <w:t>评审与改进，培育合</w:t>
      </w:r>
      <w:proofErr w:type="gramStart"/>
      <w:r>
        <w:rPr>
          <w:rFonts w:ascii="宋体" w:eastAsia="宋体" w:hAnsi="宋体" w:cs="宋体" w:hint="eastAsia"/>
          <w:sz w:val="24"/>
        </w:rPr>
        <w:t>规</w:t>
      </w:r>
      <w:proofErr w:type="gramEnd"/>
      <w:r>
        <w:rPr>
          <w:rFonts w:ascii="宋体" w:eastAsia="宋体" w:hAnsi="宋体" w:cs="宋体" w:hint="eastAsia"/>
          <w:sz w:val="24"/>
        </w:rPr>
        <w:t>文化，形成重视合</w:t>
      </w:r>
      <w:proofErr w:type="gramStart"/>
      <w:r>
        <w:rPr>
          <w:rFonts w:ascii="宋体" w:eastAsia="宋体" w:hAnsi="宋体" w:cs="宋体" w:hint="eastAsia"/>
          <w:sz w:val="24"/>
        </w:rPr>
        <w:t>规</w:t>
      </w:r>
      <w:proofErr w:type="gramEnd"/>
      <w:r>
        <w:rPr>
          <w:rFonts w:ascii="宋体" w:eastAsia="宋体" w:hAnsi="宋体" w:cs="宋体" w:hint="eastAsia"/>
          <w:sz w:val="24"/>
        </w:rPr>
        <w:t>经营的企业氛围。</w:t>
      </w:r>
    </w:p>
    <w:p w14:paraId="30E74B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合</w:t>
      </w:r>
      <w:proofErr w:type="gramStart"/>
      <w:r>
        <w:rPr>
          <w:rFonts w:ascii="宋体" w:eastAsia="宋体" w:hAnsi="宋体" w:cs="宋体" w:hint="eastAsia"/>
          <w:sz w:val="24"/>
        </w:rPr>
        <w:t>规</w:t>
      </w:r>
      <w:proofErr w:type="gramEnd"/>
      <w:r>
        <w:rPr>
          <w:rFonts w:ascii="宋体" w:eastAsia="宋体" w:hAnsi="宋体" w:cs="宋体" w:hint="eastAsia"/>
          <w:sz w:val="24"/>
        </w:rPr>
        <w:t>管理原则</w:t>
      </w:r>
    </w:p>
    <w:p w14:paraId="3437E0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（一）独立性原则。企业合</w:t>
      </w:r>
      <w:proofErr w:type="gramStart"/>
      <w:r>
        <w:rPr>
          <w:rFonts w:ascii="宋体" w:eastAsia="宋体" w:hAnsi="宋体" w:cs="宋体" w:hint="eastAsia"/>
          <w:sz w:val="24"/>
        </w:rPr>
        <w:t>规</w:t>
      </w:r>
      <w:proofErr w:type="gramEnd"/>
      <w:r>
        <w:rPr>
          <w:rFonts w:ascii="宋体" w:eastAsia="宋体" w:hAnsi="宋体" w:cs="宋体" w:hint="eastAsia"/>
          <w:sz w:val="24"/>
        </w:rPr>
        <w:t>管理应从制度设计、机构设置、岗位安排以及</w:t>
      </w:r>
      <w:r>
        <w:rPr>
          <w:rFonts w:ascii="宋体" w:eastAsia="宋体" w:hAnsi="宋体" w:cs="宋体" w:hint="eastAsia"/>
          <w:sz w:val="24"/>
        </w:rPr>
        <w:lastRenderedPageBreak/>
        <w:t>汇报路径等方面保证独立性。合</w:t>
      </w:r>
      <w:proofErr w:type="gramStart"/>
      <w:r>
        <w:rPr>
          <w:rFonts w:ascii="宋体" w:eastAsia="宋体" w:hAnsi="宋体" w:cs="宋体" w:hint="eastAsia"/>
          <w:sz w:val="24"/>
        </w:rPr>
        <w:t>规</w:t>
      </w:r>
      <w:proofErr w:type="gramEnd"/>
      <w:r>
        <w:rPr>
          <w:rFonts w:ascii="宋体" w:eastAsia="宋体" w:hAnsi="宋体" w:cs="宋体" w:hint="eastAsia"/>
          <w:sz w:val="24"/>
        </w:rPr>
        <w:t>管理机构及人员承担的其他职责不应与合</w:t>
      </w:r>
      <w:proofErr w:type="gramStart"/>
      <w:r>
        <w:rPr>
          <w:rFonts w:ascii="宋体" w:eastAsia="宋体" w:hAnsi="宋体" w:cs="宋体" w:hint="eastAsia"/>
          <w:sz w:val="24"/>
        </w:rPr>
        <w:t>规</w:t>
      </w:r>
      <w:proofErr w:type="gramEnd"/>
      <w:r>
        <w:rPr>
          <w:rFonts w:ascii="宋体" w:eastAsia="宋体" w:hAnsi="宋体" w:cs="宋体" w:hint="eastAsia"/>
          <w:sz w:val="24"/>
        </w:rPr>
        <w:t>职责产生利益冲突。</w:t>
      </w:r>
    </w:p>
    <w:p w14:paraId="5EBB14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（二）适用性原则。企业合</w:t>
      </w:r>
      <w:proofErr w:type="gramStart"/>
      <w:r>
        <w:rPr>
          <w:rFonts w:ascii="宋体" w:eastAsia="宋体" w:hAnsi="宋体" w:cs="宋体" w:hint="eastAsia"/>
          <w:sz w:val="24"/>
        </w:rPr>
        <w:t>规</w:t>
      </w:r>
      <w:proofErr w:type="gramEnd"/>
      <w:r>
        <w:rPr>
          <w:rFonts w:ascii="宋体" w:eastAsia="宋体" w:hAnsi="宋体" w:cs="宋体" w:hint="eastAsia"/>
          <w:sz w:val="24"/>
        </w:rPr>
        <w:t>管理应从经营范围、组织结构和业务规模等实际出发，兼顾成本与效率，强化合</w:t>
      </w:r>
      <w:proofErr w:type="gramStart"/>
      <w:r>
        <w:rPr>
          <w:rFonts w:ascii="宋体" w:eastAsia="宋体" w:hAnsi="宋体" w:cs="宋体" w:hint="eastAsia"/>
          <w:sz w:val="24"/>
        </w:rPr>
        <w:t>规</w:t>
      </w:r>
      <w:proofErr w:type="gramEnd"/>
      <w:r>
        <w:rPr>
          <w:rFonts w:ascii="宋体" w:eastAsia="宋体" w:hAnsi="宋体" w:cs="宋体" w:hint="eastAsia"/>
          <w:sz w:val="24"/>
        </w:rPr>
        <w:t>管理制度的可操作性，提高合</w:t>
      </w:r>
      <w:proofErr w:type="gramStart"/>
      <w:r>
        <w:rPr>
          <w:rFonts w:ascii="宋体" w:eastAsia="宋体" w:hAnsi="宋体" w:cs="宋体" w:hint="eastAsia"/>
          <w:sz w:val="24"/>
        </w:rPr>
        <w:t>规</w:t>
      </w:r>
      <w:proofErr w:type="gramEnd"/>
      <w:r>
        <w:rPr>
          <w:rFonts w:ascii="宋体" w:eastAsia="宋体" w:hAnsi="宋体" w:cs="宋体" w:hint="eastAsia"/>
          <w:sz w:val="24"/>
        </w:rPr>
        <w:t>管理的有效性。同时，企业应随着内外部环境的变化持续调整和改进合</w:t>
      </w:r>
      <w:proofErr w:type="gramStart"/>
      <w:r>
        <w:rPr>
          <w:rFonts w:ascii="宋体" w:eastAsia="宋体" w:hAnsi="宋体" w:cs="宋体" w:hint="eastAsia"/>
          <w:sz w:val="24"/>
        </w:rPr>
        <w:t>规</w:t>
      </w:r>
      <w:proofErr w:type="gramEnd"/>
      <w:r>
        <w:rPr>
          <w:rFonts w:ascii="宋体" w:eastAsia="宋体" w:hAnsi="宋体" w:cs="宋体" w:hint="eastAsia"/>
          <w:sz w:val="24"/>
        </w:rPr>
        <w:t>管理体系。</w:t>
      </w:r>
    </w:p>
    <w:p w14:paraId="4A198F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（三）全面性原则。企业合</w:t>
      </w:r>
      <w:proofErr w:type="gramStart"/>
      <w:r>
        <w:rPr>
          <w:rFonts w:ascii="宋体" w:eastAsia="宋体" w:hAnsi="宋体" w:cs="宋体" w:hint="eastAsia"/>
          <w:sz w:val="24"/>
        </w:rPr>
        <w:t>规</w:t>
      </w:r>
      <w:proofErr w:type="gramEnd"/>
      <w:r>
        <w:rPr>
          <w:rFonts w:ascii="宋体" w:eastAsia="宋体" w:hAnsi="宋体" w:cs="宋体" w:hint="eastAsia"/>
          <w:sz w:val="24"/>
        </w:rPr>
        <w:t>管理应覆盖所有境外业务领域、部门和员工，贯穿决策、执行、监督、反馈等各个环节，体现于决策机制、内部控制、业务流程等各个方面。</w:t>
      </w:r>
    </w:p>
    <w:p w14:paraId="51A8E6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合</w:t>
      </w:r>
      <w:proofErr w:type="gramStart"/>
      <w:r>
        <w:rPr>
          <w:rFonts w:ascii="宋体" w:eastAsia="宋体" w:hAnsi="宋体" w:cs="宋体" w:hint="eastAsia"/>
          <w:sz w:val="24"/>
        </w:rPr>
        <w:t>规</w:t>
      </w:r>
      <w:proofErr w:type="gramEnd"/>
      <w:r>
        <w:rPr>
          <w:rFonts w:ascii="宋体" w:eastAsia="宋体" w:hAnsi="宋体" w:cs="宋体" w:hint="eastAsia"/>
          <w:sz w:val="24"/>
        </w:rPr>
        <w:t>管理要求</w:t>
      </w:r>
    </w:p>
    <w:p w14:paraId="57A6D2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对外贸易中的合</w:t>
      </w:r>
      <w:proofErr w:type="gramStart"/>
      <w:r>
        <w:rPr>
          <w:rFonts w:ascii="宋体" w:eastAsia="宋体" w:hAnsi="宋体" w:cs="宋体" w:hint="eastAsia"/>
          <w:sz w:val="24"/>
        </w:rPr>
        <w:t>规</w:t>
      </w:r>
      <w:proofErr w:type="gramEnd"/>
      <w:r>
        <w:rPr>
          <w:rFonts w:ascii="宋体" w:eastAsia="宋体" w:hAnsi="宋体" w:cs="宋体" w:hint="eastAsia"/>
          <w:sz w:val="24"/>
        </w:rPr>
        <w:t>要求</w:t>
      </w:r>
    </w:p>
    <w:p w14:paraId="35F17B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企业开展对外货物和服务贸易，应确保经营活动全流程、全方位合</w:t>
      </w:r>
      <w:proofErr w:type="gramStart"/>
      <w:r>
        <w:rPr>
          <w:rFonts w:ascii="宋体" w:eastAsia="宋体" w:hAnsi="宋体" w:cs="宋体" w:hint="eastAsia"/>
          <w:sz w:val="24"/>
        </w:rPr>
        <w:t>规</w:t>
      </w:r>
      <w:proofErr w:type="gramEnd"/>
      <w:r>
        <w:rPr>
          <w:rFonts w:ascii="宋体" w:eastAsia="宋体" w:hAnsi="宋体" w:cs="宋体" w:hint="eastAsia"/>
          <w:sz w:val="24"/>
        </w:rPr>
        <w:t>，全面掌握关于贸易管制、质量安全与技术标准、知识产权保护等方面的具体要求，关注业务所涉国家（地区）开展的贸易救济调查，包括反倾销、反补贴、保障措施调查等。</w:t>
      </w:r>
    </w:p>
    <w:p w14:paraId="0C2D21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境外投资中的合</w:t>
      </w:r>
      <w:proofErr w:type="gramStart"/>
      <w:r>
        <w:rPr>
          <w:rFonts w:ascii="宋体" w:eastAsia="宋体" w:hAnsi="宋体" w:cs="宋体" w:hint="eastAsia"/>
          <w:sz w:val="24"/>
        </w:rPr>
        <w:t>规</w:t>
      </w:r>
      <w:proofErr w:type="gramEnd"/>
      <w:r>
        <w:rPr>
          <w:rFonts w:ascii="宋体" w:eastAsia="宋体" w:hAnsi="宋体" w:cs="宋体" w:hint="eastAsia"/>
          <w:sz w:val="24"/>
        </w:rPr>
        <w:t>要求</w:t>
      </w:r>
    </w:p>
    <w:p w14:paraId="3A59A8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企业开展境外投资，应确保经营活动全流程、全方位合</w:t>
      </w:r>
      <w:proofErr w:type="gramStart"/>
      <w:r>
        <w:rPr>
          <w:rFonts w:ascii="宋体" w:eastAsia="宋体" w:hAnsi="宋体" w:cs="宋体" w:hint="eastAsia"/>
          <w:sz w:val="24"/>
        </w:rPr>
        <w:t>规</w:t>
      </w:r>
      <w:proofErr w:type="gramEnd"/>
      <w:r>
        <w:rPr>
          <w:rFonts w:ascii="宋体" w:eastAsia="宋体" w:hAnsi="宋体" w:cs="宋体" w:hint="eastAsia"/>
          <w:sz w:val="24"/>
        </w:rPr>
        <w:t>，全面掌握关于市场准入、贸易管制、国家安全审查、行业监管、外汇管理、反垄断、反洗钱、反恐怖融资等方面的具体要求。</w:t>
      </w:r>
    </w:p>
    <w:p w14:paraId="1C9A24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对外承包工程中的合</w:t>
      </w:r>
      <w:proofErr w:type="gramStart"/>
      <w:r>
        <w:rPr>
          <w:rFonts w:ascii="宋体" w:eastAsia="宋体" w:hAnsi="宋体" w:cs="宋体" w:hint="eastAsia"/>
          <w:sz w:val="24"/>
        </w:rPr>
        <w:t>规</w:t>
      </w:r>
      <w:proofErr w:type="gramEnd"/>
      <w:r>
        <w:rPr>
          <w:rFonts w:ascii="宋体" w:eastAsia="宋体" w:hAnsi="宋体" w:cs="宋体" w:hint="eastAsia"/>
          <w:sz w:val="24"/>
        </w:rPr>
        <w:t>要求</w:t>
      </w:r>
    </w:p>
    <w:p w14:paraId="607377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企业开展对外承包工程，应确保经营活动全流程、全方位合</w:t>
      </w:r>
      <w:proofErr w:type="gramStart"/>
      <w:r>
        <w:rPr>
          <w:rFonts w:ascii="宋体" w:eastAsia="宋体" w:hAnsi="宋体" w:cs="宋体" w:hint="eastAsia"/>
          <w:sz w:val="24"/>
        </w:rPr>
        <w:t>规</w:t>
      </w:r>
      <w:proofErr w:type="gramEnd"/>
      <w:r>
        <w:rPr>
          <w:rFonts w:ascii="宋体" w:eastAsia="宋体" w:hAnsi="宋体" w:cs="宋体" w:hint="eastAsia"/>
          <w:sz w:val="24"/>
        </w:rPr>
        <w:t>，全面掌握关于投标管理、合同管理、项目履约、劳工权利保护、环境保护、连带风险管理、债务管理、捐赠与赞助、反腐败、反贿赂等方面的具体要求。</w:t>
      </w:r>
    </w:p>
    <w:p w14:paraId="48BB91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境外日常经营中的合</w:t>
      </w:r>
      <w:proofErr w:type="gramStart"/>
      <w:r>
        <w:rPr>
          <w:rFonts w:ascii="宋体" w:eastAsia="宋体" w:hAnsi="宋体" w:cs="宋体" w:hint="eastAsia"/>
          <w:sz w:val="24"/>
        </w:rPr>
        <w:t>规</w:t>
      </w:r>
      <w:proofErr w:type="gramEnd"/>
      <w:r>
        <w:rPr>
          <w:rFonts w:ascii="宋体" w:eastAsia="宋体" w:hAnsi="宋体" w:cs="宋体" w:hint="eastAsia"/>
          <w:sz w:val="24"/>
        </w:rPr>
        <w:t>要求</w:t>
      </w:r>
    </w:p>
    <w:p w14:paraId="5EC545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企业开展境外日常经营，应确保经营活动全流程、全方位合</w:t>
      </w:r>
      <w:proofErr w:type="gramStart"/>
      <w:r>
        <w:rPr>
          <w:rFonts w:ascii="宋体" w:eastAsia="宋体" w:hAnsi="宋体" w:cs="宋体" w:hint="eastAsia"/>
          <w:sz w:val="24"/>
        </w:rPr>
        <w:t>规</w:t>
      </w:r>
      <w:proofErr w:type="gramEnd"/>
      <w:r>
        <w:rPr>
          <w:rFonts w:ascii="宋体" w:eastAsia="宋体" w:hAnsi="宋体" w:cs="宋体" w:hint="eastAsia"/>
          <w:sz w:val="24"/>
        </w:rPr>
        <w:t>，全面掌握关于劳工权利保护、环境保护、数据和隐私保护、知识产权保护、反腐败、反贿赂、反垄断、反洗钱、反恐怖融资、贸易管制、财务税收等方面的具体要求。</w:t>
      </w:r>
    </w:p>
    <w:p w14:paraId="510544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第三章 合</w:t>
      </w:r>
      <w:proofErr w:type="gramStart"/>
      <w:r>
        <w:rPr>
          <w:rFonts w:ascii="宋体" w:eastAsia="宋体" w:hAnsi="宋体" w:cs="宋体" w:hint="eastAsia"/>
          <w:sz w:val="24"/>
        </w:rPr>
        <w:t>规</w:t>
      </w:r>
      <w:proofErr w:type="gramEnd"/>
      <w:r>
        <w:rPr>
          <w:rFonts w:ascii="宋体" w:eastAsia="宋体" w:hAnsi="宋体" w:cs="宋体" w:hint="eastAsia"/>
          <w:sz w:val="24"/>
        </w:rPr>
        <w:t>管理架构</w:t>
      </w:r>
    </w:p>
    <w:p w14:paraId="522F72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合</w:t>
      </w:r>
      <w:proofErr w:type="gramStart"/>
      <w:r>
        <w:rPr>
          <w:rFonts w:ascii="宋体" w:eastAsia="宋体" w:hAnsi="宋体" w:cs="宋体" w:hint="eastAsia"/>
          <w:sz w:val="24"/>
        </w:rPr>
        <w:t>规</w:t>
      </w:r>
      <w:proofErr w:type="gramEnd"/>
      <w:r>
        <w:rPr>
          <w:rFonts w:ascii="宋体" w:eastAsia="宋体" w:hAnsi="宋体" w:cs="宋体" w:hint="eastAsia"/>
          <w:sz w:val="24"/>
        </w:rPr>
        <w:t>治理结构企业可结合发展需要建立权责清晰的合</w:t>
      </w:r>
      <w:proofErr w:type="gramStart"/>
      <w:r>
        <w:rPr>
          <w:rFonts w:ascii="宋体" w:eastAsia="宋体" w:hAnsi="宋体" w:cs="宋体" w:hint="eastAsia"/>
          <w:sz w:val="24"/>
        </w:rPr>
        <w:t>规</w:t>
      </w:r>
      <w:proofErr w:type="gramEnd"/>
      <w:r>
        <w:rPr>
          <w:rFonts w:ascii="宋体" w:eastAsia="宋体" w:hAnsi="宋体" w:cs="宋体" w:hint="eastAsia"/>
          <w:sz w:val="24"/>
        </w:rPr>
        <w:t>治理结构，在决策、管理、执行三个层级上划分相应的合</w:t>
      </w:r>
      <w:proofErr w:type="gramStart"/>
      <w:r>
        <w:rPr>
          <w:rFonts w:ascii="宋体" w:eastAsia="宋体" w:hAnsi="宋体" w:cs="宋体" w:hint="eastAsia"/>
          <w:sz w:val="24"/>
        </w:rPr>
        <w:t>规</w:t>
      </w:r>
      <w:proofErr w:type="gramEnd"/>
      <w:r>
        <w:rPr>
          <w:rFonts w:ascii="宋体" w:eastAsia="宋体" w:hAnsi="宋体" w:cs="宋体" w:hint="eastAsia"/>
          <w:sz w:val="24"/>
        </w:rPr>
        <w:t>管理责任。</w:t>
      </w:r>
    </w:p>
    <w:p w14:paraId="01513C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（一）企业的决策层应以保证企业合</w:t>
      </w:r>
      <w:proofErr w:type="gramStart"/>
      <w:r>
        <w:rPr>
          <w:rFonts w:ascii="宋体" w:eastAsia="宋体" w:hAnsi="宋体" w:cs="宋体" w:hint="eastAsia"/>
          <w:sz w:val="24"/>
        </w:rPr>
        <w:t>规</w:t>
      </w:r>
      <w:proofErr w:type="gramEnd"/>
      <w:r>
        <w:rPr>
          <w:rFonts w:ascii="宋体" w:eastAsia="宋体" w:hAnsi="宋体" w:cs="宋体" w:hint="eastAsia"/>
          <w:sz w:val="24"/>
        </w:rPr>
        <w:t>经营为目的，通过原则性顶层设计，解决合</w:t>
      </w:r>
      <w:proofErr w:type="gramStart"/>
      <w:r>
        <w:rPr>
          <w:rFonts w:ascii="宋体" w:eastAsia="宋体" w:hAnsi="宋体" w:cs="宋体" w:hint="eastAsia"/>
          <w:sz w:val="24"/>
        </w:rPr>
        <w:t>规</w:t>
      </w:r>
      <w:proofErr w:type="gramEnd"/>
      <w:r>
        <w:rPr>
          <w:rFonts w:ascii="宋体" w:eastAsia="宋体" w:hAnsi="宋体" w:cs="宋体" w:hint="eastAsia"/>
          <w:sz w:val="24"/>
        </w:rPr>
        <w:t>管理工作中的权力配置问题。</w:t>
      </w:r>
    </w:p>
    <w:p w14:paraId="248579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（二）企业的高级管理层应分配充足的资源建立、制定、实施、评价、维护和改进合</w:t>
      </w:r>
      <w:proofErr w:type="gramStart"/>
      <w:r>
        <w:rPr>
          <w:rFonts w:ascii="宋体" w:eastAsia="宋体" w:hAnsi="宋体" w:cs="宋体" w:hint="eastAsia"/>
          <w:sz w:val="24"/>
        </w:rPr>
        <w:t>规</w:t>
      </w:r>
      <w:proofErr w:type="gramEnd"/>
      <w:r>
        <w:rPr>
          <w:rFonts w:ascii="宋体" w:eastAsia="宋体" w:hAnsi="宋体" w:cs="宋体" w:hint="eastAsia"/>
          <w:sz w:val="24"/>
        </w:rPr>
        <w:t>管理体系。</w:t>
      </w:r>
    </w:p>
    <w:p w14:paraId="2F9C9C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（三）企业的各执行部门及境外分支机构应及时识别归口管理领域的合</w:t>
      </w:r>
      <w:proofErr w:type="gramStart"/>
      <w:r>
        <w:rPr>
          <w:rFonts w:ascii="宋体" w:eastAsia="宋体" w:hAnsi="宋体" w:cs="宋体" w:hint="eastAsia"/>
          <w:sz w:val="24"/>
        </w:rPr>
        <w:t>规</w:t>
      </w:r>
      <w:proofErr w:type="gramEnd"/>
      <w:r>
        <w:rPr>
          <w:rFonts w:ascii="宋体" w:eastAsia="宋体" w:hAnsi="宋体" w:cs="宋体" w:hint="eastAsia"/>
          <w:sz w:val="24"/>
        </w:rPr>
        <w:t>要求，改进合</w:t>
      </w:r>
      <w:proofErr w:type="gramStart"/>
      <w:r>
        <w:rPr>
          <w:rFonts w:ascii="宋体" w:eastAsia="宋体" w:hAnsi="宋体" w:cs="宋体" w:hint="eastAsia"/>
          <w:sz w:val="24"/>
        </w:rPr>
        <w:t>规</w:t>
      </w:r>
      <w:proofErr w:type="gramEnd"/>
      <w:r>
        <w:rPr>
          <w:rFonts w:ascii="宋体" w:eastAsia="宋体" w:hAnsi="宋体" w:cs="宋体" w:hint="eastAsia"/>
          <w:sz w:val="24"/>
        </w:rPr>
        <w:t>管理措施，执行合</w:t>
      </w:r>
      <w:proofErr w:type="gramStart"/>
      <w:r>
        <w:rPr>
          <w:rFonts w:ascii="宋体" w:eastAsia="宋体" w:hAnsi="宋体" w:cs="宋体" w:hint="eastAsia"/>
          <w:sz w:val="24"/>
        </w:rPr>
        <w:t>规</w:t>
      </w:r>
      <w:proofErr w:type="gramEnd"/>
      <w:r>
        <w:rPr>
          <w:rFonts w:ascii="宋体" w:eastAsia="宋体" w:hAnsi="宋体" w:cs="宋体" w:hint="eastAsia"/>
          <w:sz w:val="24"/>
        </w:rPr>
        <w:t>管理制度和程序，收集合</w:t>
      </w:r>
      <w:proofErr w:type="gramStart"/>
      <w:r>
        <w:rPr>
          <w:rFonts w:ascii="宋体" w:eastAsia="宋体" w:hAnsi="宋体" w:cs="宋体" w:hint="eastAsia"/>
          <w:sz w:val="24"/>
        </w:rPr>
        <w:t>规</w:t>
      </w:r>
      <w:proofErr w:type="gramEnd"/>
      <w:r>
        <w:rPr>
          <w:rFonts w:ascii="宋体" w:eastAsia="宋体" w:hAnsi="宋体" w:cs="宋体" w:hint="eastAsia"/>
          <w:sz w:val="24"/>
        </w:rPr>
        <w:t>风险信息，落实相关工作要求。</w:t>
      </w:r>
    </w:p>
    <w:p w14:paraId="263C53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合</w:t>
      </w:r>
      <w:proofErr w:type="gramStart"/>
      <w:r>
        <w:rPr>
          <w:rFonts w:ascii="宋体" w:eastAsia="宋体" w:hAnsi="宋体" w:cs="宋体" w:hint="eastAsia"/>
          <w:sz w:val="24"/>
        </w:rPr>
        <w:t>规</w:t>
      </w:r>
      <w:proofErr w:type="gramEnd"/>
      <w:r>
        <w:rPr>
          <w:rFonts w:ascii="宋体" w:eastAsia="宋体" w:hAnsi="宋体" w:cs="宋体" w:hint="eastAsia"/>
          <w:sz w:val="24"/>
        </w:rPr>
        <w:t>管理机构</w:t>
      </w:r>
    </w:p>
    <w:p w14:paraId="7362D8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企业可根据业务性质、地域范围、监管要求等设置相应的合</w:t>
      </w:r>
      <w:proofErr w:type="gramStart"/>
      <w:r>
        <w:rPr>
          <w:rFonts w:ascii="宋体" w:eastAsia="宋体" w:hAnsi="宋体" w:cs="宋体" w:hint="eastAsia"/>
          <w:sz w:val="24"/>
        </w:rPr>
        <w:t>规</w:t>
      </w:r>
      <w:proofErr w:type="gramEnd"/>
      <w:r>
        <w:rPr>
          <w:rFonts w:ascii="宋体" w:eastAsia="宋体" w:hAnsi="宋体" w:cs="宋体" w:hint="eastAsia"/>
          <w:sz w:val="24"/>
        </w:rPr>
        <w:t>管理机构。合</w:t>
      </w:r>
      <w:proofErr w:type="gramStart"/>
      <w:r>
        <w:rPr>
          <w:rFonts w:ascii="宋体" w:eastAsia="宋体" w:hAnsi="宋体" w:cs="宋体" w:hint="eastAsia"/>
          <w:sz w:val="24"/>
        </w:rPr>
        <w:t>规</w:t>
      </w:r>
      <w:proofErr w:type="gramEnd"/>
      <w:r>
        <w:rPr>
          <w:rFonts w:ascii="宋体" w:eastAsia="宋体" w:hAnsi="宋体" w:cs="宋体" w:hint="eastAsia"/>
          <w:sz w:val="24"/>
        </w:rPr>
        <w:t>管理机构一般由合</w:t>
      </w:r>
      <w:proofErr w:type="gramStart"/>
      <w:r>
        <w:rPr>
          <w:rFonts w:ascii="宋体" w:eastAsia="宋体" w:hAnsi="宋体" w:cs="宋体" w:hint="eastAsia"/>
          <w:sz w:val="24"/>
        </w:rPr>
        <w:t>规</w:t>
      </w:r>
      <w:proofErr w:type="gramEnd"/>
      <w:r>
        <w:rPr>
          <w:rFonts w:ascii="宋体" w:eastAsia="宋体" w:hAnsi="宋体" w:cs="宋体" w:hint="eastAsia"/>
          <w:sz w:val="24"/>
        </w:rPr>
        <w:t>委员会、合</w:t>
      </w:r>
      <w:proofErr w:type="gramStart"/>
      <w:r>
        <w:rPr>
          <w:rFonts w:ascii="宋体" w:eastAsia="宋体" w:hAnsi="宋体" w:cs="宋体" w:hint="eastAsia"/>
          <w:sz w:val="24"/>
        </w:rPr>
        <w:t>规</w:t>
      </w:r>
      <w:proofErr w:type="gramEnd"/>
      <w:r>
        <w:rPr>
          <w:rFonts w:ascii="宋体" w:eastAsia="宋体" w:hAnsi="宋体" w:cs="宋体" w:hint="eastAsia"/>
          <w:sz w:val="24"/>
        </w:rPr>
        <w:t>负责人和合</w:t>
      </w:r>
      <w:proofErr w:type="gramStart"/>
      <w:r>
        <w:rPr>
          <w:rFonts w:ascii="宋体" w:eastAsia="宋体" w:hAnsi="宋体" w:cs="宋体" w:hint="eastAsia"/>
          <w:sz w:val="24"/>
        </w:rPr>
        <w:t>规</w:t>
      </w:r>
      <w:proofErr w:type="gramEnd"/>
      <w:r>
        <w:rPr>
          <w:rFonts w:ascii="宋体" w:eastAsia="宋体" w:hAnsi="宋体" w:cs="宋体" w:hint="eastAsia"/>
          <w:sz w:val="24"/>
        </w:rPr>
        <w:t>管理部门组成。尚不具备条件设立专门合</w:t>
      </w:r>
      <w:proofErr w:type="gramStart"/>
      <w:r>
        <w:rPr>
          <w:rFonts w:ascii="宋体" w:eastAsia="宋体" w:hAnsi="宋体" w:cs="宋体" w:hint="eastAsia"/>
          <w:sz w:val="24"/>
        </w:rPr>
        <w:t>规</w:t>
      </w:r>
      <w:proofErr w:type="gramEnd"/>
      <w:r>
        <w:rPr>
          <w:rFonts w:ascii="宋体" w:eastAsia="宋体" w:hAnsi="宋体" w:cs="宋体" w:hint="eastAsia"/>
          <w:sz w:val="24"/>
        </w:rPr>
        <w:t>管理机构的企业，可由相关部门（如法律事务部门、风险防控部门等）履行合</w:t>
      </w:r>
      <w:proofErr w:type="gramStart"/>
      <w:r>
        <w:rPr>
          <w:rFonts w:ascii="宋体" w:eastAsia="宋体" w:hAnsi="宋体" w:cs="宋体" w:hint="eastAsia"/>
          <w:sz w:val="24"/>
        </w:rPr>
        <w:t>规</w:t>
      </w:r>
      <w:proofErr w:type="gramEnd"/>
      <w:r>
        <w:rPr>
          <w:rFonts w:ascii="宋体" w:eastAsia="宋体" w:hAnsi="宋体" w:cs="宋体" w:hint="eastAsia"/>
          <w:sz w:val="24"/>
        </w:rPr>
        <w:t>管理职责，同时明确合</w:t>
      </w:r>
      <w:proofErr w:type="gramStart"/>
      <w:r>
        <w:rPr>
          <w:rFonts w:ascii="宋体" w:eastAsia="宋体" w:hAnsi="宋体" w:cs="宋体" w:hint="eastAsia"/>
          <w:sz w:val="24"/>
        </w:rPr>
        <w:t>规</w:t>
      </w:r>
      <w:proofErr w:type="gramEnd"/>
      <w:r>
        <w:rPr>
          <w:rFonts w:ascii="宋体" w:eastAsia="宋体" w:hAnsi="宋体" w:cs="宋体" w:hint="eastAsia"/>
          <w:sz w:val="24"/>
        </w:rPr>
        <w:t>负责人。</w:t>
      </w:r>
    </w:p>
    <w:p w14:paraId="32165F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（一）合</w:t>
      </w:r>
      <w:proofErr w:type="gramStart"/>
      <w:r>
        <w:rPr>
          <w:rFonts w:ascii="宋体" w:eastAsia="宋体" w:hAnsi="宋体" w:cs="宋体" w:hint="eastAsia"/>
          <w:sz w:val="24"/>
        </w:rPr>
        <w:t>规</w:t>
      </w:r>
      <w:proofErr w:type="gramEnd"/>
      <w:r>
        <w:rPr>
          <w:rFonts w:ascii="宋体" w:eastAsia="宋体" w:hAnsi="宋体" w:cs="宋体" w:hint="eastAsia"/>
          <w:sz w:val="24"/>
        </w:rPr>
        <w:t>委员会</w:t>
      </w:r>
    </w:p>
    <w:p w14:paraId="1F51D8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企业可结合实际设立合</w:t>
      </w:r>
      <w:proofErr w:type="gramStart"/>
      <w:r>
        <w:rPr>
          <w:rFonts w:ascii="宋体" w:eastAsia="宋体" w:hAnsi="宋体" w:cs="宋体" w:hint="eastAsia"/>
          <w:sz w:val="24"/>
        </w:rPr>
        <w:t>规</w:t>
      </w:r>
      <w:proofErr w:type="gramEnd"/>
      <w:r>
        <w:rPr>
          <w:rFonts w:ascii="宋体" w:eastAsia="宋体" w:hAnsi="宋体" w:cs="宋体" w:hint="eastAsia"/>
          <w:sz w:val="24"/>
        </w:rPr>
        <w:t>委员会，作为企业合</w:t>
      </w:r>
      <w:proofErr w:type="gramStart"/>
      <w:r>
        <w:rPr>
          <w:rFonts w:ascii="宋体" w:eastAsia="宋体" w:hAnsi="宋体" w:cs="宋体" w:hint="eastAsia"/>
          <w:sz w:val="24"/>
        </w:rPr>
        <w:t>规</w:t>
      </w:r>
      <w:proofErr w:type="gramEnd"/>
      <w:r>
        <w:rPr>
          <w:rFonts w:ascii="宋体" w:eastAsia="宋体" w:hAnsi="宋体" w:cs="宋体" w:hint="eastAsia"/>
          <w:sz w:val="24"/>
        </w:rPr>
        <w:t>管理体系的最高负责机构。合</w:t>
      </w:r>
      <w:proofErr w:type="gramStart"/>
      <w:r>
        <w:rPr>
          <w:rFonts w:ascii="宋体" w:eastAsia="宋体" w:hAnsi="宋体" w:cs="宋体" w:hint="eastAsia"/>
          <w:sz w:val="24"/>
        </w:rPr>
        <w:t>规</w:t>
      </w:r>
      <w:proofErr w:type="gramEnd"/>
      <w:r>
        <w:rPr>
          <w:rFonts w:ascii="宋体" w:eastAsia="宋体" w:hAnsi="宋体" w:cs="宋体" w:hint="eastAsia"/>
          <w:sz w:val="24"/>
        </w:rPr>
        <w:t>委员会一般应履行以下合</w:t>
      </w:r>
      <w:proofErr w:type="gramStart"/>
      <w:r>
        <w:rPr>
          <w:rFonts w:ascii="宋体" w:eastAsia="宋体" w:hAnsi="宋体" w:cs="宋体" w:hint="eastAsia"/>
          <w:sz w:val="24"/>
        </w:rPr>
        <w:t>规</w:t>
      </w:r>
      <w:proofErr w:type="gramEnd"/>
      <w:r>
        <w:rPr>
          <w:rFonts w:ascii="宋体" w:eastAsia="宋体" w:hAnsi="宋体" w:cs="宋体" w:hint="eastAsia"/>
          <w:sz w:val="24"/>
        </w:rPr>
        <w:t>职责：</w:t>
      </w:r>
    </w:p>
    <w:p w14:paraId="21DEDE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1.确认合</w:t>
      </w:r>
      <w:proofErr w:type="gramStart"/>
      <w:r>
        <w:rPr>
          <w:rFonts w:ascii="宋体" w:eastAsia="宋体" w:hAnsi="宋体" w:cs="宋体" w:hint="eastAsia"/>
          <w:sz w:val="24"/>
        </w:rPr>
        <w:t>规</w:t>
      </w:r>
      <w:proofErr w:type="gramEnd"/>
      <w:r>
        <w:rPr>
          <w:rFonts w:ascii="宋体" w:eastAsia="宋体" w:hAnsi="宋体" w:cs="宋体" w:hint="eastAsia"/>
          <w:sz w:val="24"/>
        </w:rPr>
        <w:t>管理战略，明确合</w:t>
      </w:r>
      <w:proofErr w:type="gramStart"/>
      <w:r>
        <w:rPr>
          <w:rFonts w:ascii="宋体" w:eastAsia="宋体" w:hAnsi="宋体" w:cs="宋体" w:hint="eastAsia"/>
          <w:sz w:val="24"/>
        </w:rPr>
        <w:t>规</w:t>
      </w:r>
      <w:proofErr w:type="gramEnd"/>
      <w:r>
        <w:rPr>
          <w:rFonts w:ascii="宋体" w:eastAsia="宋体" w:hAnsi="宋体" w:cs="宋体" w:hint="eastAsia"/>
          <w:sz w:val="24"/>
        </w:rPr>
        <w:t>管理目标。</w:t>
      </w:r>
    </w:p>
    <w:p w14:paraId="7E0549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2.建立和完善企业合</w:t>
      </w:r>
      <w:proofErr w:type="gramStart"/>
      <w:r>
        <w:rPr>
          <w:rFonts w:ascii="宋体" w:eastAsia="宋体" w:hAnsi="宋体" w:cs="宋体" w:hint="eastAsia"/>
          <w:sz w:val="24"/>
        </w:rPr>
        <w:t>规</w:t>
      </w:r>
      <w:proofErr w:type="gramEnd"/>
      <w:r>
        <w:rPr>
          <w:rFonts w:ascii="宋体" w:eastAsia="宋体" w:hAnsi="宋体" w:cs="宋体" w:hint="eastAsia"/>
          <w:sz w:val="24"/>
        </w:rPr>
        <w:t>管理体系，审批合</w:t>
      </w:r>
      <w:proofErr w:type="gramStart"/>
      <w:r>
        <w:rPr>
          <w:rFonts w:ascii="宋体" w:eastAsia="宋体" w:hAnsi="宋体" w:cs="宋体" w:hint="eastAsia"/>
          <w:sz w:val="24"/>
        </w:rPr>
        <w:t>规</w:t>
      </w:r>
      <w:proofErr w:type="gramEnd"/>
      <w:r>
        <w:rPr>
          <w:rFonts w:ascii="宋体" w:eastAsia="宋体" w:hAnsi="宋体" w:cs="宋体" w:hint="eastAsia"/>
          <w:sz w:val="24"/>
        </w:rPr>
        <w:t>管理制度、程序和重大合</w:t>
      </w:r>
      <w:proofErr w:type="gramStart"/>
      <w:r>
        <w:rPr>
          <w:rFonts w:ascii="宋体" w:eastAsia="宋体" w:hAnsi="宋体" w:cs="宋体" w:hint="eastAsia"/>
          <w:sz w:val="24"/>
        </w:rPr>
        <w:t>规</w:t>
      </w:r>
      <w:proofErr w:type="gramEnd"/>
      <w:r>
        <w:rPr>
          <w:rFonts w:ascii="宋体" w:eastAsia="宋体" w:hAnsi="宋体" w:cs="宋体" w:hint="eastAsia"/>
          <w:sz w:val="24"/>
        </w:rPr>
        <w:t>风险管理方案。</w:t>
      </w:r>
    </w:p>
    <w:p w14:paraId="2BD2A1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3.听取合</w:t>
      </w:r>
      <w:proofErr w:type="gramStart"/>
      <w:r>
        <w:rPr>
          <w:rFonts w:ascii="宋体" w:eastAsia="宋体" w:hAnsi="宋体" w:cs="宋体" w:hint="eastAsia"/>
          <w:sz w:val="24"/>
        </w:rPr>
        <w:t>规</w:t>
      </w:r>
      <w:proofErr w:type="gramEnd"/>
      <w:r>
        <w:rPr>
          <w:rFonts w:ascii="宋体" w:eastAsia="宋体" w:hAnsi="宋体" w:cs="宋体" w:hint="eastAsia"/>
          <w:sz w:val="24"/>
        </w:rPr>
        <w:t>管理工作汇报，指导、监督、评价合</w:t>
      </w:r>
      <w:proofErr w:type="gramStart"/>
      <w:r>
        <w:rPr>
          <w:rFonts w:ascii="宋体" w:eastAsia="宋体" w:hAnsi="宋体" w:cs="宋体" w:hint="eastAsia"/>
          <w:sz w:val="24"/>
        </w:rPr>
        <w:t>规</w:t>
      </w:r>
      <w:proofErr w:type="gramEnd"/>
      <w:r>
        <w:rPr>
          <w:rFonts w:ascii="宋体" w:eastAsia="宋体" w:hAnsi="宋体" w:cs="宋体" w:hint="eastAsia"/>
          <w:sz w:val="24"/>
        </w:rPr>
        <w:t>管理工作。</w:t>
      </w:r>
    </w:p>
    <w:p w14:paraId="4A81B5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（二）合</w:t>
      </w:r>
      <w:proofErr w:type="gramStart"/>
      <w:r>
        <w:rPr>
          <w:rFonts w:ascii="宋体" w:eastAsia="宋体" w:hAnsi="宋体" w:cs="宋体" w:hint="eastAsia"/>
          <w:sz w:val="24"/>
        </w:rPr>
        <w:t>规</w:t>
      </w:r>
      <w:proofErr w:type="gramEnd"/>
      <w:r>
        <w:rPr>
          <w:rFonts w:ascii="宋体" w:eastAsia="宋体" w:hAnsi="宋体" w:cs="宋体" w:hint="eastAsia"/>
          <w:sz w:val="24"/>
        </w:rPr>
        <w:t>负责人</w:t>
      </w:r>
    </w:p>
    <w:p w14:paraId="6D2461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企业可结合实际任命专职的首席合</w:t>
      </w:r>
      <w:proofErr w:type="gramStart"/>
      <w:r>
        <w:rPr>
          <w:rFonts w:ascii="宋体" w:eastAsia="宋体" w:hAnsi="宋体" w:cs="宋体" w:hint="eastAsia"/>
          <w:sz w:val="24"/>
        </w:rPr>
        <w:t>规</w:t>
      </w:r>
      <w:proofErr w:type="gramEnd"/>
      <w:r>
        <w:rPr>
          <w:rFonts w:ascii="宋体" w:eastAsia="宋体" w:hAnsi="宋体" w:cs="宋体" w:hint="eastAsia"/>
          <w:sz w:val="24"/>
        </w:rPr>
        <w:t>官，也可由法律事务负责人或风险防控负责人等担任合</w:t>
      </w:r>
      <w:proofErr w:type="gramStart"/>
      <w:r>
        <w:rPr>
          <w:rFonts w:ascii="宋体" w:eastAsia="宋体" w:hAnsi="宋体" w:cs="宋体" w:hint="eastAsia"/>
          <w:sz w:val="24"/>
        </w:rPr>
        <w:t>规</w:t>
      </w:r>
      <w:proofErr w:type="gramEnd"/>
      <w:r>
        <w:rPr>
          <w:rFonts w:ascii="宋体" w:eastAsia="宋体" w:hAnsi="宋体" w:cs="宋体" w:hint="eastAsia"/>
          <w:sz w:val="24"/>
        </w:rPr>
        <w:t>负责人。首席合</w:t>
      </w:r>
      <w:proofErr w:type="gramStart"/>
      <w:r>
        <w:rPr>
          <w:rFonts w:ascii="宋体" w:eastAsia="宋体" w:hAnsi="宋体" w:cs="宋体" w:hint="eastAsia"/>
          <w:sz w:val="24"/>
        </w:rPr>
        <w:t>规</w:t>
      </w:r>
      <w:proofErr w:type="gramEnd"/>
      <w:r>
        <w:rPr>
          <w:rFonts w:ascii="宋体" w:eastAsia="宋体" w:hAnsi="宋体" w:cs="宋体" w:hint="eastAsia"/>
          <w:sz w:val="24"/>
        </w:rPr>
        <w:t>官或合</w:t>
      </w:r>
      <w:proofErr w:type="gramStart"/>
      <w:r>
        <w:rPr>
          <w:rFonts w:ascii="宋体" w:eastAsia="宋体" w:hAnsi="宋体" w:cs="宋体" w:hint="eastAsia"/>
          <w:sz w:val="24"/>
        </w:rPr>
        <w:t>规</w:t>
      </w:r>
      <w:proofErr w:type="gramEnd"/>
      <w:r>
        <w:rPr>
          <w:rFonts w:ascii="宋体" w:eastAsia="宋体" w:hAnsi="宋体" w:cs="宋体" w:hint="eastAsia"/>
          <w:sz w:val="24"/>
        </w:rPr>
        <w:t>负责人是企业合</w:t>
      </w:r>
      <w:proofErr w:type="gramStart"/>
      <w:r>
        <w:rPr>
          <w:rFonts w:ascii="宋体" w:eastAsia="宋体" w:hAnsi="宋体" w:cs="宋体" w:hint="eastAsia"/>
          <w:sz w:val="24"/>
        </w:rPr>
        <w:t>规</w:t>
      </w:r>
      <w:proofErr w:type="gramEnd"/>
      <w:r>
        <w:rPr>
          <w:rFonts w:ascii="宋体" w:eastAsia="宋体" w:hAnsi="宋体" w:cs="宋体" w:hint="eastAsia"/>
          <w:sz w:val="24"/>
        </w:rPr>
        <w:t>管理工作具体实</w:t>
      </w:r>
      <w:r>
        <w:rPr>
          <w:rFonts w:ascii="宋体" w:eastAsia="宋体" w:hAnsi="宋体" w:cs="宋体" w:hint="eastAsia"/>
          <w:sz w:val="24"/>
        </w:rPr>
        <w:lastRenderedPageBreak/>
        <w:t>施的负责人和日常监督者，不应分管与合</w:t>
      </w:r>
      <w:proofErr w:type="gramStart"/>
      <w:r>
        <w:rPr>
          <w:rFonts w:ascii="宋体" w:eastAsia="宋体" w:hAnsi="宋体" w:cs="宋体" w:hint="eastAsia"/>
          <w:sz w:val="24"/>
        </w:rPr>
        <w:t>规</w:t>
      </w:r>
      <w:proofErr w:type="gramEnd"/>
      <w:r>
        <w:rPr>
          <w:rFonts w:ascii="宋体" w:eastAsia="宋体" w:hAnsi="宋体" w:cs="宋体" w:hint="eastAsia"/>
          <w:sz w:val="24"/>
        </w:rPr>
        <w:t>管理相冲突的部门。首席合</w:t>
      </w:r>
      <w:proofErr w:type="gramStart"/>
      <w:r>
        <w:rPr>
          <w:rFonts w:ascii="宋体" w:eastAsia="宋体" w:hAnsi="宋体" w:cs="宋体" w:hint="eastAsia"/>
          <w:sz w:val="24"/>
        </w:rPr>
        <w:t>规</w:t>
      </w:r>
      <w:proofErr w:type="gramEnd"/>
      <w:r>
        <w:rPr>
          <w:rFonts w:ascii="宋体" w:eastAsia="宋体" w:hAnsi="宋体" w:cs="宋体" w:hint="eastAsia"/>
          <w:sz w:val="24"/>
        </w:rPr>
        <w:t>官或合</w:t>
      </w:r>
      <w:proofErr w:type="gramStart"/>
      <w:r>
        <w:rPr>
          <w:rFonts w:ascii="宋体" w:eastAsia="宋体" w:hAnsi="宋体" w:cs="宋体" w:hint="eastAsia"/>
          <w:sz w:val="24"/>
        </w:rPr>
        <w:t>规</w:t>
      </w:r>
      <w:proofErr w:type="gramEnd"/>
      <w:r>
        <w:rPr>
          <w:rFonts w:ascii="宋体" w:eastAsia="宋体" w:hAnsi="宋体" w:cs="宋体" w:hint="eastAsia"/>
          <w:sz w:val="24"/>
        </w:rPr>
        <w:t>负责人一般应履行以下合</w:t>
      </w:r>
      <w:proofErr w:type="gramStart"/>
      <w:r>
        <w:rPr>
          <w:rFonts w:ascii="宋体" w:eastAsia="宋体" w:hAnsi="宋体" w:cs="宋体" w:hint="eastAsia"/>
          <w:sz w:val="24"/>
        </w:rPr>
        <w:t>规</w:t>
      </w:r>
      <w:proofErr w:type="gramEnd"/>
      <w:r>
        <w:rPr>
          <w:rFonts w:ascii="宋体" w:eastAsia="宋体" w:hAnsi="宋体" w:cs="宋体" w:hint="eastAsia"/>
          <w:sz w:val="24"/>
        </w:rPr>
        <w:t>职责：</w:t>
      </w:r>
    </w:p>
    <w:p w14:paraId="27BD64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1.贯彻执行企业决策层对合</w:t>
      </w:r>
      <w:proofErr w:type="gramStart"/>
      <w:r>
        <w:rPr>
          <w:rFonts w:ascii="宋体" w:eastAsia="宋体" w:hAnsi="宋体" w:cs="宋体" w:hint="eastAsia"/>
          <w:sz w:val="24"/>
        </w:rPr>
        <w:t>规</w:t>
      </w:r>
      <w:proofErr w:type="gramEnd"/>
      <w:r>
        <w:rPr>
          <w:rFonts w:ascii="宋体" w:eastAsia="宋体" w:hAnsi="宋体" w:cs="宋体" w:hint="eastAsia"/>
          <w:sz w:val="24"/>
        </w:rPr>
        <w:t>管理工作的各项要求，全面负责企业的合</w:t>
      </w:r>
      <w:proofErr w:type="gramStart"/>
      <w:r>
        <w:rPr>
          <w:rFonts w:ascii="宋体" w:eastAsia="宋体" w:hAnsi="宋体" w:cs="宋体" w:hint="eastAsia"/>
          <w:sz w:val="24"/>
        </w:rPr>
        <w:t>规</w:t>
      </w:r>
      <w:proofErr w:type="gramEnd"/>
      <w:r>
        <w:rPr>
          <w:rFonts w:ascii="宋体" w:eastAsia="宋体" w:hAnsi="宋体" w:cs="宋体" w:hint="eastAsia"/>
          <w:sz w:val="24"/>
        </w:rPr>
        <w:t>管理工作。</w:t>
      </w:r>
    </w:p>
    <w:p w14:paraId="27CB76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2.协调合</w:t>
      </w:r>
      <w:proofErr w:type="gramStart"/>
      <w:r>
        <w:rPr>
          <w:rFonts w:ascii="宋体" w:eastAsia="宋体" w:hAnsi="宋体" w:cs="宋体" w:hint="eastAsia"/>
          <w:sz w:val="24"/>
        </w:rPr>
        <w:t>规</w:t>
      </w:r>
      <w:proofErr w:type="gramEnd"/>
      <w:r>
        <w:rPr>
          <w:rFonts w:ascii="宋体" w:eastAsia="宋体" w:hAnsi="宋体" w:cs="宋体" w:hint="eastAsia"/>
          <w:sz w:val="24"/>
        </w:rPr>
        <w:t>管理与企业各项业务之间的关系，监督合</w:t>
      </w:r>
      <w:proofErr w:type="gramStart"/>
      <w:r>
        <w:rPr>
          <w:rFonts w:ascii="宋体" w:eastAsia="宋体" w:hAnsi="宋体" w:cs="宋体" w:hint="eastAsia"/>
          <w:sz w:val="24"/>
        </w:rPr>
        <w:t>规</w:t>
      </w:r>
      <w:proofErr w:type="gramEnd"/>
      <w:r>
        <w:rPr>
          <w:rFonts w:ascii="宋体" w:eastAsia="宋体" w:hAnsi="宋体" w:cs="宋体" w:hint="eastAsia"/>
          <w:sz w:val="24"/>
        </w:rPr>
        <w:t>管理执行情况，及时解决合</w:t>
      </w:r>
      <w:proofErr w:type="gramStart"/>
      <w:r>
        <w:rPr>
          <w:rFonts w:ascii="宋体" w:eastAsia="宋体" w:hAnsi="宋体" w:cs="宋体" w:hint="eastAsia"/>
          <w:sz w:val="24"/>
        </w:rPr>
        <w:t>规</w:t>
      </w:r>
      <w:proofErr w:type="gramEnd"/>
      <w:r>
        <w:rPr>
          <w:rFonts w:ascii="宋体" w:eastAsia="宋体" w:hAnsi="宋体" w:cs="宋体" w:hint="eastAsia"/>
          <w:sz w:val="24"/>
        </w:rPr>
        <w:t>管理中出现的重大问题。</w:t>
      </w:r>
    </w:p>
    <w:p w14:paraId="4385FF5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3.领导合</w:t>
      </w:r>
      <w:proofErr w:type="gramStart"/>
      <w:r>
        <w:rPr>
          <w:rFonts w:ascii="宋体" w:eastAsia="宋体" w:hAnsi="宋体" w:cs="宋体" w:hint="eastAsia"/>
          <w:sz w:val="24"/>
        </w:rPr>
        <w:t>规</w:t>
      </w:r>
      <w:proofErr w:type="gramEnd"/>
      <w:r>
        <w:rPr>
          <w:rFonts w:ascii="宋体" w:eastAsia="宋体" w:hAnsi="宋体" w:cs="宋体" w:hint="eastAsia"/>
          <w:sz w:val="24"/>
        </w:rPr>
        <w:t>管理部门，加强合</w:t>
      </w:r>
      <w:proofErr w:type="gramStart"/>
      <w:r>
        <w:rPr>
          <w:rFonts w:ascii="宋体" w:eastAsia="宋体" w:hAnsi="宋体" w:cs="宋体" w:hint="eastAsia"/>
          <w:sz w:val="24"/>
        </w:rPr>
        <w:t>规</w:t>
      </w:r>
      <w:proofErr w:type="gramEnd"/>
      <w:r>
        <w:rPr>
          <w:rFonts w:ascii="宋体" w:eastAsia="宋体" w:hAnsi="宋体" w:cs="宋体" w:hint="eastAsia"/>
          <w:sz w:val="24"/>
        </w:rPr>
        <w:t>管理队伍建设，做好人员选聘培养，监督合</w:t>
      </w:r>
      <w:proofErr w:type="gramStart"/>
      <w:r>
        <w:rPr>
          <w:rFonts w:ascii="宋体" w:eastAsia="宋体" w:hAnsi="宋体" w:cs="宋体" w:hint="eastAsia"/>
          <w:sz w:val="24"/>
        </w:rPr>
        <w:t>规</w:t>
      </w:r>
      <w:proofErr w:type="gramEnd"/>
      <w:r>
        <w:rPr>
          <w:rFonts w:ascii="宋体" w:eastAsia="宋体" w:hAnsi="宋体" w:cs="宋体" w:hint="eastAsia"/>
          <w:sz w:val="24"/>
        </w:rPr>
        <w:t>管理部门认真有效地开展工作。</w:t>
      </w:r>
    </w:p>
    <w:p w14:paraId="06A1EC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（三）合</w:t>
      </w:r>
      <w:proofErr w:type="gramStart"/>
      <w:r>
        <w:rPr>
          <w:rFonts w:ascii="宋体" w:eastAsia="宋体" w:hAnsi="宋体" w:cs="宋体" w:hint="eastAsia"/>
          <w:sz w:val="24"/>
        </w:rPr>
        <w:t>规</w:t>
      </w:r>
      <w:proofErr w:type="gramEnd"/>
      <w:r>
        <w:rPr>
          <w:rFonts w:ascii="宋体" w:eastAsia="宋体" w:hAnsi="宋体" w:cs="宋体" w:hint="eastAsia"/>
          <w:sz w:val="24"/>
        </w:rPr>
        <w:t>管理部门</w:t>
      </w:r>
    </w:p>
    <w:p w14:paraId="0D0BE4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企业可结合实际设置专职的合</w:t>
      </w:r>
      <w:proofErr w:type="gramStart"/>
      <w:r>
        <w:rPr>
          <w:rFonts w:ascii="宋体" w:eastAsia="宋体" w:hAnsi="宋体" w:cs="宋体" w:hint="eastAsia"/>
          <w:sz w:val="24"/>
        </w:rPr>
        <w:t>规</w:t>
      </w:r>
      <w:proofErr w:type="gramEnd"/>
      <w:r>
        <w:rPr>
          <w:rFonts w:ascii="宋体" w:eastAsia="宋体" w:hAnsi="宋体" w:cs="宋体" w:hint="eastAsia"/>
          <w:sz w:val="24"/>
        </w:rPr>
        <w:t>管理部门，或者由具有合</w:t>
      </w:r>
      <w:proofErr w:type="gramStart"/>
      <w:r>
        <w:rPr>
          <w:rFonts w:ascii="宋体" w:eastAsia="宋体" w:hAnsi="宋体" w:cs="宋体" w:hint="eastAsia"/>
          <w:sz w:val="24"/>
        </w:rPr>
        <w:t>规</w:t>
      </w:r>
      <w:proofErr w:type="gramEnd"/>
      <w:r>
        <w:rPr>
          <w:rFonts w:ascii="宋体" w:eastAsia="宋体" w:hAnsi="宋体" w:cs="宋体" w:hint="eastAsia"/>
          <w:sz w:val="24"/>
        </w:rPr>
        <w:t>管理职能的相关部门承担合</w:t>
      </w:r>
      <w:proofErr w:type="gramStart"/>
      <w:r>
        <w:rPr>
          <w:rFonts w:ascii="宋体" w:eastAsia="宋体" w:hAnsi="宋体" w:cs="宋体" w:hint="eastAsia"/>
          <w:sz w:val="24"/>
        </w:rPr>
        <w:t>规</w:t>
      </w:r>
      <w:proofErr w:type="gramEnd"/>
      <w:r>
        <w:rPr>
          <w:rFonts w:ascii="宋体" w:eastAsia="宋体" w:hAnsi="宋体" w:cs="宋体" w:hint="eastAsia"/>
          <w:sz w:val="24"/>
        </w:rPr>
        <w:t>管理职责。合</w:t>
      </w:r>
      <w:proofErr w:type="gramStart"/>
      <w:r>
        <w:rPr>
          <w:rFonts w:ascii="宋体" w:eastAsia="宋体" w:hAnsi="宋体" w:cs="宋体" w:hint="eastAsia"/>
          <w:sz w:val="24"/>
        </w:rPr>
        <w:t>规</w:t>
      </w:r>
      <w:proofErr w:type="gramEnd"/>
      <w:r>
        <w:rPr>
          <w:rFonts w:ascii="宋体" w:eastAsia="宋体" w:hAnsi="宋体" w:cs="宋体" w:hint="eastAsia"/>
          <w:sz w:val="24"/>
        </w:rPr>
        <w:t>管理部门一般应履行以下合</w:t>
      </w:r>
      <w:proofErr w:type="gramStart"/>
      <w:r>
        <w:rPr>
          <w:rFonts w:ascii="宋体" w:eastAsia="宋体" w:hAnsi="宋体" w:cs="宋体" w:hint="eastAsia"/>
          <w:sz w:val="24"/>
        </w:rPr>
        <w:t>规</w:t>
      </w:r>
      <w:proofErr w:type="gramEnd"/>
      <w:r>
        <w:rPr>
          <w:rFonts w:ascii="宋体" w:eastAsia="宋体" w:hAnsi="宋体" w:cs="宋体" w:hint="eastAsia"/>
          <w:sz w:val="24"/>
        </w:rPr>
        <w:t>职责：</w:t>
      </w:r>
    </w:p>
    <w:p w14:paraId="1C3D20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1.持续关注我国及业务所涉国家（地区）法律法规、监管要求和国际规则的最新发展，及时提供合</w:t>
      </w:r>
      <w:proofErr w:type="gramStart"/>
      <w:r>
        <w:rPr>
          <w:rFonts w:ascii="宋体" w:eastAsia="宋体" w:hAnsi="宋体" w:cs="宋体" w:hint="eastAsia"/>
          <w:sz w:val="24"/>
        </w:rPr>
        <w:t>规</w:t>
      </w:r>
      <w:proofErr w:type="gramEnd"/>
      <w:r>
        <w:rPr>
          <w:rFonts w:ascii="宋体" w:eastAsia="宋体" w:hAnsi="宋体" w:cs="宋体" w:hint="eastAsia"/>
          <w:sz w:val="24"/>
        </w:rPr>
        <w:t>建议。</w:t>
      </w:r>
    </w:p>
    <w:p w14:paraId="702081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2.制定企业的合</w:t>
      </w:r>
      <w:proofErr w:type="gramStart"/>
      <w:r>
        <w:rPr>
          <w:rFonts w:ascii="宋体" w:eastAsia="宋体" w:hAnsi="宋体" w:cs="宋体" w:hint="eastAsia"/>
          <w:sz w:val="24"/>
        </w:rPr>
        <w:t>规</w:t>
      </w:r>
      <w:proofErr w:type="gramEnd"/>
      <w:r>
        <w:rPr>
          <w:rFonts w:ascii="宋体" w:eastAsia="宋体" w:hAnsi="宋体" w:cs="宋体" w:hint="eastAsia"/>
          <w:sz w:val="24"/>
        </w:rPr>
        <w:t>管理制度和年度合</w:t>
      </w:r>
      <w:proofErr w:type="gramStart"/>
      <w:r>
        <w:rPr>
          <w:rFonts w:ascii="宋体" w:eastAsia="宋体" w:hAnsi="宋体" w:cs="宋体" w:hint="eastAsia"/>
          <w:sz w:val="24"/>
        </w:rPr>
        <w:t>规</w:t>
      </w:r>
      <w:proofErr w:type="gramEnd"/>
      <w:r>
        <w:rPr>
          <w:rFonts w:ascii="宋体" w:eastAsia="宋体" w:hAnsi="宋体" w:cs="宋体" w:hint="eastAsia"/>
          <w:sz w:val="24"/>
        </w:rPr>
        <w:t>管理计划，并推动其贯彻落实。</w:t>
      </w:r>
    </w:p>
    <w:p w14:paraId="2A09D0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3.审查评价企业规章制度和业务流程的合</w:t>
      </w:r>
      <w:proofErr w:type="gramStart"/>
      <w:r>
        <w:rPr>
          <w:rFonts w:ascii="宋体" w:eastAsia="宋体" w:hAnsi="宋体" w:cs="宋体" w:hint="eastAsia"/>
          <w:sz w:val="24"/>
        </w:rPr>
        <w:t>规</w:t>
      </w:r>
      <w:proofErr w:type="gramEnd"/>
      <w:r>
        <w:rPr>
          <w:rFonts w:ascii="宋体" w:eastAsia="宋体" w:hAnsi="宋体" w:cs="宋体" w:hint="eastAsia"/>
          <w:sz w:val="24"/>
        </w:rPr>
        <w:t>性，组织、协调和监督各业务部门对规章制度和业务流程进行梳理和修订。</w:t>
      </w:r>
    </w:p>
    <w:p w14:paraId="5592AC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4.组织或协助业务部门、人事部门开展合</w:t>
      </w:r>
      <w:proofErr w:type="gramStart"/>
      <w:r>
        <w:rPr>
          <w:rFonts w:ascii="宋体" w:eastAsia="宋体" w:hAnsi="宋体" w:cs="宋体" w:hint="eastAsia"/>
          <w:sz w:val="24"/>
        </w:rPr>
        <w:t>规</w:t>
      </w:r>
      <w:proofErr w:type="gramEnd"/>
      <w:r>
        <w:rPr>
          <w:rFonts w:ascii="宋体" w:eastAsia="宋体" w:hAnsi="宋体" w:cs="宋体" w:hint="eastAsia"/>
          <w:sz w:val="24"/>
        </w:rPr>
        <w:t>培训，并向员工提供合</w:t>
      </w:r>
      <w:proofErr w:type="gramStart"/>
      <w:r>
        <w:rPr>
          <w:rFonts w:ascii="宋体" w:eastAsia="宋体" w:hAnsi="宋体" w:cs="宋体" w:hint="eastAsia"/>
          <w:sz w:val="24"/>
        </w:rPr>
        <w:t>规</w:t>
      </w:r>
      <w:proofErr w:type="gramEnd"/>
      <w:r>
        <w:rPr>
          <w:rFonts w:ascii="宋体" w:eastAsia="宋体" w:hAnsi="宋体" w:cs="宋体" w:hint="eastAsia"/>
          <w:sz w:val="24"/>
        </w:rPr>
        <w:t>咨询。</w:t>
      </w:r>
    </w:p>
    <w:p w14:paraId="76F57C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5.积极主动识别和评估与企业境外经营相关的合</w:t>
      </w:r>
      <w:proofErr w:type="gramStart"/>
      <w:r>
        <w:rPr>
          <w:rFonts w:ascii="宋体" w:eastAsia="宋体" w:hAnsi="宋体" w:cs="宋体" w:hint="eastAsia"/>
          <w:sz w:val="24"/>
        </w:rPr>
        <w:t>规</w:t>
      </w:r>
      <w:proofErr w:type="gramEnd"/>
      <w:r>
        <w:rPr>
          <w:rFonts w:ascii="宋体" w:eastAsia="宋体" w:hAnsi="宋体" w:cs="宋体" w:hint="eastAsia"/>
          <w:sz w:val="24"/>
        </w:rPr>
        <w:t>风险，并监管与供应商、代理商、分销商、咨询顾问和承包商等第三方（以下简称“第三方”）相关的合</w:t>
      </w:r>
      <w:proofErr w:type="gramStart"/>
      <w:r>
        <w:rPr>
          <w:rFonts w:ascii="宋体" w:eastAsia="宋体" w:hAnsi="宋体" w:cs="宋体" w:hint="eastAsia"/>
          <w:sz w:val="24"/>
        </w:rPr>
        <w:t>规</w:t>
      </w:r>
      <w:proofErr w:type="gramEnd"/>
      <w:r>
        <w:rPr>
          <w:rFonts w:ascii="宋体" w:eastAsia="宋体" w:hAnsi="宋体" w:cs="宋体" w:hint="eastAsia"/>
          <w:sz w:val="24"/>
        </w:rPr>
        <w:t>风险。为新产品和新业务的开发提供必要的合</w:t>
      </w:r>
      <w:proofErr w:type="gramStart"/>
      <w:r>
        <w:rPr>
          <w:rFonts w:ascii="宋体" w:eastAsia="宋体" w:hAnsi="宋体" w:cs="宋体" w:hint="eastAsia"/>
          <w:sz w:val="24"/>
        </w:rPr>
        <w:t>规</w:t>
      </w:r>
      <w:proofErr w:type="gramEnd"/>
      <w:r>
        <w:rPr>
          <w:rFonts w:ascii="宋体" w:eastAsia="宋体" w:hAnsi="宋体" w:cs="宋体" w:hint="eastAsia"/>
          <w:sz w:val="24"/>
        </w:rPr>
        <w:t>性审查和测试，识别和评估新业务的拓展、新客户关系的建立以及客户关系发生重大变化等所产生的合</w:t>
      </w:r>
      <w:proofErr w:type="gramStart"/>
      <w:r>
        <w:rPr>
          <w:rFonts w:ascii="宋体" w:eastAsia="宋体" w:hAnsi="宋体" w:cs="宋体" w:hint="eastAsia"/>
          <w:sz w:val="24"/>
        </w:rPr>
        <w:t>规</w:t>
      </w:r>
      <w:proofErr w:type="gramEnd"/>
      <w:r>
        <w:rPr>
          <w:rFonts w:ascii="宋体" w:eastAsia="宋体" w:hAnsi="宋体" w:cs="宋体" w:hint="eastAsia"/>
          <w:sz w:val="24"/>
        </w:rPr>
        <w:t>风险，并制定应对措施。</w:t>
      </w:r>
    </w:p>
    <w:p w14:paraId="42B7DB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6.实施充分且具有代表性的合</w:t>
      </w:r>
      <w:proofErr w:type="gramStart"/>
      <w:r>
        <w:rPr>
          <w:rFonts w:ascii="宋体" w:eastAsia="宋体" w:hAnsi="宋体" w:cs="宋体" w:hint="eastAsia"/>
          <w:sz w:val="24"/>
        </w:rPr>
        <w:t>规</w:t>
      </w:r>
      <w:proofErr w:type="gramEnd"/>
      <w:r>
        <w:rPr>
          <w:rFonts w:ascii="宋体" w:eastAsia="宋体" w:hAnsi="宋体" w:cs="宋体" w:hint="eastAsia"/>
          <w:sz w:val="24"/>
        </w:rPr>
        <w:t>风险评估和测试，查找规章制度和业务流程存在的缺陷，并进行相应的调查。对已发生的合</w:t>
      </w:r>
      <w:proofErr w:type="gramStart"/>
      <w:r>
        <w:rPr>
          <w:rFonts w:ascii="宋体" w:eastAsia="宋体" w:hAnsi="宋体" w:cs="宋体" w:hint="eastAsia"/>
          <w:sz w:val="24"/>
        </w:rPr>
        <w:t>规</w:t>
      </w:r>
      <w:proofErr w:type="gramEnd"/>
      <w:r>
        <w:rPr>
          <w:rFonts w:ascii="宋体" w:eastAsia="宋体" w:hAnsi="宋体" w:cs="宋体" w:hint="eastAsia"/>
          <w:sz w:val="24"/>
        </w:rPr>
        <w:t>风险或合</w:t>
      </w:r>
      <w:proofErr w:type="gramStart"/>
      <w:r>
        <w:rPr>
          <w:rFonts w:ascii="宋体" w:eastAsia="宋体" w:hAnsi="宋体" w:cs="宋体" w:hint="eastAsia"/>
          <w:sz w:val="24"/>
        </w:rPr>
        <w:t>规</w:t>
      </w:r>
      <w:proofErr w:type="gramEnd"/>
      <w:r>
        <w:rPr>
          <w:rFonts w:ascii="宋体" w:eastAsia="宋体" w:hAnsi="宋体" w:cs="宋体" w:hint="eastAsia"/>
          <w:sz w:val="24"/>
        </w:rPr>
        <w:t>测试发现的合</w:t>
      </w:r>
      <w:proofErr w:type="gramStart"/>
      <w:r>
        <w:rPr>
          <w:rFonts w:ascii="宋体" w:eastAsia="宋体" w:hAnsi="宋体" w:cs="宋体" w:hint="eastAsia"/>
          <w:sz w:val="24"/>
        </w:rPr>
        <w:t>规</w:t>
      </w:r>
      <w:proofErr w:type="gramEnd"/>
      <w:r>
        <w:rPr>
          <w:rFonts w:ascii="宋体" w:eastAsia="宋体" w:hAnsi="宋体" w:cs="宋体" w:hint="eastAsia"/>
          <w:sz w:val="24"/>
        </w:rPr>
        <w:t>缺陷，应提出整改意见并监督有关部门进行整改。</w:t>
      </w:r>
    </w:p>
    <w:p w14:paraId="226ACD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7.针对合</w:t>
      </w:r>
      <w:proofErr w:type="gramStart"/>
      <w:r>
        <w:rPr>
          <w:rFonts w:ascii="宋体" w:eastAsia="宋体" w:hAnsi="宋体" w:cs="宋体" w:hint="eastAsia"/>
          <w:sz w:val="24"/>
        </w:rPr>
        <w:t>规</w:t>
      </w:r>
      <w:proofErr w:type="gramEnd"/>
      <w:r>
        <w:rPr>
          <w:rFonts w:ascii="宋体" w:eastAsia="宋体" w:hAnsi="宋体" w:cs="宋体" w:hint="eastAsia"/>
          <w:sz w:val="24"/>
        </w:rPr>
        <w:t>举报信息制定调查方案并开展调查。</w:t>
      </w:r>
    </w:p>
    <w:p w14:paraId="76670B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8.推动将合</w:t>
      </w:r>
      <w:proofErr w:type="gramStart"/>
      <w:r>
        <w:rPr>
          <w:rFonts w:ascii="宋体" w:eastAsia="宋体" w:hAnsi="宋体" w:cs="宋体" w:hint="eastAsia"/>
          <w:sz w:val="24"/>
        </w:rPr>
        <w:t>规</w:t>
      </w:r>
      <w:proofErr w:type="gramEnd"/>
      <w:r>
        <w:rPr>
          <w:rFonts w:ascii="宋体" w:eastAsia="宋体" w:hAnsi="宋体" w:cs="宋体" w:hint="eastAsia"/>
          <w:sz w:val="24"/>
        </w:rPr>
        <w:t>责任纳入岗位职责和员工绩效管理流程。建立合</w:t>
      </w:r>
      <w:proofErr w:type="gramStart"/>
      <w:r>
        <w:rPr>
          <w:rFonts w:ascii="宋体" w:eastAsia="宋体" w:hAnsi="宋体" w:cs="宋体" w:hint="eastAsia"/>
          <w:sz w:val="24"/>
        </w:rPr>
        <w:t>规</w:t>
      </w:r>
      <w:proofErr w:type="gramEnd"/>
      <w:r>
        <w:rPr>
          <w:rFonts w:ascii="宋体" w:eastAsia="宋体" w:hAnsi="宋体" w:cs="宋体" w:hint="eastAsia"/>
          <w:sz w:val="24"/>
        </w:rPr>
        <w:t>绩效指标，监控和衡量合</w:t>
      </w:r>
      <w:proofErr w:type="gramStart"/>
      <w:r>
        <w:rPr>
          <w:rFonts w:ascii="宋体" w:eastAsia="宋体" w:hAnsi="宋体" w:cs="宋体" w:hint="eastAsia"/>
          <w:sz w:val="24"/>
        </w:rPr>
        <w:t>规</w:t>
      </w:r>
      <w:proofErr w:type="gramEnd"/>
      <w:r>
        <w:rPr>
          <w:rFonts w:ascii="宋体" w:eastAsia="宋体" w:hAnsi="宋体" w:cs="宋体" w:hint="eastAsia"/>
          <w:sz w:val="24"/>
        </w:rPr>
        <w:t>绩效，识别改进需求。</w:t>
      </w:r>
    </w:p>
    <w:p w14:paraId="6A41F2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9.建立合</w:t>
      </w:r>
      <w:proofErr w:type="gramStart"/>
      <w:r>
        <w:rPr>
          <w:rFonts w:ascii="宋体" w:eastAsia="宋体" w:hAnsi="宋体" w:cs="宋体" w:hint="eastAsia"/>
          <w:sz w:val="24"/>
        </w:rPr>
        <w:t>规</w:t>
      </w:r>
      <w:proofErr w:type="gramEnd"/>
      <w:r>
        <w:rPr>
          <w:rFonts w:ascii="宋体" w:eastAsia="宋体" w:hAnsi="宋体" w:cs="宋体" w:hint="eastAsia"/>
          <w:sz w:val="24"/>
        </w:rPr>
        <w:t>报告和记录的台账，制定合</w:t>
      </w:r>
      <w:proofErr w:type="gramStart"/>
      <w:r>
        <w:rPr>
          <w:rFonts w:ascii="宋体" w:eastAsia="宋体" w:hAnsi="宋体" w:cs="宋体" w:hint="eastAsia"/>
          <w:sz w:val="24"/>
        </w:rPr>
        <w:t>规</w:t>
      </w:r>
      <w:proofErr w:type="gramEnd"/>
      <w:r>
        <w:rPr>
          <w:rFonts w:ascii="宋体" w:eastAsia="宋体" w:hAnsi="宋体" w:cs="宋体" w:hint="eastAsia"/>
          <w:sz w:val="24"/>
        </w:rPr>
        <w:t>资料管理流程。</w:t>
      </w:r>
    </w:p>
    <w:p w14:paraId="7F0C32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10.建立并保持与境内外监管机构日常的工作联系，跟踪和评估监管意见和监管要求的落实情况。</w:t>
      </w:r>
    </w:p>
    <w:p w14:paraId="11F1DA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合</w:t>
      </w:r>
      <w:proofErr w:type="gramStart"/>
      <w:r>
        <w:rPr>
          <w:rFonts w:ascii="宋体" w:eastAsia="宋体" w:hAnsi="宋体" w:cs="宋体" w:hint="eastAsia"/>
          <w:sz w:val="24"/>
        </w:rPr>
        <w:t>规</w:t>
      </w:r>
      <w:proofErr w:type="gramEnd"/>
      <w:r>
        <w:rPr>
          <w:rFonts w:ascii="宋体" w:eastAsia="宋体" w:hAnsi="宋体" w:cs="宋体" w:hint="eastAsia"/>
          <w:sz w:val="24"/>
        </w:rPr>
        <w:t>管理协调</w:t>
      </w:r>
    </w:p>
    <w:p w14:paraId="06588B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（一）合</w:t>
      </w:r>
      <w:proofErr w:type="gramStart"/>
      <w:r>
        <w:rPr>
          <w:rFonts w:ascii="宋体" w:eastAsia="宋体" w:hAnsi="宋体" w:cs="宋体" w:hint="eastAsia"/>
          <w:sz w:val="24"/>
        </w:rPr>
        <w:t>规</w:t>
      </w:r>
      <w:proofErr w:type="gramEnd"/>
      <w:r>
        <w:rPr>
          <w:rFonts w:ascii="宋体" w:eastAsia="宋体" w:hAnsi="宋体" w:cs="宋体" w:hint="eastAsia"/>
          <w:sz w:val="24"/>
        </w:rPr>
        <w:t>管理部门与业务部门分工协作</w:t>
      </w:r>
    </w:p>
    <w:p w14:paraId="0DFA60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管理需要合</w:t>
      </w:r>
      <w:proofErr w:type="gramStart"/>
      <w:r>
        <w:rPr>
          <w:rFonts w:ascii="宋体" w:eastAsia="宋体" w:hAnsi="宋体" w:cs="宋体" w:hint="eastAsia"/>
          <w:sz w:val="24"/>
        </w:rPr>
        <w:t>规</w:t>
      </w:r>
      <w:proofErr w:type="gramEnd"/>
      <w:r>
        <w:rPr>
          <w:rFonts w:ascii="宋体" w:eastAsia="宋体" w:hAnsi="宋体" w:cs="宋体" w:hint="eastAsia"/>
          <w:sz w:val="24"/>
        </w:rPr>
        <w:t>管理部门和业务部门密切配合。境外经营相关业务部门应主动进行日常合</w:t>
      </w:r>
      <w:proofErr w:type="gramStart"/>
      <w:r>
        <w:rPr>
          <w:rFonts w:ascii="宋体" w:eastAsia="宋体" w:hAnsi="宋体" w:cs="宋体" w:hint="eastAsia"/>
          <w:sz w:val="24"/>
        </w:rPr>
        <w:t>规</w:t>
      </w:r>
      <w:proofErr w:type="gramEnd"/>
      <w:r>
        <w:rPr>
          <w:rFonts w:ascii="宋体" w:eastAsia="宋体" w:hAnsi="宋体" w:cs="宋体" w:hint="eastAsia"/>
          <w:sz w:val="24"/>
        </w:rPr>
        <w:t>管理工作，识别业务范围内的合</w:t>
      </w:r>
      <w:proofErr w:type="gramStart"/>
      <w:r>
        <w:rPr>
          <w:rFonts w:ascii="宋体" w:eastAsia="宋体" w:hAnsi="宋体" w:cs="宋体" w:hint="eastAsia"/>
          <w:sz w:val="24"/>
        </w:rPr>
        <w:t>规</w:t>
      </w:r>
      <w:proofErr w:type="gramEnd"/>
      <w:r>
        <w:rPr>
          <w:rFonts w:ascii="宋体" w:eastAsia="宋体" w:hAnsi="宋体" w:cs="宋体" w:hint="eastAsia"/>
          <w:sz w:val="24"/>
        </w:rPr>
        <w:t>要求，制定并落实业务管理制度和风险防范措施，组织或配合</w:t>
      </w:r>
      <w:proofErr w:type="gramStart"/>
      <w:r>
        <w:rPr>
          <w:rFonts w:ascii="宋体" w:eastAsia="宋体" w:hAnsi="宋体" w:cs="宋体" w:hint="eastAsia"/>
          <w:sz w:val="24"/>
        </w:rPr>
        <w:t>合规</w:t>
      </w:r>
      <w:proofErr w:type="gramEnd"/>
      <w:r>
        <w:rPr>
          <w:rFonts w:ascii="宋体" w:eastAsia="宋体" w:hAnsi="宋体" w:cs="宋体" w:hint="eastAsia"/>
          <w:sz w:val="24"/>
        </w:rPr>
        <w:t>管理部门进行合</w:t>
      </w:r>
      <w:proofErr w:type="gramStart"/>
      <w:r>
        <w:rPr>
          <w:rFonts w:ascii="宋体" w:eastAsia="宋体" w:hAnsi="宋体" w:cs="宋体" w:hint="eastAsia"/>
          <w:sz w:val="24"/>
        </w:rPr>
        <w:t>规</w:t>
      </w:r>
      <w:proofErr w:type="gramEnd"/>
      <w:r>
        <w:rPr>
          <w:rFonts w:ascii="宋体" w:eastAsia="宋体" w:hAnsi="宋体" w:cs="宋体" w:hint="eastAsia"/>
          <w:sz w:val="24"/>
        </w:rPr>
        <w:t>审查和风险评估，组织或监督违规调查及整改工作。</w:t>
      </w:r>
    </w:p>
    <w:p w14:paraId="59579F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（二）合</w:t>
      </w:r>
      <w:proofErr w:type="gramStart"/>
      <w:r>
        <w:rPr>
          <w:rFonts w:ascii="宋体" w:eastAsia="宋体" w:hAnsi="宋体" w:cs="宋体" w:hint="eastAsia"/>
          <w:sz w:val="24"/>
        </w:rPr>
        <w:t>规</w:t>
      </w:r>
      <w:proofErr w:type="gramEnd"/>
      <w:r>
        <w:rPr>
          <w:rFonts w:ascii="宋体" w:eastAsia="宋体" w:hAnsi="宋体" w:cs="宋体" w:hint="eastAsia"/>
          <w:sz w:val="24"/>
        </w:rPr>
        <w:t>管理部门与其他监督部门分工协作</w:t>
      </w:r>
    </w:p>
    <w:p w14:paraId="118433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管理部门与其他具有合</w:t>
      </w:r>
      <w:proofErr w:type="gramStart"/>
      <w:r>
        <w:rPr>
          <w:rFonts w:ascii="宋体" w:eastAsia="宋体" w:hAnsi="宋体" w:cs="宋体" w:hint="eastAsia"/>
          <w:sz w:val="24"/>
        </w:rPr>
        <w:t>规</w:t>
      </w:r>
      <w:proofErr w:type="gramEnd"/>
      <w:r>
        <w:rPr>
          <w:rFonts w:ascii="宋体" w:eastAsia="宋体" w:hAnsi="宋体" w:cs="宋体" w:hint="eastAsia"/>
          <w:sz w:val="24"/>
        </w:rPr>
        <w:t>管理职能的监督部门（如审计部门、监察部门等）应建立明确的合作和信息交流机制，加强协调配合，形成管理合力。企业应根据风险防控需要以及各监督部门的职责分工划分合</w:t>
      </w:r>
      <w:proofErr w:type="gramStart"/>
      <w:r>
        <w:rPr>
          <w:rFonts w:ascii="宋体" w:eastAsia="宋体" w:hAnsi="宋体" w:cs="宋体" w:hint="eastAsia"/>
          <w:sz w:val="24"/>
        </w:rPr>
        <w:t>规</w:t>
      </w:r>
      <w:proofErr w:type="gramEnd"/>
      <w:r>
        <w:rPr>
          <w:rFonts w:ascii="宋体" w:eastAsia="宋体" w:hAnsi="宋体" w:cs="宋体" w:hint="eastAsia"/>
          <w:sz w:val="24"/>
        </w:rPr>
        <w:t>管理职责，确保各业务系统合</w:t>
      </w:r>
      <w:proofErr w:type="gramStart"/>
      <w:r>
        <w:rPr>
          <w:rFonts w:ascii="宋体" w:eastAsia="宋体" w:hAnsi="宋体" w:cs="宋体" w:hint="eastAsia"/>
          <w:sz w:val="24"/>
        </w:rPr>
        <w:t>规</w:t>
      </w:r>
      <w:proofErr w:type="gramEnd"/>
      <w:r>
        <w:rPr>
          <w:rFonts w:ascii="宋体" w:eastAsia="宋体" w:hAnsi="宋体" w:cs="宋体" w:hint="eastAsia"/>
          <w:sz w:val="24"/>
        </w:rPr>
        <w:t>运营。</w:t>
      </w:r>
    </w:p>
    <w:p w14:paraId="17C842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（三）企业与外部监管机构沟通协调</w:t>
      </w:r>
    </w:p>
    <w:p w14:paraId="78A035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企业应积极与境内外监管机构建立沟通渠道，了解监管机构期望的合</w:t>
      </w:r>
      <w:proofErr w:type="gramStart"/>
      <w:r>
        <w:rPr>
          <w:rFonts w:ascii="宋体" w:eastAsia="宋体" w:hAnsi="宋体" w:cs="宋体" w:hint="eastAsia"/>
          <w:sz w:val="24"/>
        </w:rPr>
        <w:t>规</w:t>
      </w:r>
      <w:proofErr w:type="gramEnd"/>
      <w:r>
        <w:rPr>
          <w:rFonts w:ascii="宋体" w:eastAsia="宋体" w:hAnsi="宋体" w:cs="宋体" w:hint="eastAsia"/>
          <w:sz w:val="24"/>
        </w:rPr>
        <w:t>流程，制定符合监管机构要求的合规制度，降低在报告义务和行政处罚等方面的风险。</w:t>
      </w:r>
    </w:p>
    <w:p w14:paraId="353B12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（四）企业与第三方沟通协调</w:t>
      </w:r>
    </w:p>
    <w:p w14:paraId="364CBB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企业与第三方合作时，应做好相关的国别风险研究和项目尽职调查，深入了解第三方合</w:t>
      </w:r>
      <w:proofErr w:type="gramStart"/>
      <w:r>
        <w:rPr>
          <w:rFonts w:ascii="宋体" w:eastAsia="宋体" w:hAnsi="宋体" w:cs="宋体" w:hint="eastAsia"/>
          <w:sz w:val="24"/>
        </w:rPr>
        <w:t>规</w:t>
      </w:r>
      <w:proofErr w:type="gramEnd"/>
      <w:r>
        <w:rPr>
          <w:rFonts w:ascii="宋体" w:eastAsia="宋体" w:hAnsi="宋体" w:cs="宋体" w:hint="eastAsia"/>
          <w:sz w:val="24"/>
        </w:rPr>
        <w:t>管理情况。企业应当向重要的第三方传达自身的合</w:t>
      </w:r>
      <w:proofErr w:type="gramStart"/>
      <w:r>
        <w:rPr>
          <w:rFonts w:ascii="宋体" w:eastAsia="宋体" w:hAnsi="宋体" w:cs="宋体" w:hint="eastAsia"/>
          <w:sz w:val="24"/>
        </w:rPr>
        <w:t>规</w:t>
      </w:r>
      <w:proofErr w:type="gramEnd"/>
      <w:r>
        <w:rPr>
          <w:rFonts w:ascii="宋体" w:eastAsia="宋体" w:hAnsi="宋体" w:cs="宋体" w:hint="eastAsia"/>
          <w:sz w:val="24"/>
        </w:rPr>
        <w:t>要求和对对方的合</w:t>
      </w:r>
      <w:proofErr w:type="gramStart"/>
      <w:r>
        <w:rPr>
          <w:rFonts w:ascii="宋体" w:eastAsia="宋体" w:hAnsi="宋体" w:cs="宋体" w:hint="eastAsia"/>
          <w:sz w:val="24"/>
        </w:rPr>
        <w:t>规</w:t>
      </w:r>
      <w:proofErr w:type="gramEnd"/>
      <w:r>
        <w:rPr>
          <w:rFonts w:ascii="宋体" w:eastAsia="宋体" w:hAnsi="宋体" w:cs="宋体" w:hint="eastAsia"/>
          <w:sz w:val="24"/>
        </w:rPr>
        <w:t>要求，并在商务合同中明确约定。</w:t>
      </w:r>
    </w:p>
    <w:p w14:paraId="38D361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合</w:t>
      </w:r>
      <w:proofErr w:type="gramStart"/>
      <w:r>
        <w:rPr>
          <w:rFonts w:ascii="宋体" w:eastAsia="宋体" w:hAnsi="宋体" w:cs="宋体" w:hint="eastAsia"/>
          <w:sz w:val="24"/>
        </w:rPr>
        <w:t>规</w:t>
      </w:r>
      <w:proofErr w:type="gramEnd"/>
      <w:r>
        <w:rPr>
          <w:rFonts w:ascii="宋体" w:eastAsia="宋体" w:hAnsi="宋体" w:cs="宋体" w:hint="eastAsia"/>
          <w:sz w:val="24"/>
        </w:rPr>
        <w:t>管理制度</w:t>
      </w:r>
    </w:p>
    <w:p w14:paraId="203EE8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第十三条 合</w:t>
      </w:r>
      <w:proofErr w:type="gramStart"/>
      <w:r>
        <w:rPr>
          <w:rFonts w:ascii="宋体" w:eastAsia="宋体" w:hAnsi="宋体" w:cs="宋体" w:hint="eastAsia"/>
          <w:sz w:val="24"/>
        </w:rPr>
        <w:t>规</w:t>
      </w:r>
      <w:proofErr w:type="gramEnd"/>
      <w:r>
        <w:rPr>
          <w:rFonts w:ascii="宋体" w:eastAsia="宋体" w:hAnsi="宋体" w:cs="宋体" w:hint="eastAsia"/>
          <w:sz w:val="24"/>
        </w:rPr>
        <w:t>行为准则</w:t>
      </w:r>
    </w:p>
    <w:p w14:paraId="286264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行为准则是最重要、最基本的合规制度，是其他合规制度的基础和依据，适用于所有境外经营相关部门和员工，以及代表企业从事境外经营活动的第三方。合</w:t>
      </w:r>
      <w:proofErr w:type="gramStart"/>
      <w:r>
        <w:rPr>
          <w:rFonts w:ascii="宋体" w:eastAsia="宋体" w:hAnsi="宋体" w:cs="宋体" w:hint="eastAsia"/>
          <w:sz w:val="24"/>
        </w:rPr>
        <w:t>规</w:t>
      </w:r>
      <w:proofErr w:type="gramEnd"/>
      <w:r>
        <w:rPr>
          <w:rFonts w:ascii="宋体" w:eastAsia="宋体" w:hAnsi="宋体" w:cs="宋体" w:hint="eastAsia"/>
          <w:sz w:val="24"/>
        </w:rPr>
        <w:t>行为准则应规定境外经营活动中必须遵守的基本原则和标准，包括但不限于企业核心价值观、合</w:t>
      </w:r>
      <w:proofErr w:type="gramStart"/>
      <w:r>
        <w:rPr>
          <w:rFonts w:ascii="宋体" w:eastAsia="宋体" w:hAnsi="宋体" w:cs="宋体" w:hint="eastAsia"/>
          <w:sz w:val="24"/>
        </w:rPr>
        <w:t>规</w:t>
      </w:r>
      <w:proofErr w:type="gramEnd"/>
      <w:r>
        <w:rPr>
          <w:rFonts w:ascii="宋体" w:eastAsia="宋体" w:hAnsi="宋体" w:cs="宋体" w:hint="eastAsia"/>
          <w:sz w:val="24"/>
        </w:rPr>
        <w:t>目标、合</w:t>
      </w:r>
      <w:proofErr w:type="gramStart"/>
      <w:r>
        <w:rPr>
          <w:rFonts w:ascii="宋体" w:eastAsia="宋体" w:hAnsi="宋体" w:cs="宋体" w:hint="eastAsia"/>
          <w:sz w:val="24"/>
        </w:rPr>
        <w:t>规</w:t>
      </w:r>
      <w:proofErr w:type="gramEnd"/>
      <w:r>
        <w:rPr>
          <w:rFonts w:ascii="宋体" w:eastAsia="宋体" w:hAnsi="宋体" w:cs="宋体" w:hint="eastAsia"/>
          <w:sz w:val="24"/>
        </w:rPr>
        <w:t>的内涵、行为准则的适用范围和地位、企业及员工适用的合</w:t>
      </w:r>
      <w:proofErr w:type="gramStart"/>
      <w:r>
        <w:rPr>
          <w:rFonts w:ascii="宋体" w:eastAsia="宋体" w:hAnsi="宋体" w:cs="宋体" w:hint="eastAsia"/>
          <w:sz w:val="24"/>
        </w:rPr>
        <w:t>规</w:t>
      </w:r>
      <w:proofErr w:type="gramEnd"/>
      <w:r>
        <w:rPr>
          <w:rFonts w:ascii="宋体" w:eastAsia="宋体" w:hAnsi="宋体" w:cs="宋体" w:hint="eastAsia"/>
          <w:sz w:val="24"/>
        </w:rPr>
        <w:t>行事标准、违规的应对方式和后果等。</w:t>
      </w:r>
    </w:p>
    <w:p w14:paraId="61B2B7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合</w:t>
      </w:r>
      <w:proofErr w:type="gramStart"/>
      <w:r>
        <w:rPr>
          <w:rFonts w:ascii="宋体" w:eastAsia="宋体" w:hAnsi="宋体" w:cs="宋体" w:hint="eastAsia"/>
          <w:sz w:val="24"/>
        </w:rPr>
        <w:t>规</w:t>
      </w:r>
      <w:proofErr w:type="gramEnd"/>
      <w:r>
        <w:rPr>
          <w:rFonts w:ascii="宋体" w:eastAsia="宋体" w:hAnsi="宋体" w:cs="宋体" w:hint="eastAsia"/>
          <w:sz w:val="24"/>
        </w:rPr>
        <w:t>管理办法</w:t>
      </w:r>
    </w:p>
    <w:p w14:paraId="2035D1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企业应在合</w:t>
      </w:r>
      <w:proofErr w:type="gramStart"/>
      <w:r>
        <w:rPr>
          <w:rFonts w:ascii="宋体" w:eastAsia="宋体" w:hAnsi="宋体" w:cs="宋体" w:hint="eastAsia"/>
          <w:sz w:val="24"/>
        </w:rPr>
        <w:t>规</w:t>
      </w:r>
      <w:proofErr w:type="gramEnd"/>
      <w:r>
        <w:rPr>
          <w:rFonts w:ascii="宋体" w:eastAsia="宋体" w:hAnsi="宋体" w:cs="宋体" w:hint="eastAsia"/>
          <w:sz w:val="24"/>
        </w:rPr>
        <w:t>行为准则的基础上，针对特定主题或特定风险领域制定具体的合</w:t>
      </w:r>
      <w:proofErr w:type="gramStart"/>
      <w:r>
        <w:rPr>
          <w:rFonts w:ascii="宋体" w:eastAsia="宋体" w:hAnsi="宋体" w:cs="宋体" w:hint="eastAsia"/>
          <w:sz w:val="24"/>
        </w:rPr>
        <w:t>规</w:t>
      </w:r>
      <w:proofErr w:type="gramEnd"/>
      <w:r>
        <w:rPr>
          <w:rFonts w:ascii="宋体" w:eastAsia="宋体" w:hAnsi="宋体" w:cs="宋体" w:hint="eastAsia"/>
          <w:sz w:val="24"/>
        </w:rPr>
        <w:t>管理办法，包括但不限于礼品及招待、赞助及捐赠、利益冲突管理、举报管理和内部调查、人力资源管理、税务管理、商业伙伴合</w:t>
      </w:r>
      <w:proofErr w:type="gramStart"/>
      <w:r>
        <w:rPr>
          <w:rFonts w:ascii="宋体" w:eastAsia="宋体" w:hAnsi="宋体" w:cs="宋体" w:hint="eastAsia"/>
          <w:sz w:val="24"/>
        </w:rPr>
        <w:t>规</w:t>
      </w:r>
      <w:proofErr w:type="gramEnd"/>
      <w:r>
        <w:rPr>
          <w:rFonts w:ascii="宋体" w:eastAsia="宋体" w:hAnsi="宋体" w:cs="宋体" w:hint="eastAsia"/>
          <w:sz w:val="24"/>
        </w:rPr>
        <w:t>管理等内容。</w:t>
      </w:r>
    </w:p>
    <w:p w14:paraId="4BAE85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企业还应针对特定行业或地区的合</w:t>
      </w:r>
      <w:proofErr w:type="gramStart"/>
      <w:r>
        <w:rPr>
          <w:rFonts w:ascii="宋体" w:eastAsia="宋体" w:hAnsi="宋体" w:cs="宋体" w:hint="eastAsia"/>
          <w:sz w:val="24"/>
        </w:rPr>
        <w:t>规</w:t>
      </w:r>
      <w:proofErr w:type="gramEnd"/>
      <w:r>
        <w:rPr>
          <w:rFonts w:ascii="宋体" w:eastAsia="宋体" w:hAnsi="宋体" w:cs="宋体" w:hint="eastAsia"/>
          <w:sz w:val="24"/>
        </w:rPr>
        <w:t>要求，结合企业自身的特点和发展需要，制定相应的合</w:t>
      </w:r>
      <w:proofErr w:type="gramStart"/>
      <w:r>
        <w:rPr>
          <w:rFonts w:ascii="宋体" w:eastAsia="宋体" w:hAnsi="宋体" w:cs="宋体" w:hint="eastAsia"/>
          <w:sz w:val="24"/>
        </w:rPr>
        <w:t>规</w:t>
      </w:r>
      <w:proofErr w:type="gramEnd"/>
      <w:r>
        <w:rPr>
          <w:rFonts w:ascii="宋体" w:eastAsia="宋体" w:hAnsi="宋体" w:cs="宋体" w:hint="eastAsia"/>
          <w:sz w:val="24"/>
        </w:rPr>
        <w:t>风险管理办法。例如金融业及有关行业的反洗钱及反恐怖融资政策，银行、通信、医疗等行业的数据和隐私保护政策等。</w:t>
      </w:r>
    </w:p>
    <w:p w14:paraId="014184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合</w:t>
      </w:r>
      <w:proofErr w:type="gramStart"/>
      <w:r>
        <w:rPr>
          <w:rFonts w:ascii="宋体" w:eastAsia="宋体" w:hAnsi="宋体" w:cs="宋体" w:hint="eastAsia"/>
          <w:sz w:val="24"/>
        </w:rPr>
        <w:t>规</w:t>
      </w:r>
      <w:proofErr w:type="gramEnd"/>
      <w:r>
        <w:rPr>
          <w:rFonts w:ascii="宋体" w:eastAsia="宋体" w:hAnsi="宋体" w:cs="宋体" w:hint="eastAsia"/>
          <w:sz w:val="24"/>
        </w:rPr>
        <w:t>操作流程</w:t>
      </w:r>
    </w:p>
    <w:p w14:paraId="4992B2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企业可结合境外经营实际，就合</w:t>
      </w:r>
      <w:proofErr w:type="gramStart"/>
      <w:r>
        <w:rPr>
          <w:rFonts w:ascii="宋体" w:eastAsia="宋体" w:hAnsi="宋体" w:cs="宋体" w:hint="eastAsia"/>
          <w:sz w:val="24"/>
        </w:rPr>
        <w:t>规</w:t>
      </w:r>
      <w:proofErr w:type="gramEnd"/>
      <w:r>
        <w:rPr>
          <w:rFonts w:ascii="宋体" w:eastAsia="宋体" w:hAnsi="宋体" w:cs="宋体" w:hint="eastAsia"/>
          <w:sz w:val="24"/>
        </w:rPr>
        <w:t>行为准则和管理办法制定相应的合</w:t>
      </w:r>
      <w:proofErr w:type="gramStart"/>
      <w:r>
        <w:rPr>
          <w:rFonts w:ascii="宋体" w:eastAsia="宋体" w:hAnsi="宋体" w:cs="宋体" w:hint="eastAsia"/>
          <w:sz w:val="24"/>
        </w:rPr>
        <w:t>规</w:t>
      </w:r>
      <w:proofErr w:type="gramEnd"/>
      <w:r>
        <w:rPr>
          <w:rFonts w:ascii="宋体" w:eastAsia="宋体" w:hAnsi="宋体" w:cs="宋体" w:hint="eastAsia"/>
          <w:sz w:val="24"/>
        </w:rPr>
        <w:t>操作流程，进一步细化标准和要求。也可将具体的标准和要求融入到现有的业务流程当中，便于员工理解和落实，确保各项经营行为合</w:t>
      </w:r>
      <w:proofErr w:type="gramStart"/>
      <w:r>
        <w:rPr>
          <w:rFonts w:ascii="宋体" w:eastAsia="宋体" w:hAnsi="宋体" w:cs="宋体" w:hint="eastAsia"/>
          <w:sz w:val="24"/>
        </w:rPr>
        <w:t>规</w:t>
      </w:r>
      <w:proofErr w:type="gramEnd"/>
      <w:r>
        <w:rPr>
          <w:rFonts w:ascii="宋体" w:eastAsia="宋体" w:hAnsi="宋体" w:cs="宋体" w:hint="eastAsia"/>
          <w:sz w:val="24"/>
        </w:rPr>
        <w:t>。</w:t>
      </w:r>
    </w:p>
    <w:p w14:paraId="1BDF7C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合</w:t>
      </w:r>
      <w:proofErr w:type="gramStart"/>
      <w:r>
        <w:rPr>
          <w:rFonts w:ascii="宋体" w:eastAsia="宋体" w:hAnsi="宋体" w:cs="宋体" w:hint="eastAsia"/>
          <w:sz w:val="24"/>
        </w:rPr>
        <w:t>规</w:t>
      </w:r>
      <w:proofErr w:type="gramEnd"/>
      <w:r>
        <w:rPr>
          <w:rFonts w:ascii="宋体" w:eastAsia="宋体" w:hAnsi="宋体" w:cs="宋体" w:hint="eastAsia"/>
          <w:sz w:val="24"/>
        </w:rPr>
        <w:t>管理运行机制</w:t>
      </w:r>
    </w:p>
    <w:p w14:paraId="67B2C5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合</w:t>
      </w:r>
      <w:proofErr w:type="gramStart"/>
      <w:r>
        <w:rPr>
          <w:rFonts w:ascii="宋体" w:eastAsia="宋体" w:hAnsi="宋体" w:cs="宋体" w:hint="eastAsia"/>
          <w:sz w:val="24"/>
        </w:rPr>
        <w:t>规</w:t>
      </w:r>
      <w:proofErr w:type="gramEnd"/>
      <w:r>
        <w:rPr>
          <w:rFonts w:ascii="宋体" w:eastAsia="宋体" w:hAnsi="宋体" w:cs="宋体" w:hint="eastAsia"/>
          <w:sz w:val="24"/>
        </w:rPr>
        <w:t>培训</w:t>
      </w:r>
    </w:p>
    <w:p w14:paraId="5044A9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企业应将合</w:t>
      </w:r>
      <w:proofErr w:type="gramStart"/>
      <w:r>
        <w:rPr>
          <w:rFonts w:ascii="宋体" w:eastAsia="宋体" w:hAnsi="宋体" w:cs="宋体" w:hint="eastAsia"/>
          <w:sz w:val="24"/>
        </w:rPr>
        <w:t>规</w:t>
      </w:r>
      <w:proofErr w:type="gramEnd"/>
      <w:r>
        <w:rPr>
          <w:rFonts w:ascii="宋体" w:eastAsia="宋体" w:hAnsi="宋体" w:cs="宋体" w:hint="eastAsia"/>
          <w:sz w:val="24"/>
        </w:rPr>
        <w:t>培训纳入员工培训计划，培训内容需随企业内外部环境变化进行动态调整。境外经营相关部门和境外分支机构的所有员工，均应接受合</w:t>
      </w:r>
      <w:proofErr w:type="gramStart"/>
      <w:r>
        <w:rPr>
          <w:rFonts w:ascii="宋体" w:eastAsia="宋体" w:hAnsi="宋体" w:cs="宋体" w:hint="eastAsia"/>
          <w:sz w:val="24"/>
        </w:rPr>
        <w:t>规</w:t>
      </w:r>
      <w:proofErr w:type="gramEnd"/>
      <w:r>
        <w:rPr>
          <w:rFonts w:ascii="宋体" w:eastAsia="宋体" w:hAnsi="宋体" w:cs="宋体" w:hint="eastAsia"/>
          <w:sz w:val="24"/>
        </w:rPr>
        <w:t>培训，了解并掌握企业的合</w:t>
      </w:r>
      <w:proofErr w:type="gramStart"/>
      <w:r>
        <w:rPr>
          <w:rFonts w:ascii="宋体" w:eastAsia="宋体" w:hAnsi="宋体" w:cs="宋体" w:hint="eastAsia"/>
          <w:sz w:val="24"/>
        </w:rPr>
        <w:t>规</w:t>
      </w:r>
      <w:proofErr w:type="gramEnd"/>
      <w:r>
        <w:rPr>
          <w:rFonts w:ascii="宋体" w:eastAsia="宋体" w:hAnsi="宋体" w:cs="宋体" w:hint="eastAsia"/>
          <w:sz w:val="24"/>
        </w:rPr>
        <w:t>管理制度和风险防控要求。决策层和高级管理层应带头接受合</w:t>
      </w:r>
      <w:proofErr w:type="gramStart"/>
      <w:r>
        <w:rPr>
          <w:rFonts w:ascii="宋体" w:eastAsia="宋体" w:hAnsi="宋体" w:cs="宋体" w:hint="eastAsia"/>
          <w:sz w:val="24"/>
        </w:rPr>
        <w:t>规</w:t>
      </w:r>
      <w:proofErr w:type="gramEnd"/>
      <w:r>
        <w:rPr>
          <w:rFonts w:ascii="宋体" w:eastAsia="宋体" w:hAnsi="宋体" w:cs="宋体" w:hint="eastAsia"/>
          <w:sz w:val="24"/>
        </w:rPr>
        <w:t>培训，高风险领域、关键岗位员工应接受有针对性的专题合</w:t>
      </w:r>
      <w:proofErr w:type="gramStart"/>
      <w:r>
        <w:rPr>
          <w:rFonts w:ascii="宋体" w:eastAsia="宋体" w:hAnsi="宋体" w:cs="宋体" w:hint="eastAsia"/>
          <w:sz w:val="24"/>
        </w:rPr>
        <w:t>规</w:t>
      </w:r>
      <w:proofErr w:type="gramEnd"/>
      <w:r>
        <w:rPr>
          <w:rFonts w:ascii="宋体" w:eastAsia="宋体" w:hAnsi="宋体" w:cs="宋体" w:hint="eastAsia"/>
          <w:sz w:val="24"/>
        </w:rPr>
        <w:t>培训。合</w:t>
      </w:r>
      <w:proofErr w:type="gramStart"/>
      <w:r>
        <w:rPr>
          <w:rFonts w:ascii="宋体" w:eastAsia="宋体" w:hAnsi="宋体" w:cs="宋体" w:hint="eastAsia"/>
          <w:sz w:val="24"/>
        </w:rPr>
        <w:t>规</w:t>
      </w:r>
      <w:proofErr w:type="gramEnd"/>
      <w:r>
        <w:rPr>
          <w:rFonts w:ascii="宋体" w:eastAsia="宋体" w:hAnsi="宋体" w:cs="宋体" w:hint="eastAsia"/>
          <w:sz w:val="24"/>
        </w:rPr>
        <w:t>培训应做好记录留存。</w:t>
      </w:r>
    </w:p>
    <w:p w14:paraId="7518D1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合</w:t>
      </w:r>
      <w:proofErr w:type="gramStart"/>
      <w:r>
        <w:rPr>
          <w:rFonts w:ascii="宋体" w:eastAsia="宋体" w:hAnsi="宋体" w:cs="宋体" w:hint="eastAsia"/>
          <w:sz w:val="24"/>
        </w:rPr>
        <w:t>规</w:t>
      </w:r>
      <w:proofErr w:type="gramEnd"/>
      <w:r>
        <w:rPr>
          <w:rFonts w:ascii="宋体" w:eastAsia="宋体" w:hAnsi="宋体" w:cs="宋体" w:hint="eastAsia"/>
          <w:sz w:val="24"/>
        </w:rPr>
        <w:t>汇报</w:t>
      </w:r>
    </w:p>
    <w:p w14:paraId="5427CB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负责人和合</w:t>
      </w:r>
      <w:proofErr w:type="gramStart"/>
      <w:r>
        <w:rPr>
          <w:rFonts w:ascii="宋体" w:eastAsia="宋体" w:hAnsi="宋体" w:cs="宋体" w:hint="eastAsia"/>
          <w:sz w:val="24"/>
        </w:rPr>
        <w:t>规</w:t>
      </w:r>
      <w:proofErr w:type="gramEnd"/>
      <w:r>
        <w:rPr>
          <w:rFonts w:ascii="宋体" w:eastAsia="宋体" w:hAnsi="宋体" w:cs="宋体" w:hint="eastAsia"/>
          <w:sz w:val="24"/>
        </w:rPr>
        <w:t>管理部门应享有通畅的合</w:t>
      </w:r>
      <w:proofErr w:type="gramStart"/>
      <w:r>
        <w:rPr>
          <w:rFonts w:ascii="宋体" w:eastAsia="宋体" w:hAnsi="宋体" w:cs="宋体" w:hint="eastAsia"/>
          <w:sz w:val="24"/>
        </w:rPr>
        <w:t>规</w:t>
      </w:r>
      <w:proofErr w:type="gramEnd"/>
      <w:r>
        <w:rPr>
          <w:rFonts w:ascii="宋体" w:eastAsia="宋体" w:hAnsi="宋体" w:cs="宋体" w:hint="eastAsia"/>
          <w:sz w:val="24"/>
        </w:rPr>
        <w:t>汇报渠道。</w:t>
      </w:r>
    </w:p>
    <w:p w14:paraId="15AFD8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合</w:t>
      </w:r>
      <w:proofErr w:type="gramStart"/>
      <w:r>
        <w:rPr>
          <w:rFonts w:ascii="宋体" w:eastAsia="宋体" w:hAnsi="宋体" w:cs="宋体" w:hint="eastAsia"/>
          <w:sz w:val="24"/>
        </w:rPr>
        <w:t>规</w:t>
      </w:r>
      <w:proofErr w:type="gramEnd"/>
      <w:r>
        <w:rPr>
          <w:rFonts w:ascii="宋体" w:eastAsia="宋体" w:hAnsi="宋体" w:cs="宋体" w:hint="eastAsia"/>
          <w:sz w:val="24"/>
        </w:rPr>
        <w:t>管理部门应当定期向决策层和高级管理层汇报合</w:t>
      </w:r>
      <w:proofErr w:type="gramStart"/>
      <w:r>
        <w:rPr>
          <w:rFonts w:ascii="宋体" w:eastAsia="宋体" w:hAnsi="宋体" w:cs="宋体" w:hint="eastAsia"/>
          <w:sz w:val="24"/>
        </w:rPr>
        <w:t>规</w:t>
      </w:r>
      <w:proofErr w:type="gramEnd"/>
      <w:r>
        <w:rPr>
          <w:rFonts w:ascii="宋体" w:eastAsia="宋体" w:hAnsi="宋体" w:cs="宋体" w:hint="eastAsia"/>
          <w:sz w:val="24"/>
        </w:rPr>
        <w:t>管理情况。汇报内容一般包括但不限于合</w:t>
      </w:r>
      <w:proofErr w:type="gramStart"/>
      <w:r>
        <w:rPr>
          <w:rFonts w:ascii="宋体" w:eastAsia="宋体" w:hAnsi="宋体" w:cs="宋体" w:hint="eastAsia"/>
          <w:sz w:val="24"/>
        </w:rPr>
        <w:t>规</w:t>
      </w:r>
      <w:proofErr w:type="gramEnd"/>
      <w:r>
        <w:rPr>
          <w:rFonts w:ascii="宋体" w:eastAsia="宋体" w:hAnsi="宋体" w:cs="宋体" w:hint="eastAsia"/>
          <w:sz w:val="24"/>
        </w:rPr>
        <w:t>风险评估情况，合</w:t>
      </w:r>
      <w:proofErr w:type="gramStart"/>
      <w:r>
        <w:rPr>
          <w:rFonts w:ascii="宋体" w:eastAsia="宋体" w:hAnsi="宋体" w:cs="宋体" w:hint="eastAsia"/>
          <w:sz w:val="24"/>
        </w:rPr>
        <w:t>规</w:t>
      </w:r>
      <w:proofErr w:type="gramEnd"/>
      <w:r>
        <w:rPr>
          <w:rFonts w:ascii="宋体" w:eastAsia="宋体" w:hAnsi="宋体" w:cs="宋体" w:hint="eastAsia"/>
          <w:sz w:val="24"/>
        </w:rPr>
        <w:t>培训的组织情况和效果评估，发现的违规行为以及处理情况，违规行为可能给组织带来的合</w:t>
      </w:r>
      <w:proofErr w:type="gramStart"/>
      <w:r>
        <w:rPr>
          <w:rFonts w:ascii="宋体" w:eastAsia="宋体" w:hAnsi="宋体" w:cs="宋体" w:hint="eastAsia"/>
          <w:sz w:val="24"/>
        </w:rPr>
        <w:t>规</w:t>
      </w:r>
      <w:proofErr w:type="gramEnd"/>
      <w:r>
        <w:rPr>
          <w:rFonts w:ascii="宋体" w:eastAsia="宋体" w:hAnsi="宋体" w:cs="宋体" w:hint="eastAsia"/>
          <w:sz w:val="24"/>
        </w:rPr>
        <w:t>风险，已识别的合</w:t>
      </w:r>
      <w:proofErr w:type="gramStart"/>
      <w:r>
        <w:rPr>
          <w:rFonts w:ascii="宋体" w:eastAsia="宋体" w:hAnsi="宋体" w:cs="宋体" w:hint="eastAsia"/>
          <w:sz w:val="24"/>
        </w:rPr>
        <w:t>规</w:t>
      </w:r>
      <w:proofErr w:type="gramEnd"/>
      <w:r>
        <w:rPr>
          <w:rFonts w:ascii="宋体" w:eastAsia="宋体" w:hAnsi="宋体" w:cs="宋体" w:hint="eastAsia"/>
          <w:sz w:val="24"/>
        </w:rPr>
        <w:t>漏洞或缺陷，建议采取的纠正措施，合</w:t>
      </w:r>
      <w:proofErr w:type="gramStart"/>
      <w:r>
        <w:rPr>
          <w:rFonts w:ascii="宋体" w:eastAsia="宋体" w:hAnsi="宋体" w:cs="宋体" w:hint="eastAsia"/>
          <w:sz w:val="24"/>
        </w:rPr>
        <w:t>规</w:t>
      </w:r>
      <w:proofErr w:type="gramEnd"/>
      <w:r>
        <w:rPr>
          <w:rFonts w:ascii="宋体" w:eastAsia="宋体" w:hAnsi="宋体" w:cs="宋体" w:hint="eastAsia"/>
          <w:sz w:val="24"/>
        </w:rPr>
        <w:t>管理工作的整体评价和分析等。</w:t>
      </w:r>
    </w:p>
    <w:p w14:paraId="1614DD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如发生性质严重或可能给企业带来重大合</w:t>
      </w:r>
      <w:proofErr w:type="gramStart"/>
      <w:r>
        <w:rPr>
          <w:rFonts w:ascii="宋体" w:eastAsia="宋体" w:hAnsi="宋体" w:cs="宋体" w:hint="eastAsia"/>
          <w:sz w:val="24"/>
        </w:rPr>
        <w:t>规</w:t>
      </w:r>
      <w:proofErr w:type="gramEnd"/>
      <w:r>
        <w:rPr>
          <w:rFonts w:ascii="宋体" w:eastAsia="宋体" w:hAnsi="宋体" w:cs="宋体" w:hint="eastAsia"/>
          <w:sz w:val="24"/>
        </w:rPr>
        <w:t>风险的违规行为，合</w:t>
      </w:r>
      <w:proofErr w:type="gramStart"/>
      <w:r>
        <w:rPr>
          <w:rFonts w:ascii="宋体" w:eastAsia="宋体" w:hAnsi="宋体" w:cs="宋体" w:hint="eastAsia"/>
          <w:sz w:val="24"/>
        </w:rPr>
        <w:t>规</w:t>
      </w:r>
      <w:proofErr w:type="gramEnd"/>
      <w:r>
        <w:rPr>
          <w:rFonts w:ascii="宋体" w:eastAsia="宋体" w:hAnsi="宋体" w:cs="宋体" w:hint="eastAsia"/>
          <w:sz w:val="24"/>
        </w:rPr>
        <w:t>负责人或合</w:t>
      </w:r>
      <w:proofErr w:type="gramStart"/>
      <w:r>
        <w:rPr>
          <w:rFonts w:ascii="宋体" w:eastAsia="宋体" w:hAnsi="宋体" w:cs="宋体" w:hint="eastAsia"/>
          <w:sz w:val="24"/>
        </w:rPr>
        <w:t>规</w:t>
      </w:r>
      <w:proofErr w:type="gramEnd"/>
      <w:r>
        <w:rPr>
          <w:rFonts w:ascii="宋体" w:eastAsia="宋体" w:hAnsi="宋体" w:cs="宋体" w:hint="eastAsia"/>
          <w:sz w:val="24"/>
        </w:rPr>
        <w:t>管理部门应当及时向决策层和高级管理层汇报，提出风险警示，并采取纠正措施。</w:t>
      </w:r>
    </w:p>
    <w:p w14:paraId="3981EC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合</w:t>
      </w:r>
      <w:proofErr w:type="gramStart"/>
      <w:r>
        <w:rPr>
          <w:rFonts w:ascii="宋体" w:eastAsia="宋体" w:hAnsi="宋体" w:cs="宋体" w:hint="eastAsia"/>
          <w:sz w:val="24"/>
        </w:rPr>
        <w:t>规</w:t>
      </w:r>
      <w:proofErr w:type="gramEnd"/>
      <w:r>
        <w:rPr>
          <w:rFonts w:ascii="宋体" w:eastAsia="宋体" w:hAnsi="宋体" w:cs="宋体" w:hint="eastAsia"/>
          <w:sz w:val="24"/>
        </w:rPr>
        <w:t>考核</w:t>
      </w:r>
    </w:p>
    <w:p w14:paraId="486B75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考核应全面覆盖企业的各项管理工作。合</w:t>
      </w:r>
      <w:proofErr w:type="gramStart"/>
      <w:r>
        <w:rPr>
          <w:rFonts w:ascii="宋体" w:eastAsia="宋体" w:hAnsi="宋体" w:cs="宋体" w:hint="eastAsia"/>
          <w:sz w:val="24"/>
        </w:rPr>
        <w:t>规</w:t>
      </w:r>
      <w:proofErr w:type="gramEnd"/>
      <w:r>
        <w:rPr>
          <w:rFonts w:ascii="宋体" w:eastAsia="宋体" w:hAnsi="宋体" w:cs="宋体" w:hint="eastAsia"/>
          <w:sz w:val="24"/>
        </w:rPr>
        <w:t>考核结果应作为企业绩效考核的重要依据，与评优评先、职务任免、职务晋升以及薪酬待遇等挂钩。</w:t>
      </w:r>
    </w:p>
    <w:p w14:paraId="5D8A5F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境外经营相关部门和境外分支机构可以制定单独的合</w:t>
      </w:r>
      <w:proofErr w:type="gramStart"/>
      <w:r>
        <w:rPr>
          <w:rFonts w:ascii="宋体" w:eastAsia="宋体" w:hAnsi="宋体" w:cs="宋体" w:hint="eastAsia"/>
          <w:sz w:val="24"/>
        </w:rPr>
        <w:t>规</w:t>
      </w:r>
      <w:proofErr w:type="gramEnd"/>
      <w:r>
        <w:rPr>
          <w:rFonts w:ascii="宋体" w:eastAsia="宋体" w:hAnsi="宋体" w:cs="宋体" w:hint="eastAsia"/>
          <w:sz w:val="24"/>
        </w:rPr>
        <w:t>绩效考核机制，也可将合</w:t>
      </w:r>
      <w:proofErr w:type="gramStart"/>
      <w:r>
        <w:rPr>
          <w:rFonts w:ascii="宋体" w:eastAsia="宋体" w:hAnsi="宋体" w:cs="宋体" w:hint="eastAsia"/>
          <w:sz w:val="24"/>
        </w:rPr>
        <w:t>规</w:t>
      </w:r>
      <w:proofErr w:type="gramEnd"/>
      <w:r>
        <w:rPr>
          <w:rFonts w:ascii="宋体" w:eastAsia="宋体" w:hAnsi="宋体" w:cs="宋体" w:hint="eastAsia"/>
          <w:sz w:val="24"/>
        </w:rPr>
        <w:t>考核标准融入到总体的绩效管理体系中。考核内容包括但不限于按时参加合</w:t>
      </w:r>
      <w:proofErr w:type="gramStart"/>
      <w:r>
        <w:rPr>
          <w:rFonts w:ascii="宋体" w:eastAsia="宋体" w:hAnsi="宋体" w:cs="宋体" w:hint="eastAsia"/>
          <w:sz w:val="24"/>
        </w:rPr>
        <w:t>规</w:t>
      </w:r>
      <w:proofErr w:type="gramEnd"/>
      <w:r>
        <w:rPr>
          <w:rFonts w:ascii="宋体" w:eastAsia="宋体" w:hAnsi="宋体" w:cs="宋体" w:hint="eastAsia"/>
          <w:sz w:val="24"/>
        </w:rPr>
        <w:t>培训，严格执行合</w:t>
      </w:r>
      <w:proofErr w:type="gramStart"/>
      <w:r>
        <w:rPr>
          <w:rFonts w:ascii="宋体" w:eastAsia="宋体" w:hAnsi="宋体" w:cs="宋体" w:hint="eastAsia"/>
          <w:sz w:val="24"/>
        </w:rPr>
        <w:t>规</w:t>
      </w:r>
      <w:proofErr w:type="gramEnd"/>
      <w:r>
        <w:rPr>
          <w:rFonts w:ascii="宋体" w:eastAsia="宋体" w:hAnsi="宋体" w:cs="宋体" w:hint="eastAsia"/>
          <w:sz w:val="24"/>
        </w:rPr>
        <w:t>管理制度，积极支持和配合</w:t>
      </w:r>
      <w:proofErr w:type="gramStart"/>
      <w:r>
        <w:rPr>
          <w:rFonts w:ascii="宋体" w:eastAsia="宋体" w:hAnsi="宋体" w:cs="宋体" w:hint="eastAsia"/>
          <w:sz w:val="24"/>
        </w:rPr>
        <w:t>合规</w:t>
      </w:r>
      <w:proofErr w:type="gramEnd"/>
      <w:r>
        <w:rPr>
          <w:rFonts w:ascii="宋体" w:eastAsia="宋体" w:hAnsi="宋体" w:cs="宋体" w:hint="eastAsia"/>
          <w:sz w:val="24"/>
        </w:rPr>
        <w:t>管理机构工作，及时汇报合</w:t>
      </w:r>
      <w:proofErr w:type="gramStart"/>
      <w:r>
        <w:rPr>
          <w:rFonts w:ascii="宋体" w:eastAsia="宋体" w:hAnsi="宋体" w:cs="宋体" w:hint="eastAsia"/>
          <w:sz w:val="24"/>
        </w:rPr>
        <w:t>规</w:t>
      </w:r>
      <w:proofErr w:type="gramEnd"/>
      <w:r>
        <w:rPr>
          <w:rFonts w:ascii="宋体" w:eastAsia="宋体" w:hAnsi="宋体" w:cs="宋体" w:hint="eastAsia"/>
          <w:sz w:val="24"/>
        </w:rPr>
        <w:t>风险等。</w:t>
      </w:r>
    </w:p>
    <w:p w14:paraId="2085FA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合</w:t>
      </w:r>
      <w:proofErr w:type="gramStart"/>
      <w:r>
        <w:rPr>
          <w:rFonts w:ascii="宋体" w:eastAsia="宋体" w:hAnsi="宋体" w:cs="宋体" w:hint="eastAsia"/>
          <w:sz w:val="24"/>
        </w:rPr>
        <w:t>规</w:t>
      </w:r>
      <w:proofErr w:type="gramEnd"/>
      <w:r>
        <w:rPr>
          <w:rFonts w:ascii="宋体" w:eastAsia="宋体" w:hAnsi="宋体" w:cs="宋体" w:hint="eastAsia"/>
          <w:sz w:val="24"/>
        </w:rPr>
        <w:t>咨询与审核</w:t>
      </w:r>
    </w:p>
    <w:p w14:paraId="4EEB65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境外经营相关部门和境外分支机构及其员工在履职过程中遇到合</w:t>
      </w:r>
      <w:proofErr w:type="gramStart"/>
      <w:r>
        <w:rPr>
          <w:rFonts w:ascii="宋体" w:eastAsia="宋体" w:hAnsi="宋体" w:cs="宋体" w:hint="eastAsia"/>
          <w:sz w:val="24"/>
        </w:rPr>
        <w:t>规</w:t>
      </w:r>
      <w:proofErr w:type="gramEnd"/>
      <w:r>
        <w:rPr>
          <w:rFonts w:ascii="宋体" w:eastAsia="宋体" w:hAnsi="宋体" w:cs="宋体" w:hint="eastAsia"/>
          <w:sz w:val="24"/>
        </w:rPr>
        <w:t>风险事项，应及时主动寻求合</w:t>
      </w:r>
      <w:proofErr w:type="gramStart"/>
      <w:r>
        <w:rPr>
          <w:rFonts w:ascii="宋体" w:eastAsia="宋体" w:hAnsi="宋体" w:cs="宋体" w:hint="eastAsia"/>
          <w:sz w:val="24"/>
        </w:rPr>
        <w:t>规</w:t>
      </w:r>
      <w:proofErr w:type="gramEnd"/>
      <w:r>
        <w:rPr>
          <w:rFonts w:ascii="宋体" w:eastAsia="宋体" w:hAnsi="宋体" w:cs="宋体" w:hint="eastAsia"/>
          <w:sz w:val="24"/>
        </w:rPr>
        <w:t>咨询或审核支持。</w:t>
      </w:r>
    </w:p>
    <w:p w14:paraId="3798EF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企业应针对高合</w:t>
      </w:r>
      <w:proofErr w:type="gramStart"/>
      <w:r>
        <w:rPr>
          <w:rFonts w:ascii="宋体" w:eastAsia="宋体" w:hAnsi="宋体" w:cs="宋体" w:hint="eastAsia"/>
          <w:sz w:val="24"/>
        </w:rPr>
        <w:t>规</w:t>
      </w:r>
      <w:proofErr w:type="gramEnd"/>
      <w:r>
        <w:rPr>
          <w:rFonts w:ascii="宋体" w:eastAsia="宋体" w:hAnsi="宋体" w:cs="宋体" w:hint="eastAsia"/>
          <w:sz w:val="24"/>
        </w:rPr>
        <w:t>风险领域规定强制合</w:t>
      </w:r>
      <w:proofErr w:type="gramStart"/>
      <w:r>
        <w:rPr>
          <w:rFonts w:ascii="宋体" w:eastAsia="宋体" w:hAnsi="宋体" w:cs="宋体" w:hint="eastAsia"/>
          <w:sz w:val="24"/>
        </w:rPr>
        <w:t>规</w:t>
      </w:r>
      <w:proofErr w:type="gramEnd"/>
      <w:r>
        <w:rPr>
          <w:rFonts w:ascii="宋体" w:eastAsia="宋体" w:hAnsi="宋体" w:cs="宋体" w:hint="eastAsia"/>
          <w:sz w:val="24"/>
        </w:rPr>
        <w:t>咨询范围。在涉及重点领域或重要业务环节时，业务部门应主动咨询合</w:t>
      </w:r>
      <w:proofErr w:type="gramStart"/>
      <w:r>
        <w:rPr>
          <w:rFonts w:ascii="宋体" w:eastAsia="宋体" w:hAnsi="宋体" w:cs="宋体" w:hint="eastAsia"/>
          <w:sz w:val="24"/>
        </w:rPr>
        <w:t>规</w:t>
      </w:r>
      <w:proofErr w:type="gramEnd"/>
      <w:r>
        <w:rPr>
          <w:rFonts w:ascii="宋体" w:eastAsia="宋体" w:hAnsi="宋体" w:cs="宋体" w:hint="eastAsia"/>
          <w:sz w:val="24"/>
        </w:rPr>
        <w:t>管理部门意见。</w:t>
      </w:r>
    </w:p>
    <w:p w14:paraId="0138DA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管理部门应在合理时间内答复或启动合</w:t>
      </w:r>
      <w:proofErr w:type="gramStart"/>
      <w:r>
        <w:rPr>
          <w:rFonts w:ascii="宋体" w:eastAsia="宋体" w:hAnsi="宋体" w:cs="宋体" w:hint="eastAsia"/>
          <w:sz w:val="24"/>
        </w:rPr>
        <w:t>规</w:t>
      </w:r>
      <w:proofErr w:type="gramEnd"/>
      <w:r>
        <w:rPr>
          <w:rFonts w:ascii="宋体" w:eastAsia="宋体" w:hAnsi="宋体" w:cs="宋体" w:hint="eastAsia"/>
          <w:sz w:val="24"/>
        </w:rPr>
        <w:t>审核流程。</w:t>
      </w:r>
    </w:p>
    <w:p w14:paraId="7D2D8D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对于复杂或专业性强且存在重大合</w:t>
      </w:r>
      <w:proofErr w:type="gramStart"/>
      <w:r>
        <w:rPr>
          <w:rFonts w:ascii="宋体" w:eastAsia="宋体" w:hAnsi="宋体" w:cs="宋体" w:hint="eastAsia"/>
          <w:sz w:val="24"/>
        </w:rPr>
        <w:t>规</w:t>
      </w:r>
      <w:proofErr w:type="gramEnd"/>
      <w:r>
        <w:rPr>
          <w:rFonts w:ascii="宋体" w:eastAsia="宋体" w:hAnsi="宋体" w:cs="宋体" w:hint="eastAsia"/>
          <w:sz w:val="24"/>
        </w:rPr>
        <w:t>风险的事项，合</w:t>
      </w:r>
      <w:proofErr w:type="gramStart"/>
      <w:r>
        <w:rPr>
          <w:rFonts w:ascii="宋体" w:eastAsia="宋体" w:hAnsi="宋体" w:cs="宋体" w:hint="eastAsia"/>
          <w:sz w:val="24"/>
        </w:rPr>
        <w:t>规</w:t>
      </w:r>
      <w:proofErr w:type="gramEnd"/>
      <w:r>
        <w:rPr>
          <w:rFonts w:ascii="宋体" w:eastAsia="宋体" w:hAnsi="宋体" w:cs="宋体" w:hint="eastAsia"/>
          <w:sz w:val="24"/>
        </w:rPr>
        <w:t>管理部门应按照制度规定听取法律顾问、公司律师意见，或委托专业机构召开论证会后再形成审核意见。</w:t>
      </w:r>
    </w:p>
    <w:p w14:paraId="579D7B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合</w:t>
      </w:r>
      <w:proofErr w:type="gramStart"/>
      <w:r>
        <w:rPr>
          <w:rFonts w:ascii="宋体" w:eastAsia="宋体" w:hAnsi="宋体" w:cs="宋体" w:hint="eastAsia"/>
          <w:sz w:val="24"/>
        </w:rPr>
        <w:t>规</w:t>
      </w:r>
      <w:proofErr w:type="gramEnd"/>
      <w:r>
        <w:rPr>
          <w:rFonts w:ascii="宋体" w:eastAsia="宋体" w:hAnsi="宋体" w:cs="宋体" w:hint="eastAsia"/>
          <w:sz w:val="24"/>
        </w:rPr>
        <w:t>信息举报与调查</w:t>
      </w:r>
    </w:p>
    <w:p w14:paraId="4F8672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企业应根据自身特点和实际情况建立和完善合</w:t>
      </w:r>
      <w:proofErr w:type="gramStart"/>
      <w:r>
        <w:rPr>
          <w:rFonts w:ascii="宋体" w:eastAsia="宋体" w:hAnsi="宋体" w:cs="宋体" w:hint="eastAsia"/>
          <w:sz w:val="24"/>
        </w:rPr>
        <w:t>规</w:t>
      </w:r>
      <w:proofErr w:type="gramEnd"/>
      <w:r>
        <w:rPr>
          <w:rFonts w:ascii="宋体" w:eastAsia="宋体" w:hAnsi="宋体" w:cs="宋体" w:hint="eastAsia"/>
          <w:sz w:val="24"/>
        </w:rPr>
        <w:t>信息举报体系。员工、客户和第三方均有权进行举报和投诉，企业应充分保护举报人。</w:t>
      </w:r>
    </w:p>
    <w:p w14:paraId="73EBE4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合</w:t>
      </w:r>
      <w:proofErr w:type="gramStart"/>
      <w:r>
        <w:rPr>
          <w:rFonts w:ascii="宋体" w:eastAsia="宋体" w:hAnsi="宋体" w:cs="宋体" w:hint="eastAsia"/>
          <w:sz w:val="24"/>
        </w:rPr>
        <w:t>规</w:t>
      </w:r>
      <w:proofErr w:type="gramEnd"/>
      <w:r>
        <w:rPr>
          <w:rFonts w:ascii="宋体" w:eastAsia="宋体" w:hAnsi="宋体" w:cs="宋体" w:hint="eastAsia"/>
          <w:sz w:val="24"/>
        </w:rPr>
        <w:t>管理部门或其他受理举报的监督部门应针对举报信息制定调查方案并开展调查。形成调查结论以后，企业应按照相关管理制度对违规行为进行处理。</w:t>
      </w:r>
    </w:p>
    <w:p w14:paraId="3BA011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合</w:t>
      </w:r>
      <w:proofErr w:type="gramStart"/>
      <w:r>
        <w:rPr>
          <w:rFonts w:ascii="宋体" w:eastAsia="宋体" w:hAnsi="宋体" w:cs="宋体" w:hint="eastAsia"/>
          <w:sz w:val="24"/>
        </w:rPr>
        <w:t>规</w:t>
      </w:r>
      <w:proofErr w:type="gramEnd"/>
      <w:r>
        <w:rPr>
          <w:rFonts w:ascii="宋体" w:eastAsia="宋体" w:hAnsi="宋体" w:cs="宋体" w:hint="eastAsia"/>
          <w:sz w:val="24"/>
        </w:rPr>
        <w:t>问责</w:t>
      </w:r>
    </w:p>
    <w:p w14:paraId="06D92D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企业应建立全面有效的合</w:t>
      </w:r>
      <w:proofErr w:type="gramStart"/>
      <w:r>
        <w:rPr>
          <w:rFonts w:ascii="宋体" w:eastAsia="宋体" w:hAnsi="宋体" w:cs="宋体" w:hint="eastAsia"/>
          <w:sz w:val="24"/>
        </w:rPr>
        <w:t>规</w:t>
      </w:r>
      <w:proofErr w:type="gramEnd"/>
      <w:r>
        <w:rPr>
          <w:rFonts w:ascii="宋体" w:eastAsia="宋体" w:hAnsi="宋体" w:cs="宋体" w:hint="eastAsia"/>
          <w:sz w:val="24"/>
        </w:rPr>
        <w:t>问责制度，明晰合</w:t>
      </w:r>
      <w:proofErr w:type="gramStart"/>
      <w:r>
        <w:rPr>
          <w:rFonts w:ascii="宋体" w:eastAsia="宋体" w:hAnsi="宋体" w:cs="宋体" w:hint="eastAsia"/>
          <w:sz w:val="24"/>
        </w:rPr>
        <w:t>规</w:t>
      </w:r>
      <w:proofErr w:type="gramEnd"/>
      <w:r>
        <w:rPr>
          <w:rFonts w:ascii="宋体" w:eastAsia="宋体" w:hAnsi="宋体" w:cs="宋体" w:hint="eastAsia"/>
          <w:sz w:val="24"/>
        </w:rPr>
        <w:t>责任范围，细化违规惩处标准，严格认定和追究违规行为责任。</w:t>
      </w:r>
    </w:p>
    <w:p w14:paraId="54B5B9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合</w:t>
      </w:r>
      <w:proofErr w:type="gramStart"/>
      <w:r>
        <w:rPr>
          <w:rFonts w:ascii="宋体" w:eastAsia="宋体" w:hAnsi="宋体" w:cs="宋体" w:hint="eastAsia"/>
          <w:sz w:val="24"/>
        </w:rPr>
        <w:t>规</w:t>
      </w:r>
      <w:proofErr w:type="gramEnd"/>
      <w:r>
        <w:rPr>
          <w:rFonts w:ascii="宋体" w:eastAsia="宋体" w:hAnsi="宋体" w:cs="宋体" w:hint="eastAsia"/>
          <w:sz w:val="24"/>
        </w:rPr>
        <w:t>风险识别、评估与处置</w:t>
      </w:r>
    </w:p>
    <w:p w14:paraId="5A9DAC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合</w:t>
      </w:r>
      <w:proofErr w:type="gramStart"/>
      <w:r>
        <w:rPr>
          <w:rFonts w:ascii="宋体" w:eastAsia="宋体" w:hAnsi="宋体" w:cs="宋体" w:hint="eastAsia"/>
          <w:sz w:val="24"/>
        </w:rPr>
        <w:t>规</w:t>
      </w:r>
      <w:proofErr w:type="gramEnd"/>
      <w:r>
        <w:rPr>
          <w:rFonts w:ascii="宋体" w:eastAsia="宋体" w:hAnsi="宋体" w:cs="宋体" w:hint="eastAsia"/>
          <w:sz w:val="24"/>
        </w:rPr>
        <w:t>风险</w:t>
      </w:r>
    </w:p>
    <w:p w14:paraId="6DE5D7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风险，是指企业或其员工因违规行为遭受法律制裁、监管处罚、重大财产损失或声誉损失以及其他负面影响的可能性。</w:t>
      </w:r>
    </w:p>
    <w:p w14:paraId="2580E2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合</w:t>
      </w:r>
      <w:proofErr w:type="gramStart"/>
      <w:r>
        <w:rPr>
          <w:rFonts w:ascii="宋体" w:eastAsia="宋体" w:hAnsi="宋体" w:cs="宋体" w:hint="eastAsia"/>
          <w:sz w:val="24"/>
        </w:rPr>
        <w:t>规</w:t>
      </w:r>
      <w:proofErr w:type="gramEnd"/>
      <w:r>
        <w:rPr>
          <w:rFonts w:ascii="宋体" w:eastAsia="宋体" w:hAnsi="宋体" w:cs="宋体" w:hint="eastAsia"/>
          <w:sz w:val="24"/>
        </w:rPr>
        <w:t>风险识别</w:t>
      </w:r>
    </w:p>
    <w:p w14:paraId="5C8450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企业应当建立必要的制度和流程，识别新的和变更的合</w:t>
      </w:r>
      <w:proofErr w:type="gramStart"/>
      <w:r>
        <w:rPr>
          <w:rFonts w:ascii="宋体" w:eastAsia="宋体" w:hAnsi="宋体" w:cs="宋体" w:hint="eastAsia"/>
          <w:sz w:val="24"/>
        </w:rPr>
        <w:t>规</w:t>
      </w:r>
      <w:proofErr w:type="gramEnd"/>
      <w:r>
        <w:rPr>
          <w:rFonts w:ascii="宋体" w:eastAsia="宋体" w:hAnsi="宋体" w:cs="宋体" w:hint="eastAsia"/>
          <w:sz w:val="24"/>
        </w:rPr>
        <w:t>要求。</w:t>
      </w:r>
    </w:p>
    <w:p w14:paraId="5B1D89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企业可围绕关键岗位或者核心业务流程，通过合</w:t>
      </w:r>
      <w:proofErr w:type="gramStart"/>
      <w:r>
        <w:rPr>
          <w:rFonts w:ascii="宋体" w:eastAsia="宋体" w:hAnsi="宋体" w:cs="宋体" w:hint="eastAsia"/>
          <w:sz w:val="24"/>
        </w:rPr>
        <w:t>规</w:t>
      </w:r>
      <w:proofErr w:type="gramEnd"/>
      <w:r>
        <w:rPr>
          <w:rFonts w:ascii="宋体" w:eastAsia="宋体" w:hAnsi="宋体" w:cs="宋体" w:hint="eastAsia"/>
          <w:sz w:val="24"/>
        </w:rPr>
        <w:t>咨询、审核、考核和违规查处等内部途径识别合</w:t>
      </w:r>
      <w:proofErr w:type="gramStart"/>
      <w:r>
        <w:rPr>
          <w:rFonts w:ascii="宋体" w:eastAsia="宋体" w:hAnsi="宋体" w:cs="宋体" w:hint="eastAsia"/>
          <w:sz w:val="24"/>
        </w:rPr>
        <w:t>规</w:t>
      </w:r>
      <w:proofErr w:type="gramEnd"/>
      <w:r>
        <w:rPr>
          <w:rFonts w:ascii="宋体" w:eastAsia="宋体" w:hAnsi="宋体" w:cs="宋体" w:hint="eastAsia"/>
          <w:sz w:val="24"/>
        </w:rPr>
        <w:t>风险，也可通过外部法律顾问咨询、持续跟踪监管机构有关信息、参加行业组织研讨等方式获悉外部监管要求的变化，识别合</w:t>
      </w:r>
      <w:proofErr w:type="gramStart"/>
      <w:r>
        <w:rPr>
          <w:rFonts w:ascii="宋体" w:eastAsia="宋体" w:hAnsi="宋体" w:cs="宋体" w:hint="eastAsia"/>
          <w:sz w:val="24"/>
        </w:rPr>
        <w:t>规</w:t>
      </w:r>
      <w:proofErr w:type="gramEnd"/>
      <w:r>
        <w:rPr>
          <w:rFonts w:ascii="宋体" w:eastAsia="宋体" w:hAnsi="宋体" w:cs="宋体" w:hint="eastAsia"/>
          <w:sz w:val="24"/>
        </w:rPr>
        <w:t>风险。</w:t>
      </w:r>
    </w:p>
    <w:p w14:paraId="1740B8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企业境外分支机构可通过聘请法律顾问、梳理行业合</w:t>
      </w:r>
      <w:proofErr w:type="gramStart"/>
      <w:r>
        <w:rPr>
          <w:rFonts w:ascii="宋体" w:eastAsia="宋体" w:hAnsi="宋体" w:cs="宋体" w:hint="eastAsia"/>
          <w:sz w:val="24"/>
        </w:rPr>
        <w:t>规</w:t>
      </w:r>
      <w:proofErr w:type="gramEnd"/>
      <w:r>
        <w:rPr>
          <w:rFonts w:ascii="宋体" w:eastAsia="宋体" w:hAnsi="宋体" w:cs="宋体" w:hint="eastAsia"/>
          <w:sz w:val="24"/>
        </w:rPr>
        <w:t>案例等方式动态了解掌握业务所涉国家（地区）政治经济和法律环境的变化，及时采取应对措施，有效识别各类合</w:t>
      </w:r>
      <w:proofErr w:type="gramStart"/>
      <w:r>
        <w:rPr>
          <w:rFonts w:ascii="宋体" w:eastAsia="宋体" w:hAnsi="宋体" w:cs="宋体" w:hint="eastAsia"/>
          <w:sz w:val="24"/>
        </w:rPr>
        <w:t>规</w:t>
      </w:r>
      <w:proofErr w:type="gramEnd"/>
      <w:r>
        <w:rPr>
          <w:rFonts w:ascii="宋体" w:eastAsia="宋体" w:hAnsi="宋体" w:cs="宋体" w:hint="eastAsia"/>
          <w:sz w:val="24"/>
        </w:rPr>
        <w:t>风险。</w:t>
      </w:r>
    </w:p>
    <w:p w14:paraId="290599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合</w:t>
      </w:r>
      <w:proofErr w:type="gramStart"/>
      <w:r>
        <w:rPr>
          <w:rFonts w:ascii="宋体" w:eastAsia="宋体" w:hAnsi="宋体" w:cs="宋体" w:hint="eastAsia"/>
          <w:sz w:val="24"/>
        </w:rPr>
        <w:t>规</w:t>
      </w:r>
      <w:proofErr w:type="gramEnd"/>
      <w:r>
        <w:rPr>
          <w:rFonts w:ascii="宋体" w:eastAsia="宋体" w:hAnsi="宋体" w:cs="宋体" w:hint="eastAsia"/>
          <w:sz w:val="24"/>
        </w:rPr>
        <w:t>风险评估</w:t>
      </w:r>
    </w:p>
    <w:p w14:paraId="56E749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企业可通过分析违规或可能造成违规的原因、来源、发生的可能性、后果的严重性等进行合</w:t>
      </w:r>
      <w:proofErr w:type="gramStart"/>
      <w:r>
        <w:rPr>
          <w:rFonts w:ascii="宋体" w:eastAsia="宋体" w:hAnsi="宋体" w:cs="宋体" w:hint="eastAsia"/>
          <w:sz w:val="24"/>
        </w:rPr>
        <w:t>规</w:t>
      </w:r>
      <w:proofErr w:type="gramEnd"/>
      <w:r>
        <w:rPr>
          <w:rFonts w:ascii="宋体" w:eastAsia="宋体" w:hAnsi="宋体" w:cs="宋体" w:hint="eastAsia"/>
          <w:sz w:val="24"/>
        </w:rPr>
        <w:t>风险评估。</w:t>
      </w:r>
    </w:p>
    <w:p w14:paraId="020B6B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企业可根据企业的规模、目标、市场环境及风险状况确定合</w:t>
      </w:r>
      <w:proofErr w:type="gramStart"/>
      <w:r>
        <w:rPr>
          <w:rFonts w:ascii="宋体" w:eastAsia="宋体" w:hAnsi="宋体" w:cs="宋体" w:hint="eastAsia"/>
          <w:sz w:val="24"/>
        </w:rPr>
        <w:t>规</w:t>
      </w:r>
      <w:proofErr w:type="gramEnd"/>
      <w:r>
        <w:rPr>
          <w:rFonts w:ascii="宋体" w:eastAsia="宋体" w:hAnsi="宋体" w:cs="宋体" w:hint="eastAsia"/>
          <w:sz w:val="24"/>
        </w:rPr>
        <w:t>风险评估的标准和合</w:t>
      </w:r>
      <w:proofErr w:type="gramStart"/>
      <w:r>
        <w:rPr>
          <w:rFonts w:ascii="宋体" w:eastAsia="宋体" w:hAnsi="宋体" w:cs="宋体" w:hint="eastAsia"/>
          <w:sz w:val="24"/>
        </w:rPr>
        <w:t>规</w:t>
      </w:r>
      <w:proofErr w:type="gramEnd"/>
      <w:r>
        <w:rPr>
          <w:rFonts w:ascii="宋体" w:eastAsia="宋体" w:hAnsi="宋体" w:cs="宋体" w:hint="eastAsia"/>
          <w:sz w:val="24"/>
        </w:rPr>
        <w:t>风险管理的优先级。</w:t>
      </w:r>
    </w:p>
    <w:p w14:paraId="0B2AD0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企业进行合</w:t>
      </w:r>
      <w:proofErr w:type="gramStart"/>
      <w:r>
        <w:rPr>
          <w:rFonts w:ascii="宋体" w:eastAsia="宋体" w:hAnsi="宋体" w:cs="宋体" w:hint="eastAsia"/>
          <w:sz w:val="24"/>
        </w:rPr>
        <w:t>规</w:t>
      </w:r>
      <w:proofErr w:type="gramEnd"/>
      <w:r>
        <w:rPr>
          <w:rFonts w:ascii="宋体" w:eastAsia="宋体" w:hAnsi="宋体" w:cs="宋体" w:hint="eastAsia"/>
          <w:sz w:val="24"/>
        </w:rPr>
        <w:t>风险评估后应形成评估报告，供决策层、高级管理层和业务部门等使用。评估报告内容包括风险评估实施概况、合</w:t>
      </w:r>
      <w:proofErr w:type="gramStart"/>
      <w:r>
        <w:rPr>
          <w:rFonts w:ascii="宋体" w:eastAsia="宋体" w:hAnsi="宋体" w:cs="宋体" w:hint="eastAsia"/>
          <w:sz w:val="24"/>
        </w:rPr>
        <w:t>规</w:t>
      </w:r>
      <w:proofErr w:type="gramEnd"/>
      <w:r>
        <w:rPr>
          <w:rFonts w:ascii="宋体" w:eastAsia="宋体" w:hAnsi="宋体" w:cs="宋体" w:hint="eastAsia"/>
          <w:sz w:val="24"/>
        </w:rPr>
        <w:t>风险基本评价、原因机制、可能的损失、处置建议、应对措施等。</w:t>
      </w:r>
    </w:p>
    <w:p w14:paraId="049BFF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第二十五条 合</w:t>
      </w:r>
      <w:proofErr w:type="gramStart"/>
      <w:r>
        <w:rPr>
          <w:rFonts w:ascii="宋体" w:eastAsia="宋体" w:hAnsi="宋体" w:cs="宋体" w:hint="eastAsia"/>
          <w:sz w:val="24"/>
        </w:rPr>
        <w:t>规</w:t>
      </w:r>
      <w:proofErr w:type="gramEnd"/>
      <w:r>
        <w:rPr>
          <w:rFonts w:ascii="宋体" w:eastAsia="宋体" w:hAnsi="宋体" w:cs="宋体" w:hint="eastAsia"/>
          <w:sz w:val="24"/>
        </w:rPr>
        <w:t>风险处置</w:t>
      </w:r>
    </w:p>
    <w:p w14:paraId="6FA52E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企业应建立健全合</w:t>
      </w:r>
      <w:proofErr w:type="gramStart"/>
      <w:r>
        <w:rPr>
          <w:rFonts w:ascii="宋体" w:eastAsia="宋体" w:hAnsi="宋体" w:cs="宋体" w:hint="eastAsia"/>
          <w:sz w:val="24"/>
        </w:rPr>
        <w:t>规</w:t>
      </w:r>
      <w:proofErr w:type="gramEnd"/>
      <w:r>
        <w:rPr>
          <w:rFonts w:ascii="宋体" w:eastAsia="宋体" w:hAnsi="宋体" w:cs="宋体" w:hint="eastAsia"/>
          <w:sz w:val="24"/>
        </w:rPr>
        <w:t>风险应对机制，对识别评估的各类合</w:t>
      </w:r>
      <w:proofErr w:type="gramStart"/>
      <w:r>
        <w:rPr>
          <w:rFonts w:ascii="宋体" w:eastAsia="宋体" w:hAnsi="宋体" w:cs="宋体" w:hint="eastAsia"/>
          <w:sz w:val="24"/>
        </w:rPr>
        <w:t>规</w:t>
      </w:r>
      <w:proofErr w:type="gramEnd"/>
      <w:r>
        <w:rPr>
          <w:rFonts w:ascii="宋体" w:eastAsia="宋体" w:hAnsi="宋体" w:cs="宋体" w:hint="eastAsia"/>
          <w:sz w:val="24"/>
        </w:rPr>
        <w:t>风险采取恰当的控制和处置措施。发生重大合</w:t>
      </w:r>
      <w:proofErr w:type="gramStart"/>
      <w:r>
        <w:rPr>
          <w:rFonts w:ascii="宋体" w:eastAsia="宋体" w:hAnsi="宋体" w:cs="宋体" w:hint="eastAsia"/>
          <w:sz w:val="24"/>
        </w:rPr>
        <w:t>规</w:t>
      </w:r>
      <w:proofErr w:type="gramEnd"/>
      <w:r>
        <w:rPr>
          <w:rFonts w:ascii="宋体" w:eastAsia="宋体" w:hAnsi="宋体" w:cs="宋体" w:hint="eastAsia"/>
          <w:sz w:val="24"/>
        </w:rPr>
        <w:t>风险时，企业合</w:t>
      </w:r>
      <w:proofErr w:type="gramStart"/>
      <w:r>
        <w:rPr>
          <w:rFonts w:ascii="宋体" w:eastAsia="宋体" w:hAnsi="宋体" w:cs="宋体" w:hint="eastAsia"/>
          <w:sz w:val="24"/>
        </w:rPr>
        <w:t>规</w:t>
      </w:r>
      <w:proofErr w:type="gramEnd"/>
      <w:r>
        <w:rPr>
          <w:rFonts w:ascii="宋体" w:eastAsia="宋体" w:hAnsi="宋体" w:cs="宋体" w:hint="eastAsia"/>
          <w:sz w:val="24"/>
        </w:rPr>
        <w:t>管理机构和其他相关部门应协同配合，依法及时采取补救措施，最大程度降低损失。必要时，应及时报告有关监管机构。</w:t>
      </w:r>
    </w:p>
    <w:p w14:paraId="2EED16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第七章 合</w:t>
      </w:r>
      <w:proofErr w:type="gramStart"/>
      <w:r>
        <w:rPr>
          <w:rFonts w:ascii="宋体" w:eastAsia="宋体" w:hAnsi="宋体" w:cs="宋体" w:hint="eastAsia"/>
          <w:sz w:val="24"/>
        </w:rPr>
        <w:t>规</w:t>
      </w:r>
      <w:proofErr w:type="gramEnd"/>
      <w:r>
        <w:rPr>
          <w:rFonts w:ascii="宋体" w:eastAsia="宋体" w:hAnsi="宋体" w:cs="宋体" w:hint="eastAsia"/>
          <w:sz w:val="24"/>
        </w:rPr>
        <w:t>评审与改进</w:t>
      </w:r>
    </w:p>
    <w:p w14:paraId="587726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合</w:t>
      </w:r>
      <w:proofErr w:type="gramStart"/>
      <w:r>
        <w:rPr>
          <w:rFonts w:ascii="宋体" w:eastAsia="宋体" w:hAnsi="宋体" w:cs="宋体" w:hint="eastAsia"/>
          <w:sz w:val="24"/>
        </w:rPr>
        <w:t>规</w:t>
      </w:r>
      <w:proofErr w:type="gramEnd"/>
      <w:r>
        <w:rPr>
          <w:rFonts w:ascii="宋体" w:eastAsia="宋体" w:hAnsi="宋体" w:cs="宋体" w:hint="eastAsia"/>
          <w:sz w:val="24"/>
        </w:rPr>
        <w:t>审计</w:t>
      </w:r>
    </w:p>
    <w:p w14:paraId="6E0A7B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企业合</w:t>
      </w:r>
      <w:proofErr w:type="gramStart"/>
      <w:r>
        <w:rPr>
          <w:rFonts w:ascii="宋体" w:eastAsia="宋体" w:hAnsi="宋体" w:cs="宋体" w:hint="eastAsia"/>
          <w:sz w:val="24"/>
        </w:rPr>
        <w:t>规</w:t>
      </w:r>
      <w:proofErr w:type="gramEnd"/>
      <w:r>
        <w:rPr>
          <w:rFonts w:ascii="宋体" w:eastAsia="宋体" w:hAnsi="宋体" w:cs="宋体" w:hint="eastAsia"/>
          <w:sz w:val="24"/>
        </w:rPr>
        <w:t>管理职能应与内部审计职能分离。企业审计部门应对企业合</w:t>
      </w:r>
      <w:proofErr w:type="gramStart"/>
      <w:r>
        <w:rPr>
          <w:rFonts w:ascii="宋体" w:eastAsia="宋体" w:hAnsi="宋体" w:cs="宋体" w:hint="eastAsia"/>
          <w:sz w:val="24"/>
        </w:rPr>
        <w:t>规</w:t>
      </w:r>
      <w:proofErr w:type="gramEnd"/>
      <w:r>
        <w:rPr>
          <w:rFonts w:ascii="宋体" w:eastAsia="宋体" w:hAnsi="宋体" w:cs="宋体" w:hint="eastAsia"/>
          <w:sz w:val="24"/>
        </w:rPr>
        <w:t>管理的执行情况、合</w:t>
      </w:r>
      <w:proofErr w:type="gramStart"/>
      <w:r>
        <w:rPr>
          <w:rFonts w:ascii="宋体" w:eastAsia="宋体" w:hAnsi="宋体" w:cs="宋体" w:hint="eastAsia"/>
          <w:sz w:val="24"/>
        </w:rPr>
        <w:t>规</w:t>
      </w:r>
      <w:proofErr w:type="gramEnd"/>
      <w:r>
        <w:rPr>
          <w:rFonts w:ascii="宋体" w:eastAsia="宋体" w:hAnsi="宋体" w:cs="宋体" w:hint="eastAsia"/>
          <w:sz w:val="24"/>
        </w:rPr>
        <w:t>管理体系的适当性和有效性等进行独立审计。审计部门应将合</w:t>
      </w:r>
      <w:proofErr w:type="gramStart"/>
      <w:r>
        <w:rPr>
          <w:rFonts w:ascii="宋体" w:eastAsia="宋体" w:hAnsi="宋体" w:cs="宋体" w:hint="eastAsia"/>
          <w:sz w:val="24"/>
        </w:rPr>
        <w:t>规</w:t>
      </w:r>
      <w:proofErr w:type="gramEnd"/>
      <w:r>
        <w:rPr>
          <w:rFonts w:ascii="宋体" w:eastAsia="宋体" w:hAnsi="宋体" w:cs="宋体" w:hint="eastAsia"/>
          <w:sz w:val="24"/>
        </w:rPr>
        <w:t>审计结果告知合</w:t>
      </w:r>
      <w:proofErr w:type="gramStart"/>
      <w:r>
        <w:rPr>
          <w:rFonts w:ascii="宋体" w:eastAsia="宋体" w:hAnsi="宋体" w:cs="宋体" w:hint="eastAsia"/>
          <w:sz w:val="24"/>
        </w:rPr>
        <w:t>规</w:t>
      </w:r>
      <w:proofErr w:type="gramEnd"/>
      <w:r>
        <w:rPr>
          <w:rFonts w:ascii="宋体" w:eastAsia="宋体" w:hAnsi="宋体" w:cs="宋体" w:hint="eastAsia"/>
          <w:sz w:val="24"/>
        </w:rPr>
        <w:t>管理部门，合</w:t>
      </w:r>
      <w:proofErr w:type="gramStart"/>
      <w:r>
        <w:rPr>
          <w:rFonts w:ascii="宋体" w:eastAsia="宋体" w:hAnsi="宋体" w:cs="宋体" w:hint="eastAsia"/>
          <w:sz w:val="24"/>
        </w:rPr>
        <w:t>规</w:t>
      </w:r>
      <w:proofErr w:type="gramEnd"/>
      <w:r>
        <w:rPr>
          <w:rFonts w:ascii="宋体" w:eastAsia="宋体" w:hAnsi="宋体" w:cs="宋体" w:hint="eastAsia"/>
          <w:sz w:val="24"/>
        </w:rPr>
        <w:t>管理部门也可根据合</w:t>
      </w:r>
      <w:proofErr w:type="gramStart"/>
      <w:r>
        <w:rPr>
          <w:rFonts w:ascii="宋体" w:eastAsia="宋体" w:hAnsi="宋体" w:cs="宋体" w:hint="eastAsia"/>
          <w:sz w:val="24"/>
        </w:rPr>
        <w:t>规</w:t>
      </w:r>
      <w:proofErr w:type="gramEnd"/>
      <w:r>
        <w:rPr>
          <w:rFonts w:ascii="宋体" w:eastAsia="宋体" w:hAnsi="宋体" w:cs="宋体" w:hint="eastAsia"/>
          <w:sz w:val="24"/>
        </w:rPr>
        <w:t>风险的识别和评估情况向审计部门提出开展审计工作的建议。</w:t>
      </w:r>
    </w:p>
    <w:p w14:paraId="233DC9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合</w:t>
      </w:r>
      <w:proofErr w:type="gramStart"/>
      <w:r>
        <w:rPr>
          <w:rFonts w:ascii="宋体" w:eastAsia="宋体" w:hAnsi="宋体" w:cs="宋体" w:hint="eastAsia"/>
          <w:sz w:val="24"/>
        </w:rPr>
        <w:t>规</w:t>
      </w:r>
      <w:proofErr w:type="gramEnd"/>
      <w:r>
        <w:rPr>
          <w:rFonts w:ascii="宋体" w:eastAsia="宋体" w:hAnsi="宋体" w:cs="宋体" w:hint="eastAsia"/>
          <w:sz w:val="24"/>
        </w:rPr>
        <w:t>管理体系评价</w:t>
      </w:r>
    </w:p>
    <w:p w14:paraId="145C07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企业应定期对合</w:t>
      </w:r>
      <w:proofErr w:type="gramStart"/>
      <w:r>
        <w:rPr>
          <w:rFonts w:ascii="宋体" w:eastAsia="宋体" w:hAnsi="宋体" w:cs="宋体" w:hint="eastAsia"/>
          <w:sz w:val="24"/>
        </w:rPr>
        <w:t>规</w:t>
      </w:r>
      <w:proofErr w:type="gramEnd"/>
      <w:r>
        <w:rPr>
          <w:rFonts w:ascii="宋体" w:eastAsia="宋体" w:hAnsi="宋体" w:cs="宋体" w:hint="eastAsia"/>
          <w:sz w:val="24"/>
        </w:rPr>
        <w:t>管理体系进行系统全面的评价，发现和纠正合</w:t>
      </w:r>
      <w:proofErr w:type="gramStart"/>
      <w:r>
        <w:rPr>
          <w:rFonts w:ascii="宋体" w:eastAsia="宋体" w:hAnsi="宋体" w:cs="宋体" w:hint="eastAsia"/>
          <w:sz w:val="24"/>
        </w:rPr>
        <w:t>规</w:t>
      </w:r>
      <w:proofErr w:type="gramEnd"/>
      <w:r>
        <w:rPr>
          <w:rFonts w:ascii="宋体" w:eastAsia="宋体" w:hAnsi="宋体" w:cs="宋体" w:hint="eastAsia"/>
          <w:sz w:val="24"/>
        </w:rPr>
        <w:t>管理贯彻执行中存在的问题，促进合</w:t>
      </w:r>
      <w:proofErr w:type="gramStart"/>
      <w:r>
        <w:rPr>
          <w:rFonts w:ascii="宋体" w:eastAsia="宋体" w:hAnsi="宋体" w:cs="宋体" w:hint="eastAsia"/>
          <w:sz w:val="24"/>
        </w:rPr>
        <w:t>规</w:t>
      </w:r>
      <w:proofErr w:type="gramEnd"/>
      <w:r>
        <w:rPr>
          <w:rFonts w:ascii="宋体" w:eastAsia="宋体" w:hAnsi="宋体" w:cs="宋体" w:hint="eastAsia"/>
          <w:sz w:val="24"/>
        </w:rPr>
        <w:t>体系的不断完善。合</w:t>
      </w:r>
      <w:proofErr w:type="gramStart"/>
      <w:r>
        <w:rPr>
          <w:rFonts w:ascii="宋体" w:eastAsia="宋体" w:hAnsi="宋体" w:cs="宋体" w:hint="eastAsia"/>
          <w:sz w:val="24"/>
        </w:rPr>
        <w:t>规</w:t>
      </w:r>
      <w:proofErr w:type="gramEnd"/>
      <w:r>
        <w:rPr>
          <w:rFonts w:ascii="宋体" w:eastAsia="宋体" w:hAnsi="宋体" w:cs="宋体" w:hint="eastAsia"/>
          <w:sz w:val="24"/>
        </w:rPr>
        <w:t>管理体系评价可由企业合</w:t>
      </w:r>
      <w:proofErr w:type="gramStart"/>
      <w:r>
        <w:rPr>
          <w:rFonts w:ascii="宋体" w:eastAsia="宋体" w:hAnsi="宋体" w:cs="宋体" w:hint="eastAsia"/>
          <w:sz w:val="24"/>
        </w:rPr>
        <w:t>规</w:t>
      </w:r>
      <w:proofErr w:type="gramEnd"/>
      <w:r>
        <w:rPr>
          <w:rFonts w:ascii="宋体" w:eastAsia="宋体" w:hAnsi="宋体" w:cs="宋体" w:hint="eastAsia"/>
          <w:sz w:val="24"/>
        </w:rPr>
        <w:t>管理相关部门组织开展或委托外部专业机构开展。</w:t>
      </w:r>
    </w:p>
    <w:p w14:paraId="299614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企业在开展效果评价时，应考虑企业面临的合</w:t>
      </w:r>
      <w:proofErr w:type="gramStart"/>
      <w:r>
        <w:rPr>
          <w:rFonts w:ascii="宋体" w:eastAsia="宋体" w:hAnsi="宋体" w:cs="宋体" w:hint="eastAsia"/>
          <w:sz w:val="24"/>
        </w:rPr>
        <w:t>规</w:t>
      </w:r>
      <w:proofErr w:type="gramEnd"/>
      <w:r>
        <w:rPr>
          <w:rFonts w:ascii="宋体" w:eastAsia="宋体" w:hAnsi="宋体" w:cs="宋体" w:hint="eastAsia"/>
          <w:sz w:val="24"/>
        </w:rPr>
        <w:t>要求变化情况，不断调整合</w:t>
      </w:r>
      <w:proofErr w:type="gramStart"/>
      <w:r>
        <w:rPr>
          <w:rFonts w:ascii="宋体" w:eastAsia="宋体" w:hAnsi="宋体" w:cs="宋体" w:hint="eastAsia"/>
          <w:sz w:val="24"/>
        </w:rPr>
        <w:t>规</w:t>
      </w:r>
      <w:proofErr w:type="gramEnd"/>
      <w:r>
        <w:rPr>
          <w:rFonts w:ascii="宋体" w:eastAsia="宋体" w:hAnsi="宋体" w:cs="宋体" w:hint="eastAsia"/>
          <w:sz w:val="24"/>
        </w:rPr>
        <w:t>管理目标，更新合</w:t>
      </w:r>
      <w:proofErr w:type="gramStart"/>
      <w:r>
        <w:rPr>
          <w:rFonts w:ascii="宋体" w:eastAsia="宋体" w:hAnsi="宋体" w:cs="宋体" w:hint="eastAsia"/>
          <w:sz w:val="24"/>
        </w:rPr>
        <w:t>规</w:t>
      </w:r>
      <w:proofErr w:type="gramEnd"/>
      <w:r>
        <w:rPr>
          <w:rFonts w:ascii="宋体" w:eastAsia="宋体" w:hAnsi="宋体" w:cs="宋体" w:hint="eastAsia"/>
          <w:sz w:val="24"/>
        </w:rPr>
        <w:t>风险管理措施，以满足内外部合</w:t>
      </w:r>
      <w:proofErr w:type="gramStart"/>
      <w:r>
        <w:rPr>
          <w:rFonts w:ascii="宋体" w:eastAsia="宋体" w:hAnsi="宋体" w:cs="宋体" w:hint="eastAsia"/>
          <w:sz w:val="24"/>
        </w:rPr>
        <w:t>规</w:t>
      </w:r>
      <w:proofErr w:type="gramEnd"/>
      <w:r>
        <w:rPr>
          <w:rFonts w:ascii="宋体" w:eastAsia="宋体" w:hAnsi="宋体" w:cs="宋体" w:hint="eastAsia"/>
          <w:sz w:val="24"/>
        </w:rPr>
        <w:t>管理要求。</w:t>
      </w:r>
    </w:p>
    <w:p w14:paraId="7DA5F0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持续改进</w:t>
      </w:r>
    </w:p>
    <w:p w14:paraId="62090D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企业应根据合</w:t>
      </w:r>
      <w:proofErr w:type="gramStart"/>
      <w:r>
        <w:rPr>
          <w:rFonts w:ascii="宋体" w:eastAsia="宋体" w:hAnsi="宋体" w:cs="宋体" w:hint="eastAsia"/>
          <w:sz w:val="24"/>
        </w:rPr>
        <w:t>规</w:t>
      </w:r>
      <w:proofErr w:type="gramEnd"/>
      <w:r>
        <w:rPr>
          <w:rFonts w:ascii="宋体" w:eastAsia="宋体" w:hAnsi="宋体" w:cs="宋体" w:hint="eastAsia"/>
          <w:sz w:val="24"/>
        </w:rPr>
        <w:t>审计和体系评价情况，进入合</w:t>
      </w:r>
      <w:proofErr w:type="gramStart"/>
      <w:r>
        <w:rPr>
          <w:rFonts w:ascii="宋体" w:eastAsia="宋体" w:hAnsi="宋体" w:cs="宋体" w:hint="eastAsia"/>
          <w:sz w:val="24"/>
        </w:rPr>
        <w:t>规</w:t>
      </w:r>
      <w:proofErr w:type="gramEnd"/>
      <w:r>
        <w:rPr>
          <w:rFonts w:ascii="宋体" w:eastAsia="宋体" w:hAnsi="宋体" w:cs="宋体" w:hint="eastAsia"/>
          <w:sz w:val="24"/>
        </w:rPr>
        <w:t>风险再识别和合</w:t>
      </w:r>
      <w:proofErr w:type="gramStart"/>
      <w:r>
        <w:rPr>
          <w:rFonts w:ascii="宋体" w:eastAsia="宋体" w:hAnsi="宋体" w:cs="宋体" w:hint="eastAsia"/>
          <w:sz w:val="24"/>
        </w:rPr>
        <w:t>规制度再制定</w:t>
      </w:r>
      <w:proofErr w:type="gramEnd"/>
      <w:r>
        <w:rPr>
          <w:rFonts w:ascii="宋体" w:eastAsia="宋体" w:hAnsi="宋体" w:cs="宋体" w:hint="eastAsia"/>
          <w:sz w:val="24"/>
        </w:rPr>
        <w:t>的持续改进阶段，保障合</w:t>
      </w:r>
      <w:proofErr w:type="gramStart"/>
      <w:r>
        <w:rPr>
          <w:rFonts w:ascii="宋体" w:eastAsia="宋体" w:hAnsi="宋体" w:cs="宋体" w:hint="eastAsia"/>
          <w:sz w:val="24"/>
        </w:rPr>
        <w:t>规</w:t>
      </w:r>
      <w:proofErr w:type="gramEnd"/>
      <w:r>
        <w:rPr>
          <w:rFonts w:ascii="宋体" w:eastAsia="宋体" w:hAnsi="宋体" w:cs="宋体" w:hint="eastAsia"/>
          <w:sz w:val="24"/>
        </w:rPr>
        <w:t>管理体系全环节的稳健运行。</w:t>
      </w:r>
    </w:p>
    <w:p w14:paraId="1046E4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企业应积极配合监管机构的监督检查，并根据监管要求及时改进合</w:t>
      </w:r>
      <w:proofErr w:type="gramStart"/>
      <w:r>
        <w:rPr>
          <w:rFonts w:ascii="宋体" w:eastAsia="宋体" w:hAnsi="宋体" w:cs="宋体" w:hint="eastAsia"/>
          <w:sz w:val="24"/>
        </w:rPr>
        <w:t>规</w:t>
      </w:r>
      <w:proofErr w:type="gramEnd"/>
      <w:r>
        <w:rPr>
          <w:rFonts w:ascii="宋体" w:eastAsia="宋体" w:hAnsi="宋体" w:cs="宋体" w:hint="eastAsia"/>
          <w:sz w:val="24"/>
        </w:rPr>
        <w:t>管理体系，提高合</w:t>
      </w:r>
      <w:proofErr w:type="gramStart"/>
      <w:r>
        <w:rPr>
          <w:rFonts w:ascii="宋体" w:eastAsia="宋体" w:hAnsi="宋体" w:cs="宋体" w:hint="eastAsia"/>
          <w:sz w:val="24"/>
        </w:rPr>
        <w:t>规</w:t>
      </w:r>
      <w:proofErr w:type="gramEnd"/>
      <w:r>
        <w:rPr>
          <w:rFonts w:ascii="宋体" w:eastAsia="宋体" w:hAnsi="宋体" w:cs="宋体" w:hint="eastAsia"/>
          <w:sz w:val="24"/>
        </w:rPr>
        <w:t>管理水平。</w:t>
      </w:r>
    </w:p>
    <w:p w14:paraId="0AB013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第八章 合</w:t>
      </w:r>
      <w:proofErr w:type="gramStart"/>
      <w:r>
        <w:rPr>
          <w:rFonts w:ascii="宋体" w:eastAsia="宋体" w:hAnsi="宋体" w:cs="宋体" w:hint="eastAsia"/>
          <w:sz w:val="24"/>
        </w:rPr>
        <w:t>规</w:t>
      </w:r>
      <w:proofErr w:type="gramEnd"/>
      <w:r>
        <w:rPr>
          <w:rFonts w:ascii="宋体" w:eastAsia="宋体" w:hAnsi="宋体" w:cs="宋体" w:hint="eastAsia"/>
          <w:sz w:val="24"/>
        </w:rPr>
        <w:t>文化建设</w:t>
      </w:r>
    </w:p>
    <w:p w14:paraId="1FE990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合</w:t>
      </w:r>
      <w:proofErr w:type="gramStart"/>
      <w:r>
        <w:rPr>
          <w:rFonts w:ascii="宋体" w:eastAsia="宋体" w:hAnsi="宋体" w:cs="宋体" w:hint="eastAsia"/>
          <w:sz w:val="24"/>
        </w:rPr>
        <w:t>规</w:t>
      </w:r>
      <w:proofErr w:type="gramEnd"/>
      <w:r>
        <w:rPr>
          <w:rFonts w:ascii="宋体" w:eastAsia="宋体" w:hAnsi="宋体" w:cs="宋体" w:hint="eastAsia"/>
          <w:sz w:val="24"/>
        </w:rPr>
        <w:t>文化培育</w:t>
      </w:r>
    </w:p>
    <w:p w14:paraId="5E6257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企业应将合</w:t>
      </w:r>
      <w:proofErr w:type="gramStart"/>
      <w:r>
        <w:rPr>
          <w:rFonts w:ascii="宋体" w:eastAsia="宋体" w:hAnsi="宋体" w:cs="宋体" w:hint="eastAsia"/>
          <w:sz w:val="24"/>
        </w:rPr>
        <w:t>规</w:t>
      </w:r>
      <w:proofErr w:type="gramEnd"/>
      <w:r>
        <w:rPr>
          <w:rFonts w:ascii="宋体" w:eastAsia="宋体" w:hAnsi="宋体" w:cs="宋体" w:hint="eastAsia"/>
          <w:sz w:val="24"/>
        </w:rPr>
        <w:t>文化作为企业文化建设的重要内容。企业决策层和高级管理层</w:t>
      </w:r>
      <w:r>
        <w:rPr>
          <w:rFonts w:ascii="宋体" w:eastAsia="宋体" w:hAnsi="宋体" w:cs="宋体" w:hint="eastAsia"/>
          <w:sz w:val="24"/>
        </w:rPr>
        <w:lastRenderedPageBreak/>
        <w:t>应确立企业合</w:t>
      </w:r>
      <w:proofErr w:type="gramStart"/>
      <w:r>
        <w:rPr>
          <w:rFonts w:ascii="宋体" w:eastAsia="宋体" w:hAnsi="宋体" w:cs="宋体" w:hint="eastAsia"/>
          <w:sz w:val="24"/>
        </w:rPr>
        <w:t>规</w:t>
      </w:r>
      <w:proofErr w:type="gramEnd"/>
      <w:r>
        <w:rPr>
          <w:rFonts w:ascii="宋体" w:eastAsia="宋体" w:hAnsi="宋体" w:cs="宋体" w:hint="eastAsia"/>
          <w:sz w:val="24"/>
        </w:rPr>
        <w:t>理念，注重身体力行。企业应</w:t>
      </w:r>
      <w:proofErr w:type="gramStart"/>
      <w:r>
        <w:rPr>
          <w:rFonts w:ascii="宋体" w:eastAsia="宋体" w:hAnsi="宋体" w:cs="宋体" w:hint="eastAsia"/>
          <w:sz w:val="24"/>
        </w:rPr>
        <w:t>践行</w:t>
      </w:r>
      <w:proofErr w:type="gramEnd"/>
      <w:r>
        <w:rPr>
          <w:rFonts w:ascii="宋体" w:eastAsia="宋体" w:hAnsi="宋体" w:cs="宋体" w:hint="eastAsia"/>
          <w:sz w:val="24"/>
        </w:rPr>
        <w:t>依法合</w:t>
      </w:r>
      <w:proofErr w:type="gramStart"/>
      <w:r>
        <w:rPr>
          <w:rFonts w:ascii="宋体" w:eastAsia="宋体" w:hAnsi="宋体" w:cs="宋体" w:hint="eastAsia"/>
          <w:sz w:val="24"/>
        </w:rPr>
        <w:t>规</w:t>
      </w:r>
      <w:proofErr w:type="gramEnd"/>
      <w:r>
        <w:rPr>
          <w:rFonts w:ascii="宋体" w:eastAsia="宋体" w:hAnsi="宋体" w:cs="宋体" w:hint="eastAsia"/>
          <w:sz w:val="24"/>
        </w:rPr>
        <w:t>、诚信经营的价值观，不断增强员工的合</w:t>
      </w:r>
      <w:proofErr w:type="gramStart"/>
      <w:r>
        <w:rPr>
          <w:rFonts w:ascii="宋体" w:eastAsia="宋体" w:hAnsi="宋体" w:cs="宋体" w:hint="eastAsia"/>
          <w:sz w:val="24"/>
        </w:rPr>
        <w:t>规</w:t>
      </w:r>
      <w:proofErr w:type="gramEnd"/>
      <w:r>
        <w:rPr>
          <w:rFonts w:ascii="宋体" w:eastAsia="宋体" w:hAnsi="宋体" w:cs="宋体" w:hint="eastAsia"/>
          <w:sz w:val="24"/>
        </w:rPr>
        <w:t>意识和行为自觉，营造依规办事、按章操作的文化氛围。</w:t>
      </w:r>
    </w:p>
    <w:p w14:paraId="7DCBAB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合</w:t>
      </w:r>
      <w:proofErr w:type="gramStart"/>
      <w:r>
        <w:rPr>
          <w:rFonts w:ascii="宋体" w:eastAsia="宋体" w:hAnsi="宋体" w:cs="宋体" w:hint="eastAsia"/>
          <w:sz w:val="24"/>
        </w:rPr>
        <w:t>规</w:t>
      </w:r>
      <w:proofErr w:type="gramEnd"/>
      <w:r>
        <w:rPr>
          <w:rFonts w:ascii="宋体" w:eastAsia="宋体" w:hAnsi="宋体" w:cs="宋体" w:hint="eastAsia"/>
          <w:sz w:val="24"/>
        </w:rPr>
        <w:t>文化推广</w:t>
      </w:r>
    </w:p>
    <w:p w14:paraId="0985B5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企业应将合</w:t>
      </w:r>
      <w:proofErr w:type="gramStart"/>
      <w:r>
        <w:rPr>
          <w:rFonts w:ascii="宋体" w:eastAsia="宋体" w:hAnsi="宋体" w:cs="宋体" w:hint="eastAsia"/>
          <w:sz w:val="24"/>
        </w:rPr>
        <w:t>规</w:t>
      </w:r>
      <w:proofErr w:type="gramEnd"/>
      <w:r>
        <w:rPr>
          <w:rFonts w:ascii="宋体" w:eastAsia="宋体" w:hAnsi="宋体" w:cs="宋体" w:hint="eastAsia"/>
          <w:sz w:val="24"/>
        </w:rPr>
        <w:t>作为企业经营理念和社会责任的重要内容，并将合</w:t>
      </w:r>
      <w:proofErr w:type="gramStart"/>
      <w:r>
        <w:rPr>
          <w:rFonts w:ascii="宋体" w:eastAsia="宋体" w:hAnsi="宋体" w:cs="宋体" w:hint="eastAsia"/>
          <w:sz w:val="24"/>
        </w:rPr>
        <w:t>规</w:t>
      </w:r>
      <w:proofErr w:type="gramEnd"/>
      <w:r>
        <w:rPr>
          <w:rFonts w:ascii="宋体" w:eastAsia="宋体" w:hAnsi="宋体" w:cs="宋体" w:hint="eastAsia"/>
          <w:sz w:val="24"/>
        </w:rPr>
        <w:t>文化传递</w:t>
      </w:r>
      <w:proofErr w:type="gramStart"/>
      <w:r>
        <w:rPr>
          <w:rFonts w:ascii="宋体" w:eastAsia="宋体" w:hAnsi="宋体" w:cs="宋体" w:hint="eastAsia"/>
          <w:sz w:val="24"/>
        </w:rPr>
        <w:t>至利益</w:t>
      </w:r>
      <w:proofErr w:type="gramEnd"/>
      <w:r>
        <w:rPr>
          <w:rFonts w:ascii="宋体" w:eastAsia="宋体" w:hAnsi="宋体" w:cs="宋体" w:hint="eastAsia"/>
          <w:sz w:val="24"/>
        </w:rPr>
        <w:t>相关方。企业应树立积极正面的合</w:t>
      </w:r>
      <w:proofErr w:type="gramStart"/>
      <w:r>
        <w:rPr>
          <w:rFonts w:ascii="宋体" w:eastAsia="宋体" w:hAnsi="宋体" w:cs="宋体" w:hint="eastAsia"/>
          <w:sz w:val="24"/>
        </w:rPr>
        <w:t>规</w:t>
      </w:r>
      <w:proofErr w:type="gramEnd"/>
      <w:r>
        <w:rPr>
          <w:rFonts w:ascii="宋体" w:eastAsia="宋体" w:hAnsi="宋体" w:cs="宋体" w:hint="eastAsia"/>
          <w:sz w:val="24"/>
        </w:rPr>
        <w:t>形象，促进行业合</w:t>
      </w:r>
      <w:proofErr w:type="gramStart"/>
      <w:r>
        <w:rPr>
          <w:rFonts w:ascii="宋体" w:eastAsia="宋体" w:hAnsi="宋体" w:cs="宋体" w:hint="eastAsia"/>
          <w:sz w:val="24"/>
        </w:rPr>
        <w:t>规</w:t>
      </w:r>
      <w:proofErr w:type="gramEnd"/>
      <w:r>
        <w:rPr>
          <w:rFonts w:ascii="宋体" w:eastAsia="宋体" w:hAnsi="宋体" w:cs="宋体" w:hint="eastAsia"/>
          <w:sz w:val="24"/>
        </w:rPr>
        <w:t>文化发展，营造和谐健康的境外经营环境。</w:t>
      </w:r>
    </w:p>
    <w:p w14:paraId="697FD6B1"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685C20C3"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113.《中国银保监会关于开展“巩固治乱象成果 促进合规建设”工作的通知》</w:t>
      </w:r>
    </w:p>
    <w:p w14:paraId="3161B8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发文机构：中国银行保险监督管理委员会(已撤销)</w:t>
      </w:r>
      <w:r>
        <w:rPr>
          <w:rFonts w:ascii="宋体" w:eastAsia="宋体" w:hAnsi="宋体" w:cs="宋体" w:hint="eastAsia"/>
          <w:sz w:val="24"/>
        </w:rPr>
        <w:tab/>
      </w:r>
    </w:p>
    <w:p w14:paraId="0CE545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文号：银保监发〔2019〕23号</w:t>
      </w:r>
    </w:p>
    <w:p w14:paraId="52A0E966"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各银保</w:t>
      </w:r>
      <w:proofErr w:type="gramEnd"/>
      <w:r>
        <w:rPr>
          <w:rFonts w:ascii="宋体" w:eastAsia="宋体" w:hAnsi="宋体" w:cs="宋体" w:hint="eastAsia"/>
          <w:sz w:val="24"/>
        </w:rPr>
        <w:t>监局，各政策性银行、大型银行、股份制银行，邮储银行，外资银行，各金融资产管理公司，各保险集团（控股）公司、保险公司、保险资产管理公司：</w:t>
      </w:r>
    </w:p>
    <w:p w14:paraId="0226D8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为全面贯彻党中央、国务院关于金融工作的决策部署，打好防范化解金融风险攻坚战，推动银行业保险业实现高质量发展，银保监会决定开展银行保险机构“巩固治乱象成果 促进合</w:t>
      </w:r>
      <w:proofErr w:type="gramStart"/>
      <w:r>
        <w:rPr>
          <w:rFonts w:ascii="宋体" w:eastAsia="宋体" w:hAnsi="宋体" w:cs="宋体" w:hint="eastAsia"/>
          <w:sz w:val="24"/>
        </w:rPr>
        <w:t>规</w:t>
      </w:r>
      <w:proofErr w:type="gramEnd"/>
      <w:r>
        <w:rPr>
          <w:rFonts w:ascii="宋体" w:eastAsia="宋体" w:hAnsi="宋体" w:cs="宋体" w:hint="eastAsia"/>
          <w:sz w:val="24"/>
        </w:rPr>
        <w:t>建设”工作。现将有关事项通知如下：</w:t>
      </w:r>
    </w:p>
    <w:p w14:paraId="273972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一、总体要求</w:t>
      </w:r>
    </w:p>
    <w:p w14:paraId="61D97F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指导思想。以习近平新时代中国特色社会主义思想为指导，全面贯彻党的十九大和十九届二中、三中全会精神，落实中央经济工作会议和全国金融工作会议要求，坚持稳中求进工作总基调，精准有效处置重点领域风险，推动银行保险机构厚植合</w:t>
      </w:r>
      <w:proofErr w:type="gramStart"/>
      <w:r>
        <w:rPr>
          <w:rFonts w:ascii="宋体" w:eastAsia="宋体" w:hAnsi="宋体" w:cs="宋体" w:hint="eastAsia"/>
          <w:sz w:val="24"/>
        </w:rPr>
        <w:t>规</w:t>
      </w:r>
      <w:proofErr w:type="gramEnd"/>
      <w:r>
        <w:rPr>
          <w:rFonts w:ascii="宋体" w:eastAsia="宋体" w:hAnsi="宋体" w:cs="宋体" w:hint="eastAsia"/>
          <w:sz w:val="24"/>
        </w:rPr>
        <w:t>文化，坚决守住不发生系统性风险的底线。</w:t>
      </w:r>
    </w:p>
    <w:p w14:paraId="6FF07D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（二）工作目标。查处屡查屡犯违规问题，消化存量，在推动银行保险机构合</w:t>
      </w:r>
      <w:proofErr w:type="gramStart"/>
      <w:r>
        <w:rPr>
          <w:rFonts w:ascii="宋体" w:eastAsia="宋体" w:hAnsi="宋体" w:cs="宋体" w:hint="eastAsia"/>
          <w:sz w:val="24"/>
        </w:rPr>
        <w:t>规</w:t>
      </w:r>
      <w:proofErr w:type="gramEnd"/>
      <w:r>
        <w:rPr>
          <w:rFonts w:ascii="宋体" w:eastAsia="宋体" w:hAnsi="宋体" w:cs="宋体" w:hint="eastAsia"/>
          <w:sz w:val="24"/>
        </w:rPr>
        <w:t>建设方面取得新成效；查处重点风险及违规问题，遏制增量，在推动银行业保险业生态修复方面取得新进展；推进金融供给侧结构性改革，在实现高质量发展和提升服务实体经济水平、能力方面取得新突破。</w:t>
      </w:r>
    </w:p>
    <w:p w14:paraId="7811FC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（三）工作原则。防风险与</w:t>
      </w:r>
      <w:proofErr w:type="gramStart"/>
      <w:r>
        <w:rPr>
          <w:rFonts w:ascii="宋体" w:eastAsia="宋体" w:hAnsi="宋体" w:cs="宋体" w:hint="eastAsia"/>
          <w:sz w:val="24"/>
        </w:rPr>
        <w:t>稳增长</w:t>
      </w:r>
      <w:proofErr w:type="gramEnd"/>
      <w:r>
        <w:rPr>
          <w:rFonts w:ascii="宋体" w:eastAsia="宋体" w:hAnsi="宋体" w:cs="宋体" w:hint="eastAsia"/>
          <w:sz w:val="24"/>
        </w:rPr>
        <w:t>相结合，坚持在</w:t>
      </w:r>
      <w:proofErr w:type="gramStart"/>
      <w:r>
        <w:rPr>
          <w:rFonts w:ascii="宋体" w:eastAsia="宋体" w:hAnsi="宋体" w:cs="宋体" w:hint="eastAsia"/>
          <w:sz w:val="24"/>
        </w:rPr>
        <w:t>稳增长</w:t>
      </w:r>
      <w:proofErr w:type="gramEnd"/>
      <w:r>
        <w:rPr>
          <w:rFonts w:ascii="宋体" w:eastAsia="宋体" w:hAnsi="宋体" w:cs="宋体" w:hint="eastAsia"/>
          <w:sz w:val="24"/>
        </w:rPr>
        <w:t>的基础上防风险、治乱象，通过乱象整治推进解决金融服务实体经济中的痛点和难点问题，不断完善金融服务，引导资金更好服务于国家重大战略和支持民营小微企业，实现防风险、治乱象和稳增长、调结构的有机统一。削减违规存量问题与遏制违规增量问题相结合，坚持已发现问题整改和新问题查处两手抓，两手都要硬。强内控与严监管相结合，各银行保险机构必须落实乱象治理与合</w:t>
      </w:r>
      <w:proofErr w:type="gramStart"/>
      <w:r>
        <w:rPr>
          <w:rFonts w:ascii="宋体" w:eastAsia="宋体" w:hAnsi="宋体" w:cs="宋体" w:hint="eastAsia"/>
          <w:sz w:val="24"/>
        </w:rPr>
        <w:t>规</w:t>
      </w:r>
      <w:proofErr w:type="gramEnd"/>
      <w:r>
        <w:rPr>
          <w:rFonts w:ascii="宋体" w:eastAsia="宋体" w:hAnsi="宋体" w:cs="宋体" w:hint="eastAsia"/>
          <w:sz w:val="24"/>
        </w:rPr>
        <w:t>建设的主体责任，各级监管机构必须牢固树立法治意识、规矩意识，将严监管长期坚持下去。保持定力与把握力度相结合，既坚持对市场乱象的“零容忍”，又主动适应宏观形势变化，把握好节奏力度，严防处置风险的风险。</w:t>
      </w:r>
    </w:p>
    <w:p w14:paraId="65085D6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二、主要任务</w:t>
      </w:r>
    </w:p>
    <w:p w14:paraId="0CF40D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夯实乱象整治工作的思想根基。以党的政治建设为统领，把党的政治建设摆在首要位置，推动党中央各项决策部署在银行保险机构得到有效落实。一要提高政治站位。坚持党中央对金融工作的集中统一领导，以贯彻落</w:t>
      </w:r>
      <w:proofErr w:type="gramStart"/>
      <w:r>
        <w:rPr>
          <w:rFonts w:ascii="宋体" w:eastAsia="宋体" w:hAnsi="宋体" w:cs="宋体" w:hint="eastAsia"/>
          <w:sz w:val="24"/>
        </w:rPr>
        <w:t>实习近</w:t>
      </w:r>
      <w:proofErr w:type="gramEnd"/>
      <w:r>
        <w:rPr>
          <w:rFonts w:ascii="宋体" w:eastAsia="宋体" w:hAnsi="宋体" w:cs="宋体" w:hint="eastAsia"/>
          <w:sz w:val="24"/>
        </w:rPr>
        <w:t>平总书记对完善金融服务、防范金融风险的要求为首要政治责任、领导责任、工作责任。二要坚持不懈整治乱象。必须充分认识市场乱象整治工作的长期性、复杂性和艰巨性，要增强工作责任感和使命感，持续保持对违法违规行为的高压态势，实现银行业保险业生态的不断净化。三要切实履行监管责任。聚焦金融风险和金融乱象交织问题，以机构改革为契机，严查严处违规，惩治金融腐败，切实解决金融领域违法违规成本过低问题，确保机构改革与整治工作“两不误、两促进”。</w:t>
      </w:r>
    </w:p>
    <w:p w14:paraId="09A408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（二）巩固乱象整治工作成果。在全国银行保险机构范围内，开展对2018年深化整治市场乱象工作自查和监管检查发现问题整改问</w:t>
      </w:r>
      <w:proofErr w:type="gramStart"/>
      <w:r>
        <w:rPr>
          <w:rFonts w:ascii="宋体" w:eastAsia="宋体" w:hAnsi="宋体" w:cs="宋体" w:hint="eastAsia"/>
          <w:sz w:val="24"/>
        </w:rPr>
        <w:t>责情况</w:t>
      </w:r>
      <w:proofErr w:type="gramEnd"/>
      <w:r>
        <w:rPr>
          <w:rFonts w:ascii="宋体" w:eastAsia="宋体" w:hAnsi="宋体" w:cs="宋体" w:hint="eastAsia"/>
          <w:sz w:val="24"/>
        </w:rPr>
        <w:t>“回头看”。一看问题整改。整改工具箱是否健全，是否存在简单一刀切的问题；整改措施是否对症恰当，是否存在上题下答、下题上答现象；整改措施是否执行到位；整治之后是否存在反弹反复。</w:t>
      </w:r>
      <w:proofErr w:type="gramStart"/>
      <w:r>
        <w:rPr>
          <w:rFonts w:ascii="宋体" w:eastAsia="宋体" w:hAnsi="宋体" w:cs="宋体" w:hint="eastAsia"/>
          <w:sz w:val="24"/>
        </w:rPr>
        <w:t>二看问责</w:t>
      </w:r>
      <w:proofErr w:type="gramEnd"/>
      <w:r>
        <w:rPr>
          <w:rFonts w:ascii="宋体" w:eastAsia="宋体" w:hAnsi="宋体" w:cs="宋体" w:hint="eastAsia"/>
          <w:sz w:val="24"/>
        </w:rPr>
        <w:t>处理。是否建立起明确的问责机制、标准、程序等；是否</w:t>
      </w:r>
      <w:proofErr w:type="gramStart"/>
      <w:r>
        <w:rPr>
          <w:rFonts w:ascii="宋体" w:eastAsia="宋体" w:hAnsi="宋体" w:cs="宋体" w:hint="eastAsia"/>
          <w:sz w:val="24"/>
        </w:rPr>
        <w:t>存在问</w:t>
      </w:r>
      <w:proofErr w:type="gramEnd"/>
      <w:r>
        <w:rPr>
          <w:rFonts w:ascii="宋体" w:eastAsia="宋体" w:hAnsi="宋体" w:cs="宋体" w:hint="eastAsia"/>
          <w:sz w:val="24"/>
        </w:rPr>
        <w:t>下不问上、简单以经济处罚代替纪律处分情况；是否将问题情况、整改情况与人员绩效考核相挂钩；对监管机构明确责令追究相关责任人责任的，是否严肃追究。三</w:t>
      </w:r>
      <w:proofErr w:type="gramStart"/>
      <w:r>
        <w:rPr>
          <w:rFonts w:ascii="宋体" w:eastAsia="宋体" w:hAnsi="宋体" w:cs="宋体" w:hint="eastAsia"/>
          <w:sz w:val="24"/>
        </w:rPr>
        <w:t>看机制</w:t>
      </w:r>
      <w:proofErr w:type="gramEnd"/>
      <w:r>
        <w:rPr>
          <w:rFonts w:ascii="宋体" w:eastAsia="宋体" w:hAnsi="宋体" w:cs="宋体" w:hint="eastAsia"/>
          <w:sz w:val="24"/>
        </w:rPr>
        <w:t>建设。是否从激励约束机制、制度规程、业务流程、信息系统等方面深挖问题根源，补齐制度短板，强化信息系统建设，从根本上杜绝屡查屡犯、边查边犯问题，有效遏制违规经营和违法犯罪。</w:t>
      </w:r>
    </w:p>
    <w:p w14:paraId="74EEA8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持续推动重点领域问题整治。在前期乱象整治工作的基础上，继续对重点领域重点风险开展深入整治，严查政策执行，严查风险隐患，严查违法违规行为。银行机构从股权与公司治理、宏观政策执行、信贷管理、影子银行和交叉金融业务风险、重点风险处置等五个方面开展整治工作，非银行领域各类机构按照相关要点开展整治工作（以下简称工作要点，具体见附件1、附件2）。</w:t>
      </w:r>
    </w:p>
    <w:p w14:paraId="02BD38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（四）开展强内控促合</w:t>
      </w:r>
      <w:proofErr w:type="gramStart"/>
      <w:r>
        <w:rPr>
          <w:rFonts w:ascii="宋体" w:eastAsia="宋体" w:hAnsi="宋体" w:cs="宋体" w:hint="eastAsia"/>
          <w:sz w:val="24"/>
        </w:rPr>
        <w:t>规</w:t>
      </w:r>
      <w:proofErr w:type="gramEnd"/>
      <w:r>
        <w:rPr>
          <w:rFonts w:ascii="宋体" w:eastAsia="宋体" w:hAnsi="宋体" w:cs="宋体" w:hint="eastAsia"/>
          <w:sz w:val="24"/>
        </w:rPr>
        <w:t>建设。通过增强内部控制的充分性和有效性，提升银行保险机构内控合</w:t>
      </w:r>
      <w:proofErr w:type="gramStart"/>
      <w:r>
        <w:rPr>
          <w:rFonts w:ascii="宋体" w:eastAsia="宋体" w:hAnsi="宋体" w:cs="宋体" w:hint="eastAsia"/>
          <w:sz w:val="24"/>
        </w:rPr>
        <w:t>规</w:t>
      </w:r>
      <w:proofErr w:type="gramEnd"/>
      <w:r>
        <w:rPr>
          <w:rFonts w:ascii="宋体" w:eastAsia="宋体" w:hAnsi="宋体" w:cs="宋体" w:hint="eastAsia"/>
          <w:sz w:val="24"/>
        </w:rPr>
        <w:t>水平。一是强化“两会一层”等治理主体履职尽责。董事会要承担起内控管理的最终责任，监事会要承担起对董事会、高级管理层内控管</w:t>
      </w:r>
      <w:r>
        <w:rPr>
          <w:rFonts w:ascii="宋体" w:eastAsia="宋体" w:hAnsi="宋体" w:cs="宋体" w:hint="eastAsia"/>
          <w:sz w:val="24"/>
        </w:rPr>
        <w:lastRenderedPageBreak/>
        <w:t>理职责履职情况的监督责任，高级管理层要负责制定覆盖整个业务流程的内控体系。二是强化内部控制架构建设。银行保险机构要建立科学明晰的业务授权体系，明确各级机构、部门、岗位、人员的职责和权限，切实提升三道防线的独立性、权威性和有效性。三是强化内部控制制度流程建设。银行保险机构要对各项业务活动制定全面、系统、规范的业务制度和管理制度，严格执行会计准则与制度，确保信息系统的有效性。四是强化内部控制的动态完善机制。银行保险机构要建立健全对内控充分性和有效性的评价体系、问题整改机制和管理责任制。五是强化合</w:t>
      </w:r>
      <w:proofErr w:type="gramStart"/>
      <w:r>
        <w:rPr>
          <w:rFonts w:ascii="宋体" w:eastAsia="宋体" w:hAnsi="宋体" w:cs="宋体" w:hint="eastAsia"/>
          <w:sz w:val="24"/>
        </w:rPr>
        <w:t>规</w:t>
      </w:r>
      <w:proofErr w:type="gramEnd"/>
      <w:r>
        <w:rPr>
          <w:rFonts w:ascii="宋体" w:eastAsia="宋体" w:hAnsi="宋体" w:cs="宋体" w:hint="eastAsia"/>
          <w:sz w:val="24"/>
        </w:rPr>
        <w:t>文化培育。引导员工树立合</w:t>
      </w:r>
      <w:proofErr w:type="gramStart"/>
      <w:r>
        <w:rPr>
          <w:rFonts w:ascii="宋体" w:eastAsia="宋体" w:hAnsi="宋体" w:cs="宋体" w:hint="eastAsia"/>
          <w:sz w:val="24"/>
        </w:rPr>
        <w:t>规</w:t>
      </w:r>
      <w:proofErr w:type="gramEnd"/>
      <w:r>
        <w:rPr>
          <w:rFonts w:ascii="宋体" w:eastAsia="宋体" w:hAnsi="宋体" w:cs="宋体" w:hint="eastAsia"/>
          <w:sz w:val="24"/>
        </w:rPr>
        <w:t>意识，推行诚信与正直的职业操守，将合</w:t>
      </w:r>
      <w:proofErr w:type="gramStart"/>
      <w:r>
        <w:rPr>
          <w:rFonts w:ascii="宋体" w:eastAsia="宋体" w:hAnsi="宋体" w:cs="宋体" w:hint="eastAsia"/>
          <w:sz w:val="24"/>
        </w:rPr>
        <w:t>规</w:t>
      </w:r>
      <w:proofErr w:type="gramEnd"/>
      <w:r>
        <w:rPr>
          <w:rFonts w:ascii="宋体" w:eastAsia="宋体" w:hAnsi="宋体" w:cs="宋体" w:hint="eastAsia"/>
          <w:sz w:val="24"/>
        </w:rPr>
        <w:t>文化作为企业文化建设的重要内容。</w:t>
      </w:r>
    </w:p>
    <w:p w14:paraId="3034E0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三、组织实施</w:t>
      </w:r>
    </w:p>
    <w:p w14:paraId="77A4C8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（一）切实承担主体责任。各银行保险机构要切实承担起整治乱象和合</w:t>
      </w:r>
      <w:proofErr w:type="gramStart"/>
      <w:r>
        <w:rPr>
          <w:rFonts w:ascii="宋体" w:eastAsia="宋体" w:hAnsi="宋体" w:cs="宋体" w:hint="eastAsia"/>
          <w:sz w:val="24"/>
        </w:rPr>
        <w:t>规</w:t>
      </w:r>
      <w:proofErr w:type="gramEnd"/>
      <w:r>
        <w:rPr>
          <w:rFonts w:ascii="宋体" w:eastAsia="宋体" w:hAnsi="宋体" w:cs="宋体" w:hint="eastAsia"/>
          <w:sz w:val="24"/>
        </w:rPr>
        <w:t>建设的主体责任，分级管理实行一把手负责制，确保责任到位、措施到位、落实到位。要指定牵头部门对2018年整治发现问题建立</w:t>
      </w:r>
      <w:proofErr w:type="gramStart"/>
      <w:r>
        <w:rPr>
          <w:rFonts w:ascii="宋体" w:eastAsia="宋体" w:hAnsi="宋体" w:cs="宋体" w:hint="eastAsia"/>
          <w:sz w:val="24"/>
        </w:rPr>
        <w:t>整改台</w:t>
      </w:r>
      <w:proofErr w:type="gramEnd"/>
      <w:r>
        <w:rPr>
          <w:rFonts w:ascii="宋体" w:eastAsia="宋体" w:hAnsi="宋体" w:cs="宋体" w:hint="eastAsia"/>
          <w:sz w:val="24"/>
        </w:rPr>
        <w:t>账，严肃处理问责。对发生重大案件的、被监管处罚的、同质同类问题屡查屡犯以及苗头性趋势性等问题，要从制度流程、内控机制等方面进行整改，要根据违规业务发起、审批、风控、监督等各个环节的责任，对责任人员按照法律法规、党规党纪和内部规定追究责任。要对照工作要点，组织开展自查，坚持即查即纠、立查立改，对短期内确实难以整改到位的，要明确责任人和完成时限，按期完成整改。要坚持业务发展与风险防控并重，对识别出的内部控制缺陷及时采取措施，要将依法合</w:t>
      </w:r>
      <w:proofErr w:type="gramStart"/>
      <w:r>
        <w:rPr>
          <w:rFonts w:ascii="宋体" w:eastAsia="宋体" w:hAnsi="宋体" w:cs="宋体" w:hint="eastAsia"/>
          <w:sz w:val="24"/>
        </w:rPr>
        <w:t>规</w:t>
      </w:r>
      <w:proofErr w:type="gramEnd"/>
      <w:r>
        <w:rPr>
          <w:rFonts w:ascii="宋体" w:eastAsia="宋体" w:hAnsi="宋体" w:cs="宋体" w:hint="eastAsia"/>
          <w:sz w:val="24"/>
        </w:rPr>
        <w:t>的经营理念有效传导至各业务条线和各分支机构。</w:t>
      </w:r>
    </w:p>
    <w:p w14:paraId="07A8D0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（二）落实属地监管责任。</w:t>
      </w:r>
      <w:proofErr w:type="gramStart"/>
      <w:r>
        <w:rPr>
          <w:rFonts w:ascii="宋体" w:eastAsia="宋体" w:hAnsi="宋体" w:cs="宋体" w:hint="eastAsia"/>
          <w:sz w:val="24"/>
        </w:rPr>
        <w:t>各银保</w:t>
      </w:r>
      <w:proofErr w:type="gramEnd"/>
      <w:r>
        <w:rPr>
          <w:rFonts w:ascii="宋体" w:eastAsia="宋体" w:hAnsi="宋体" w:cs="宋体" w:hint="eastAsia"/>
          <w:sz w:val="24"/>
        </w:rPr>
        <w:t>监局要严格落实一把手负责制，专题研究部署，细化工作方案，扎实有序推进。要督促指导辖内机构开展自查，组织实施监管检查，对机构整治工作进行监管评估，推动辖内机构强化内控合</w:t>
      </w:r>
      <w:proofErr w:type="gramStart"/>
      <w:r>
        <w:rPr>
          <w:rFonts w:ascii="宋体" w:eastAsia="宋体" w:hAnsi="宋体" w:cs="宋体" w:hint="eastAsia"/>
          <w:sz w:val="24"/>
        </w:rPr>
        <w:t>规</w:t>
      </w:r>
      <w:proofErr w:type="gramEnd"/>
      <w:r>
        <w:rPr>
          <w:rFonts w:ascii="宋体" w:eastAsia="宋体" w:hAnsi="宋体" w:cs="宋体" w:hint="eastAsia"/>
          <w:sz w:val="24"/>
        </w:rPr>
        <w:t>建设。对整改问</w:t>
      </w:r>
      <w:proofErr w:type="gramStart"/>
      <w:r>
        <w:rPr>
          <w:rFonts w:ascii="宋体" w:eastAsia="宋体" w:hAnsi="宋体" w:cs="宋体" w:hint="eastAsia"/>
          <w:sz w:val="24"/>
        </w:rPr>
        <w:t>责工作</w:t>
      </w:r>
      <w:proofErr w:type="gramEnd"/>
      <w:r>
        <w:rPr>
          <w:rFonts w:ascii="宋体" w:eastAsia="宋体" w:hAnsi="宋体" w:cs="宋体" w:hint="eastAsia"/>
          <w:sz w:val="24"/>
        </w:rPr>
        <w:t>推进不力的，要责令限期完成；对整改过程中存在弄虚作假、工作严重不到位的，要严肃查处；对主动暴露问题、整改效果较好且未导致严重后果的，可以依法从轻、减轻或免予处罚。要对照工作要点，对人为拉长融资链条、推高融资成本等违法违规行为加大查处力度，对顶风而上、严重扰乱市场秩序、干扰货币信贷政策传导、扭曲市场行为的投机性业务予以坚决打击。</w:t>
      </w:r>
    </w:p>
    <w:p w14:paraId="7259DAE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加强条线管理和功能监管。银行机构检查局、非银行机构检查局分别负责统筹推进银行和非银行领域的整治工作，组织实施监管检查、开展督查督导，并分别牵头开展报告汇总等相关工作。各机构监管部门负责组织推动、督促指导本条线的乱象整治工作。各规制监管和功能监管部门按照各自职责完善公司治理、资产风险分类、内部控制、合</w:t>
      </w:r>
      <w:proofErr w:type="gramStart"/>
      <w:r>
        <w:rPr>
          <w:rFonts w:ascii="宋体" w:eastAsia="宋体" w:hAnsi="宋体" w:cs="宋体" w:hint="eastAsia"/>
          <w:sz w:val="24"/>
        </w:rPr>
        <w:t>规</w:t>
      </w:r>
      <w:proofErr w:type="gramEnd"/>
      <w:r>
        <w:rPr>
          <w:rFonts w:ascii="宋体" w:eastAsia="宋体" w:hAnsi="宋体" w:cs="宋体" w:hint="eastAsia"/>
          <w:sz w:val="24"/>
        </w:rPr>
        <w:t>管理等监管制度。</w:t>
      </w:r>
    </w:p>
    <w:p w14:paraId="7C2FC5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（四）做好信息共享和沟通协调。对各级监管机构和各银行保险机构的良好做法及典型经验，要加强信息共享；机构</w:t>
      </w:r>
      <w:proofErr w:type="gramStart"/>
      <w:r>
        <w:rPr>
          <w:rFonts w:ascii="宋体" w:eastAsia="宋体" w:hAnsi="宋体" w:cs="宋体" w:hint="eastAsia"/>
          <w:sz w:val="24"/>
        </w:rPr>
        <w:t>监管部</w:t>
      </w:r>
      <w:proofErr w:type="gramEnd"/>
      <w:r>
        <w:rPr>
          <w:rFonts w:ascii="宋体" w:eastAsia="宋体" w:hAnsi="宋体" w:cs="宋体" w:hint="eastAsia"/>
          <w:sz w:val="24"/>
        </w:rPr>
        <w:t>和功能</w:t>
      </w:r>
      <w:proofErr w:type="gramStart"/>
      <w:r>
        <w:rPr>
          <w:rFonts w:ascii="宋体" w:eastAsia="宋体" w:hAnsi="宋体" w:cs="宋体" w:hint="eastAsia"/>
          <w:sz w:val="24"/>
        </w:rPr>
        <w:t>监管部</w:t>
      </w:r>
      <w:proofErr w:type="gramEnd"/>
      <w:r>
        <w:rPr>
          <w:rFonts w:ascii="宋体" w:eastAsia="宋体" w:hAnsi="宋体" w:cs="宋体" w:hint="eastAsia"/>
          <w:sz w:val="24"/>
        </w:rPr>
        <w:t>要及时沟通交流相关整治工作进展及成效。密切跟踪关注市场变化和舆论情况，充分利用新闻载体进行宣传和舆论引导，为银行业保险业改革发展工作营造良好氛围。</w:t>
      </w:r>
    </w:p>
    <w:p w14:paraId="4FAF39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（五）严肃监督执纪和问责处理。深入整治金融乱象背后的利益勾结和关系纽带问题，对银行保险机构违法违规人员要</w:t>
      </w:r>
      <w:proofErr w:type="gramStart"/>
      <w:r>
        <w:rPr>
          <w:rFonts w:ascii="宋体" w:eastAsia="宋体" w:hAnsi="宋体" w:cs="宋体" w:hint="eastAsia"/>
          <w:sz w:val="24"/>
        </w:rPr>
        <w:t>加大问</w:t>
      </w:r>
      <w:proofErr w:type="gramEnd"/>
      <w:r>
        <w:rPr>
          <w:rFonts w:ascii="宋体" w:eastAsia="宋体" w:hAnsi="宋体" w:cs="宋体" w:hint="eastAsia"/>
          <w:sz w:val="24"/>
        </w:rPr>
        <w:t>责力度，对乱象整治工作中不作为不担当、不重视不深入，造成不良影响或严重后果的，依照有关规定进行严肃追责，做到“管住人、看住钱、扎牢制度防火墙”。</w:t>
      </w:r>
    </w:p>
    <w:p w14:paraId="104A9D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四、报告报送</w:t>
      </w:r>
    </w:p>
    <w:p w14:paraId="1997CA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（一）报告路径及时间要求</w:t>
      </w:r>
    </w:p>
    <w:p w14:paraId="6F3EBE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保险机构法人应在汇总分支机构情况基础上，分别于2019年6月30日前和12月10日前将半年、年度工作报告及附表报送监管部门。其中，银保监会直接监管的银行保险机构报送至对口的机构监管部门，同时各自分别抄送银行机构检查局、非银行机构检查局；</w:t>
      </w:r>
      <w:proofErr w:type="gramStart"/>
      <w:r>
        <w:rPr>
          <w:rFonts w:ascii="宋体" w:eastAsia="宋体" w:hAnsi="宋体" w:cs="宋体" w:hint="eastAsia"/>
          <w:sz w:val="24"/>
        </w:rPr>
        <w:t>各银保</w:t>
      </w:r>
      <w:proofErr w:type="gramEnd"/>
      <w:r>
        <w:rPr>
          <w:rFonts w:ascii="宋体" w:eastAsia="宋体" w:hAnsi="宋体" w:cs="宋体" w:hint="eastAsia"/>
          <w:sz w:val="24"/>
        </w:rPr>
        <w:t>监局监管的法人机构和银保监会直接监管机构的分支机构报送至属地银保监局。</w:t>
      </w:r>
    </w:p>
    <w:p w14:paraId="552A7F36"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各银保</w:t>
      </w:r>
      <w:proofErr w:type="gramEnd"/>
      <w:r>
        <w:rPr>
          <w:rFonts w:ascii="宋体" w:eastAsia="宋体" w:hAnsi="宋体" w:cs="宋体" w:hint="eastAsia"/>
          <w:sz w:val="24"/>
        </w:rPr>
        <w:t>监局应汇总辖内机构情况和监管工作情况，分别于2019年7月10日和12月20日前将半年、年度工作报告，含附表及1—2个典型案例，报送至银行机构检查局和非银行机构检查局。</w:t>
      </w:r>
    </w:p>
    <w:p w14:paraId="5A5F120F"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各银保</w:t>
      </w:r>
      <w:proofErr w:type="gramEnd"/>
      <w:r>
        <w:rPr>
          <w:rFonts w:ascii="宋体" w:eastAsia="宋体" w:hAnsi="宋体" w:cs="宋体" w:hint="eastAsia"/>
          <w:sz w:val="24"/>
        </w:rPr>
        <w:t>监局要按机构类别及时汇总相关报告及附表报送至对口的机构监管部门。各机构</w:t>
      </w:r>
      <w:proofErr w:type="gramStart"/>
      <w:r>
        <w:rPr>
          <w:rFonts w:ascii="宋体" w:eastAsia="宋体" w:hAnsi="宋体" w:cs="宋体" w:hint="eastAsia"/>
          <w:sz w:val="24"/>
        </w:rPr>
        <w:t>监管部</w:t>
      </w:r>
      <w:proofErr w:type="gramEnd"/>
      <w:r>
        <w:rPr>
          <w:rFonts w:ascii="宋体" w:eastAsia="宋体" w:hAnsi="宋体" w:cs="宋体" w:hint="eastAsia"/>
          <w:sz w:val="24"/>
        </w:rPr>
        <w:t>应汇总本条线情况形成半年度、年度工作报告，并及时将相关报告报送分管会领导，同时抄送银行机构检查局、非银行机构检查局及相关功能监管部。</w:t>
      </w:r>
    </w:p>
    <w:p w14:paraId="0C44A2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（二）报告内容要求</w:t>
      </w:r>
    </w:p>
    <w:p w14:paraId="4013C1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报告应重点突出、内容详实，包括但不限于：组织实施情况；对2018年整治工作发现问题的整改问责情况；2019年整治工作中发现的主要问题和风险隐患，采取的工作措施及成效，完善制度机制情况；强内控促合</w:t>
      </w:r>
      <w:proofErr w:type="gramStart"/>
      <w:r>
        <w:rPr>
          <w:rFonts w:ascii="宋体" w:eastAsia="宋体" w:hAnsi="宋体" w:cs="宋体" w:hint="eastAsia"/>
          <w:sz w:val="24"/>
        </w:rPr>
        <w:t>规</w:t>
      </w:r>
      <w:proofErr w:type="gramEnd"/>
      <w:r>
        <w:rPr>
          <w:rFonts w:ascii="宋体" w:eastAsia="宋体" w:hAnsi="宋体" w:cs="宋体" w:hint="eastAsia"/>
          <w:sz w:val="24"/>
        </w:rPr>
        <w:t>建设情况以及采取的工作措施和成效；下一步工作计划和意见建议等。</w:t>
      </w:r>
    </w:p>
    <w:p w14:paraId="50E903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整治工作期间发现的重大风险和重大问题，各银行保险机构和各级监管机构要及时报告。</w:t>
      </w:r>
    </w:p>
    <w:p w14:paraId="163429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附件：1.2019年银行机构“巩固治乱象成果 促进合</w:t>
      </w:r>
      <w:proofErr w:type="gramStart"/>
      <w:r>
        <w:rPr>
          <w:rFonts w:ascii="宋体" w:eastAsia="宋体" w:hAnsi="宋体" w:cs="宋体" w:hint="eastAsia"/>
          <w:sz w:val="24"/>
        </w:rPr>
        <w:t>规</w:t>
      </w:r>
      <w:proofErr w:type="gramEnd"/>
      <w:r>
        <w:rPr>
          <w:rFonts w:ascii="宋体" w:eastAsia="宋体" w:hAnsi="宋体" w:cs="宋体" w:hint="eastAsia"/>
          <w:sz w:val="24"/>
        </w:rPr>
        <w:t>建设”工作要点</w:t>
      </w:r>
    </w:p>
    <w:p w14:paraId="6A2574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2.2019年非银行领域“巩固治乱象成果 促进合</w:t>
      </w:r>
      <w:proofErr w:type="gramStart"/>
      <w:r>
        <w:rPr>
          <w:rFonts w:ascii="宋体" w:eastAsia="宋体" w:hAnsi="宋体" w:cs="宋体" w:hint="eastAsia"/>
          <w:sz w:val="24"/>
        </w:rPr>
        <w:t>规</w:t>
      </w:r>
      <w:proofErr w:type="gramEnd"/>
      <w:r>
        <w:rPr>
          <w:rFonts w:ascii="宋体" w:eastAsia="宋体" w:hAnsi="宋体" w:cs="宋体" w:hint="eastAsia"/>
          <w:sz w:val="24"/>
        </w:rPr>
        <w:t>建设”工作要点</w:t>
      </w:r>
    </w:p>
    <w:p w14:paraId="39EC12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2019年5月8日</w:t>
      </w:r>
    </w:p>
    <w:p w14:paraId="309758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附件1：</w:t>
      </w:r>
    </w:p>
    <w:p w14:paraId="3929A0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2019年银行机构“巩固治乱象成果 促进合</w:t>
      </w:r>
      <w:proofErr w:type="gramStart"/>
      <w:r>
        <w:rPr>
          <w:rFonts w:ascii="宋体" w:eastAsia="宋体" w:hAnsi="宋体" w:cs="宋体" w:hint="eastAsia"/>
          <w:sz w:val="24"/>
        </w:rPr>
        <w:t>规</w:t>
      </w:r>
      <w:proofErr w:type="gramEnd"/>
      <w:r>
        <w:rPr>
          <w:rFonts w:ascii="宋体" w:eastAsia="宋体" w:hAnsi="宋体" w:cs="宋体" w:hint="eastAsia"/>
          <w:sz w:val="24"/>
        </w:rPr>
        <w:t>建设”工作要点</w:t>
      </w:r>
    </w:p>
    <w:p w14:paraId="0CFE3A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一、股权与公司治理</w:t>
      </w:r>
    </w:p>
    <w:p w14:paraId="101A9D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股东和股权管理。股东资质不符合监管要求；以非自有资金入股；存在股权代持、超比例或超家数持有银行股权等情形；对主要股东的穿透管理不符合监管要求；公司章程未按照监管要求载明股东权利义务；股权登记、质押、关联交易等股权事务管理不符合监管要求；对滥用权利的股东未按照章程及相关要求采取限制措施。</w:t>
      </w:r>
    </w:p>
    <w:p w14:paraId="681DFD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两会一层”履职和考评机制。未把党的领导融入公司治理各环节，未把企业党组织内嵌到公司治理结构之中；党组织和其他治理主体权责边界不明确；董事和高管人员存在未经核准履职的情况；董事会、监事会、高级管理层及其专门委员会未依法依规充分履职，存在一把手“一言堂”情形；独立董事履职不充分；未按监管规定修改并完善绩效考核办法。</w:t>
      </w:r>
    </w:p>
    <w:p w14:paraId="6183E9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3.关联交易和</w:t>
      </w:r>
      <w:proofErr w:type="gramStart"/>
      <w:r>
        <w:rPr>
          <w:rFonts w:ascii="宋体" w:eastAsia="宋体" w:hAnsi="宋体" w:cs="宋体" w:hint="eastAsia"/>
          <w:sz w:val="24"/>
        </w:rPr>
        <w:t>并</w:t>
      </w:r>
      <w:proofErr w:type="gramEnd"/>
      <w:r>
        <w:rPr>
          <w:rFonts w:ascii="宋体" w:eastAsia="宋体" w:hAnsi="宋体" w:cs="宋体" w:hint="eastAsia"/>
          <w:sz w:val="24"/>
        </w:rPr>
        <w:t>表管理。未按照穿透原则尽职认定关联方；存在利用关联交易或内部交易向股东和其他关系人进行利益输送的现象；银行集团并表管理不符合监管要求，集团成员间未做到内部风险隔离；重大投资未经董事会或股东大会</w:t>
      </w:r>
      <w:r>
        <w:rPr>
          <w:rFonts w:ascii="宋体" w:eastAsia="宋体" w:hAnsi="宋体" w:cs="宋体" w:hint="eastAsia"/>
          <w:sz w:val="24"/>
        </w:rPr>
        <w:lastRenderedPageBreak/>
        <w:t>决议，违规投资设立、参股、收购境内外机构。</w:t>
      </w:r>
    </w:p>
    <w:p w14:paraId="1CB1D8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二、宏观政策执行</w:t>
      </w:r>
    </w:p>
    <w:p w14:paraId="6DDAEB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4.民营及小</w:t>
      </w:r>
      <w:proofErr w:type="gramStart"/>
      <w:r>
        <w:rPr>
          <w:rFonts w:ascii="宋体" w:eastAsia="宋体" w:hAnsi="宋体" w:cs="宋体" w:hint="eastAsia"/>
          <w:sz w:val="24"/>
        </w:rPr>
        <w:t>微企业</w:t>
      </w:r>
      <w:proofErr w:type="gramEnd"/>
      <w:r>
        <w:rPr>
          <w:rFonts w:ascii="宋体" w:eastAsia="宋体" w:hAnsi="宋体" w:cs="宋体" w:hint="eastAsia"/>
          <w:sz w:val="24"/>
        </w:rPr>
        <w:t>服务政策。未合理设置民营和小</w:t>
      </w:r>
      <w:proofErr w:type="gramStart"/>
      <w:r>
        <w:rPr>
          <w:rFonts w:ascii="宋体" w:eastAsia="宋体" w:hAnsi="宋体" w:cs="宋体" w:hint="eastAsia"/>
          <w:sz w:val="24"/>
        </w:rPr>
        <w:t>微企业</w:t>
      </w:r>
      <w:proofErr w:type="gramEnd"/>
      <w:r>
        <w:rPr>
          <w:rFonts w:ascii="宋体" w:eastAsia="宋体" w:hAnsi="宋体" w:cs="宋体" w:hint="eastAsia"/>
          <w:sz w:val="24"/>
        </w:rPr>
        <w:t>不良贷款容忍度，未落实尽职免责和容错纠错机制；贷款审批中对民营企业设置歧视性要求，贷款利率和贷款条件在同等条件下与国有企业不一致；不合理收费或附加不合理贷款条件提高民营和小</w:t>
      </w:r>
      <w:proofErr w:type="gramStart"/>
      <w:r>
        <w:rPr>
          <w:rFonts w:ascii="宋体" w:eastAsia="宋体" w:hAnsi="宋体" w:cs="宋体" w:hint="eastAsia"/>
          <w:sz w:val="24"/>
        </w:rPr>
        <w:t>微企业</w:t>
      </w:r>
      <w:proofErr w:type="gramEnd"/>
      <w:r>
        <w:rPr>
          <w:rFonts w:ascii="宋体" w:eastAsia="宋体" w:hAnsi="宋体" w:cs="宋体" w:hint="eastAsia"/>
          <w:sz w:val="24"/>
        </w:rPr>
        <w:t>融资成本；人为调整企业标准形态，规避小</w:t>
      </w:r>
      <w:proofErr w:type="gramStart"/>
      <w:r>
        <w:rPr>
          <w:rFonts w:ascii="宋体" w:eastAsia="宋体" w:hAnsi="宋体" w:cs="宋体" w:hint="eastAsia"/>
          <w:sz w:val="24"/>
        </w:rPr>
        <w:t>微企业</w:t>
      </w:r>
      <w:proofErr w:type="gramEnd"/>
      <w:r>
        <w:rPr>
          <w:rFonts w:ascii="宋体" w:eastAsia="宋体" w:hAnsi="宋体" w:cs="宋体" w:hint="eastAsia"/>
          <w:sz w:val="24"/>
        </w:rPr>
        <w:t>贷款考核指标等。</w:t>
      </w:r>
    </w:p>
    <w:p w14:paraId="0285FE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房地产行业政策。表内外资金直接或变相用于土地出让金融资；未严格审查房地产开发企业资质，违规向“四证”不全的房地产开发项目提供融资；个人综合消费贷款、经营性贷款、信用卡透支等资金挪用于购房；资金通过影子银行渠道违规流入房地产市场；并购贷款、经营性物业贷款等贷款管理不审慎，资金被挪用于房地产开发。</w:t>
      </w:r>
    </w:p>
    <w:p w14:paraId="698708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金融扶贫政策。未严格落实扶贫攻坚任务，片面追求贷款投放额度；扶贫贷款服务对象不够精准、发放扶贫贷款增加附加条件；存在“见户即贷”“户贷企用”“重放贷、轻管理”等问题；精准扶贫政策执行存在偏差，违规上浮扶贫贷款利率，扶贫信贷资金被挪用等。</w:t>
      </w:r>
    </w:p>
    <w:p w14:paraId="7C5F4E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7.其他重点领域宏观调控政策。表内外资金直接或间接投向“两高一剩”领域，特别是失去清偿能力的“僵尸企业”；违规为环保排放不达标、严重污染环境且整改无望的企业提供融资；违规为固定资产投资项目提供资本金融资；违规融资放大地方政府隐性债务；违规向列入重点关注企业名单或资产负债率超出重点</w:t>
      </w:r>
      <w:proofErr w:type="gramStart"/>
      <w:r>
        <w:rPr>
          <w:rFonts w:ascii="宋体" w:eastAsia="宋体" w:hAnsi="宋体" w:cs="宋体" w:hint="eastAsia"/>
          <w:sz w:val="24"/>
        </w:rPr>
        <w:t>监管线</w:t>
      </w:r>
      <w:proofErr w:type="gramEnd"/>
      <w:r>
        <w:rPr>
          <w:rFonts w:ascii="宋体" w:eastAsia="宋体" w:hAnsi="宋体" w:cs="宋体" w:hint="eastAsia"/>
          <w:sz w:val="24"/>
        </w:rPr>
        <w:t>的国有企业新增融资。</w:t>
      </w:r>
    </w:p>
    <w:p w14:paraId="6F5865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三、信贷管理</w:t>
      </w:r>
    </w:p>
    <w:p w14:paraId="2D41B3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8.授信管理。贷款“三查”</w:t>
      </w:r>
      <w:proofErr w:type="gramStart"/>
      <w:r>
        <w:rPr>
          <w:rFonts w:ascii="宋体" w:eastAsia="宋体" w:hAnsi="宋体" w:cs="宋体" w:hint="eastAsia"/>
          <w:sz w:val="24"/>
        </w:rPr>
        <w:t>不</w:t>
      </w:r>
      <w:proofErr w:type="gramEnd"/>
      <w:r>
        <w:rPr>
          <w:rFonts w:ascii="宋体" w:eastAsia="宋体" w:hAnsi="宋体" w:cs="宋体" w:hint="eastAsia"/>
          <w:sz w:val="24"/>
        </w:rPr>
        <w:t>尽职，接受重复抵质押、虚假抵质押；贷款资金长期滞留账户；集团客户统一授信管理和联合授信管理不力，大额风险暴露指标突破监管要求；向从事转贷或投资套利活动为主业的客户提供融资；票据业务贸易背景尽职调查不到位，保证金来源不实；利用票据业务调节存贷款规模及资本占用等监管指标；以利率倒挂等形式办理贴现业务，开展资金套利。</w:t>
      </w:r>
    </w:p>
    <w:p w14:paraId="4C8985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9.不良资产管理。违规通过以贷还贷、以贷收息、贷款重组等方式延缓风险暴露，掩盖不良贷款；人为操纵风险分类结果，隐匿资产质量；人为调整贷款逾期天数，规避逾期贷款入账要求；直接或借道各</w:t>
      </w:r>
      <w:proofErr w:type="gramStart"/>
      <w:r>
        <w:rPr>
          <w:rFonts w:ascii="宋体" w:eastAsia="宋体" w:hAnsi="宋体" w:cs="宋体" w:hint="eastAsia"/>
          <w:sz w:val="24"/>
        </w:rPr>
        <w:t>类资管计划</w:t>
      </w:r>
      <w:proofErr w:type="gramEnd"/>
      <w:r>
        <w:rPr>
          <w:rFonts w:ascii="宋体" w:eastAsia="宋体" w:hAnsi="宋体" w:cs="宋体" w:hint="eastAsia"/>
          <w:sz w:val="24"/>
        </w:rPr>
        <w:t>实现不良资产非洁净出表。</w:t>
      </w:r>
    </w:p>
    <w:p w14:paraId="52DC96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10.信贷资产转让。开展信贷资产转让、信贷资产收益权转让、以信贷资产为基础资产的信托受益权转让业务，存在资产不真实、不洁净转让，转出方安排显性或隐性回购，转入方未准确计算风险资产并计提必要的风险拨备，风险承担落空等。</w:t>
      </w:r>
    </w:p>
    <w:p w14:paraId="7395DD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四、影子银行和交叉金融业务风险</w:t>
      </w:r>
    </w:p>
    <w:p w14:paraId="5758CF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11.理财业务。发行的新产品存在风险隔离不到位、池化运作、相互调节收益、刚性兑付、投向限制性领域、违背投资者适当性原则或违规销售等问题；过渡期内，未制定理财业务整改计划，未严格执行整改计划，老产品投资新资产未能优先满足国家重点领域和重大工程建设续建项目以及小</w:t>
      </w:r>
      <w:proofErr w:type="gramStart"/>
      <w:r>
        <w:rPr>
          <w:rFonts w:ascii="宋体" w:eastAsia="宋体" w:hAnsi="宋体" w:cs="宋体" w:hint="eastAsia"/>
          <w:sz w:val="24"/>
        </w:rPr>
        <w:t>微企业</w:t>
      </w:r>
      <w:proofErr w:type="gramEnd"/>
      <w:r>
        <w:rPr>
          <w:rFonts w:ascii="宋体" w:eastAsia="宋体" w:hAnsi="宋体" w:cs="宋体" w:hint="eastAsia"/>
          <w:sz w:val="24"/>
        </w:rPr>
        <w:t>融资需求，老产品发行规模违规突破存量产品的整体规模；结构性存款不真实，通过设置“假结构”变相高息揽储。</w:t>
      </w:r>
    </w:p>
    <w:p w14:paraId="0515E3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12.同业业务。同业资金经过多层嵌套违规投向限制性领域；同业业务违规接受或提供第三方担保、兜底承诺；同业代持、</w:t>
      </w:r>
      <w:proofErr w:type="gramStart"/>
      <w:r>
        <w:rPr>
          <w:rFonts w:ascii="宋体" w:eastAsia="宋体" w:hAnsi="宋体" w:cs="宋体" w:hint="eastAsia"/>
          <w:sz w:val="24"/>
        </w:rPr>
        <w:t>互持或</w:t>
      </w:r>
      <w:proofErr w:type="gramEnd"/>
      <w:r>
        <w:rPr>
          <w:rFonts w:ascii="宋体" w:eastAsia="宋体" w:hAnsi="宋体" w:cs="宋体" w:hint="eastAsia"/>
          <w:sz w:val="24"/>
        </w:rPr>
        <w:t>充当资金通道导致资金空转；通过同业投资或吸收保险</w:t>
      </w:r>
      <w:proofErr w:type="gramStart"/>
      <w:r>
        <w:rPr>
          <w:rFonts w:ascii="宋体" w:eastAsia="宋体" w:hAnsi="宋体" w:cs="宋体" w:hint="eastAsia"/>
          <w:sz w:val="24"/>
        </w:rPr>
        <w:t>资管计划</w:t>
      </w:r>
      <w:proofErr w:type="gramEnd"/>
      <w:r>
        <w:rPr>
          <w:rFonts w:ascii="宋体" w:eastAsia="宋体" w:hAnsi="宋体" w:cs="宋体" w:hint="eastAsia"/>
          <w:sz w:val="24"/>
        </w:rPr>
        <w:t>等虚增一般存款；通过同业绕道虚增资产负债规模、隐匿业务风险。</w:t>
      </w:r>
    </w:p>
    <w:p w14:paraId="33D276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13.表外与合作业务。表内外风险交叉传染，表内外资金相互承接出现风险的业务；委托贷款资金来源、用途不合</w:t>
      </w:r>
      <w:proofErr w:type="gramStart"/>
      <w:r>
        <w:rPr>
          <w:rFonts w:ascii="宋体" w:eastAsia="宋体" w:hAnsi="宋体" w:cs="宋体" w:hint="eastAsia"/>
          <w:sz w:val="24"/>
        </w:rPr>
        <w:t>规</w:t>
      </w:r>
      <w:proofErr w:type="gramEnd"/>
      <w:r>
        <w:rPr>
          <w:rFonts w:ascii="宋体" w:eastAsia="宋体" w:hAnsi="宋体" w:cs="宋体" w:hint="eastAsia"/>
          <w:sz w:val="24"/>
        </w:rPr>
        <w:t>，风险隔离不到位；代销业务违规销售或实质承担信用风险；与非持牌机构业务合作不规范；网络借贷资金存管相关业务不规范；违规为无放贷业务资质的机构提供资金发放贷款。</w:t>
      </w:r>
    </w:p>
    <w:p w14:paraId="2C10BD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五、重点风险处置</w:t>
      </w:r>
    </w:p>
    <w:p w14:paraId="194DBE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14.高风险机构处置。未将不良贷款处置和资本补充作为工作重点，未采取有效措施逐步缓释风险、提升各项监管指标；未按照监管要求，制定并落实资本补充计划和达标规划；未建立不良贷款处置规划，制定专门处置方案，落实不良</w:t>
      </w:r>
      <w:r>
        <w:rPr>
          <w:rFonts w:ascii="宋体" w:eastAsia="宋体" w:hAnsi="宋体" w:cs="宋体" w:hint="eastAsia"/>
          <w:sz w:val="24"/>
        </w:rPr>
        <w:lastRenderedPageBreak/>
        <w:t>贷款处置责任人和具体措施；风险处置工作未做到依法合</w:t>
      </w:r>
      <w:proofErr w:type="gramStart"/>
      <w:r>
        <w:rPr>
          <w:rFonts w:ascii="宋体" w:eastAsia="宋体" w:hAnsi="宋体" w:cs="宋体" w:hint="eastAsia"/>
          <w:sz w:val="24"/>
        </w:rPr>
        <w:t>规</w:t>
      </w:r>
      <w:proofErr w:type="gramEnd"/>
      <w:r>
        <w:rPr>
          <w:rFonts w:ascii="宋体" w:eastAsia="宋体" w:hAnsi="宋体" w:cs="宋体" w:hint="eastAsia"/>
          <w:sz w:val="24"/>
        </w:rPr>
        <w:t>、真实有效。</w:t>
      </w:r>
    </w:p>
    <w:p w14:paraId="5682F5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15.异地非持牌机构管理。未按要求制定异地非持牌机构清理规范方案、清理不彻底；对符合持牌要求的经营性机构或新设异地持牌机构未按规定申领牌照；对不符合持牌要求的经营性机构未压缩业务存量并按期并入当地分支机构或撤销；新设异地非经营性机构未严格履行报告义务；存在违规新设异地非持牌机构。</w:t>
      </w:r>
    </w:p>
    <w:p w14:paraId="791DFF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16.案件查处和行业廉洁。同质同类案件反复发生；内部问</w:t>
      </w:r>
      <w:proofErr w:type="gramStart"/>
      <w:r>
        <w:rPr>
          <w:rFonts w:ascii="宋体" w:eastAsia="宋体" w:hAnsi="宋体" w:cs="宋体" w:hint="eastAsia"/>
          <w:sz w:val="24"/>
        </w:rPr>
        <w:t>责处理宽</w:t>
      </w:r>
      <w:proofErr w:type="gramEnd"/>
      <w:r>
        <w:rPr>
          <w:rFonts w:ascii="宋体" w:eastAsia="宋体" w:hAnsi="宋体" w:cs="宋体" w:hint="eastAsia"/>
          <w:sz w:val="24"/>
        </w:rPr>
        <w:t>松软，与案件危害程度不匹配；行政处罚力度有待进一步加强；银行员工内外勾结套取银行或客户资金；参与民间借贷、非法集资、充当资金掮客、与客户</w:t>
      </w:r>
      <w:proofErr w:type="gramStart"/>
      <w:r>
        <w:rPr>
          <w:rFonts w:ascii="宋体" w:eastAsia="宋体" w:hAnsi="宋体" w:cs="宋体" w:hint="eastAsia"/>
          <w:sz w:val="24"/>
        </w:rPr>
        <w:t>不当资金</w:t>
      </w:r>
      <w:proofErr w:type="gramEnd"/>
      <w:r>
        <w:rPr>
          <w:rFonts w:ascii="宋体" w:eastAsia="宋体" w:hAnsi="宋体" w:cs="宋体" w:hint="eastAsia"/>
          <w:sz w:val="24"/>
        </w:rPr>
        <w:t>往来等；利用机构名义、印章、场所等，为非法金融活动提供资金、服务等；利用职务便利索取、收受贿赂。</w:t>
      </w:r>
    </w:p>
    <w:p w14:paraId="0EDB61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附件2：</w:t>
      </w:r>
    </w:p>
    <w:p w14:paraId="113221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2019年非银行领域“巩固治乱象成果 促进合</w:t>
      </w:r>
      <w:proofErr w:type="gramStart"/>
      <w:r>
        <w:rPr>
          <w:rFonts w:ascii="宋体" w:eastAsia="宋体" w:hAnsi="宋体" w:cs="宋体" w:hint="eastAsia"/>
          <w:sz w:val="24"/>
        </w:rPr>
        <w:t>规</w:t>
      </w:r>
      <w:proofErr w:type="gramEnd"/>
      <w:r>
        <w:rPr>
          <w:rFonts w:ascii="宋体" w:eastAsia="宋体" w:hAnsi="宋体" w:cs="宋体" w:hint="eastAsia"/>
          <w:sz w:val="24"/>
        </w:rPr>
        <w:t>建设”工作要点</w:t>
      </w:r>
    </w:p>
    <w:p w14:paraId="4B3BC5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一、保险领域</w:t>
      </w:r>
    </w:p>
    <w:p w14:paraId="4F0BFA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（一）公司治理</w:t>
      </w:r>
    </w:p>
    <w:p w14:paraId="19A350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股东虚假出资，入股资金来源不合法；股权关系不透明、不清晰；公司章程约定不完善；</w:t>
      </w:r>
      <w:proofErr w:type="gramStart"/>
      <w:r>
        <w:rPr>
          <w:rFonts w:ascii="宋体" w:eastAsia="宋体" w:hAnsi="宋体" w:cs="宋体" w:hint="eastAsia"/>
          <w:sz w:val="24"/>
        </w:rPr>
        <w:t>董监高履职</w:t>
      </w:r>
      <w:proofErr w:type="gramEnd"/>
      <w:r>
        <w:rPr>
          <w:rFonts w:ascii="宋体" w:eastAsia="宋体" w:hAnsi="宋体" w:cs="宋体" w:hint="eastAsia"/>
          <w:sz w:val="24"/>
        </w:rPr>
        <w:t>前未取得任职资格，兼任不相容职务，关键岗位长期空缺；“三会一层”履职不到位；未按规定进行内部审计；内控机制不健全，合</w:t>
      </w:r>
      <w:proofErr w:type="gramStart"/>
      <w:r>
        <w:rPr>
          <w:rFonts w:ascii="宋体" w:eastAsia="宋体" w:hAnsi="宋体" w:cs="宋体" w:hint="eastAsia"/>
          <w:sz w:val="24"/>
        </w:rPr>
        <w:t>规</w:t>
      </w:r>
      <w:proofErr w:type="gramEnd"/>
      <w:r>
        <w:rPr>
          <w:rFonts w:ascii="宋体" w:eastAsia="宋体" w:hAnsi="宋体" w:cs="宋体" w:hint="eastAsia"/>
          <w:sz w:val="24"/>
        </w:rPr>
        <w:t>内审部门资源配置和独立性不足；激励约束机制不完善，考核评价体系中风险与合</w:t>
      </w:r>
      <w:proofErr w:type="gramStart"/>
      <w:r>
        <w:rPr>
          <w:rFonts w:ascii="宋体" w:eastAsia="宋体" w:hAnsi="宋体" w:cs="宋体" w:hint="eastAsia"/>
          <w:sz w:val="24"/>
        </w:rPr>
        <w:t>规</w:t>
      </w:r>
      <w:proofErr w:type="gramEnd"/>
      <w:r>
        <w:rPr>
          <w:rFonts w:ascii="宋体" w:eastAsia="宋体" w:hAnsi="宋体" w:cs="宋体" w:hint="eastAsia"/>
          <w:sz w:val="24"/>
        </w:rPr>
        <w:t>指标占比过低；责任追究机制不完善；关联交易管理制度不健全，未严格落实关联交易管理制度；违规进行关联交易等。</w:t>
      </w:r>
    </w:p>
    <w:p w14:paraId="295A70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（二）资金运用</w:t>
      </w:r>
    </w:p>
    <w:p w14:paraId="0DAB5F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资金运用制度机制和投资能力要求未持续满足监管规定；从事“假委托”；违规嵌套、开展通道业务；未按规定范围投资，违规投向国家及监管禁止的行业或产业，违规向地方政府提供融资或通过融资平台违规新增地方政府债务；投资比例管理和集中度风险管理违规；未按规定进行资金运用内部控制专项外部审计等。</w:t>
      </w:r>
    </w:p>
    <w:p w14:paraId="027155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（三）产品开发</w:t>
      </w:r>
    </w:p>
    <w:p w14:paraId="50EB79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产品开发设计偏离保险保障本源，违反法律法规和监管制度，违背保险基本原理；条款费率内容不合</w:t>
      </w:r>
      <w:proofErr w:type="gramStart"/>
      <w:r>
        <w:rPr>
          <w:rFonts w:ascii="宋体" w:eastAsia="宋体" w:hAnsi="宋体" w:cs="宋体" w:hint="eastAsia"/>
          <w:sz w:val="24"/>
        </w:rPr>
        <w:t>规</w:t>
      </w:r>
      <w:proofErr w:type="gramEnd"/>
      <w:r>
        <w:rPr>
          <w:rFonts w:ascii="宋体" w:eastAsia="宋体" w:hAnsi="宋体" w:cs="宋体" w:hint="eastAsia"/>
          <w:sz w:val="24"/>
        </w:rPr>
        <w:t>，未按规定报送条款费率；责任准备金评估方法、精算假设不真实、不合理，万能账户及结算利率不符合精算规定，分红账户及红利分配不符合精算规定等。</w:t>
      </w:r>
    </w:p>
    <w:p w14:paraId="74A7ED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（四）销售理赔</w:t>
      </w:r>
    </w:p>
    <w:p w14:paraId="694721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销售过程中存在欺骗、隐瞒、误导等问题，进行不实、不当宣传推介，未严格落实保险销售行为可回溯制度；违规销售未经监管部门批准的金融产品；给予或承诺给予投保人、被保险人、受益人保险合同约定之外的利益；违规向商业银行网点派驻销售人员从事产品宣传推介、销售活动；拒不依法履行保险合同约定的赔偿或者给付保险金义务，恶意</w:t>
      </w:r>
      <w:proofErr w:type="gramStart"/>
      <w:r>
        <w:rPr>
          <w:rFonts w:ascii="宋体" w:eastAsia="宋体" w:hAnsi="宋体" w:cs="宋体" w:hint="eastAsia"/>
          <w:sz w:val="24"/>
        </w:rPr>
        <w:t>拖赔惜赔等</w:t>
      </w:r>
      <w:proofErr w:type="gramEnd"/>
      <w:r>
        <w:rPr>
          <w:rFonts w:ascii="宋体" w:eastAsia="宋体" w:hAnsi="宋体" w:cs="宋体" w:hint="eastAsia"/>
          <w:sz w:val="24"/>
        </w:rPr>
        <w:t>。</w:t>
      </w:r>
    </w:p>
    <w:p w14:paraId="68F026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（五）业务财务数据</w:t>
      </w:r>
    </w:p>
    <w:p w14:paraId="5FF0A8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偿付能力数据不真实，偿付能力信息披露不真实、不完整；财务业务数据不真实，费用延迟入账，非正常调节未决赔款准备金和未到期责任准备金；客户信息不真实、不完整；承保理赔档案资料不真实、不完整；虚假承保、虚假理赔；编制和提供虚假的报告、报表、文件和资料；通过虚构中介业务、虚列人员、虚列费用等方式套取资金向相关机构、人员暗中支付利益等。</w:t>
      </w:r>
    </w:p>
    <w:p w14:paraId="2E7FDF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二、信托领域</w:t>
      </w:r>
    </w:p>
    <w:p w14:paraId="7AB991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（一）宏观调控政策执行</w:t>
      </w:r>
    </w:p>
    <w:p w14:paraId="3C0F56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向“四证”不全、开发商或其控股股东资质不达标、资本金未足额到位的房地产开发项目直接提供融资，或通过股权投资+股东借款、股权投资+债权认购劣后、应收账款、特定资产收益权等方式变相提供融资；直接或变相为房地产企业缴交土地出让价款提供融资，直接或变相为房地产企业发放流动资金贷款；违法违规向地方政府提供融资；违规要求或接受地方政府及其所属部门提供各种形式的担保；违规将表内外资金直接或间接投向“两高一剩”等限制或禁止领域等。</w:t>
      </w:r>
    </w:p>
    <w:p w14:paraId="336FC0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（二）公司治理</w:t>
      </w:r>
    </w:p>
    <w:p w14:paraId="61328B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股权关系不透明、不清晰，股东行为不合</w:t>
      </w:r>
      <w:proofErr w:type="gramStart"/>
      <w:r>
        <w:rPr>
          <w:rFonts w:ascii="宋体" w:eastAsia="宋体" w:hAnsi="宋体" w:cs="宋体" w:hint="eastAsia"/>
          <w:sz w:val="24"/>
        </w:rPr>
        <w:t>规</w:t>
      </w:r>
      <w:proofErr w:type="gramEnd"/>
      <w:r>
        <w:rPr>
          <w:rFonts w:ascii="宋体" w:eastAsia="宋体" w:hAnsi="宋体" w:cs="宋体" w:hint="eastAsia"/>
          <w:sz w:val="24"/>
        </w:rPr>
        <w:t>、不审慎甚至损害机构利益，通过关联交易向股东或实际控制人进行不当利益输送；董事会及下设专业委员会履职有效性不足，监事会监督作用未充分发挥；激励约束机制不完善，考核评价体系中风险与合</w:t>
      </w:r>
      <w:proofErr w:type="gramStart"/>
      <w:r>
        <w:rPr>
          <w:rFonts w:ascii="宋体" w:eastAsia="宋体" w:hAnsi="宋体" w:cs="宋体" w:hint="eastAsia"/>
          <w:sz w:val="24"/>
        </w:rPr>
        <w:t>规</w:t>
      </w:r>
      <w:proofErr w:type="gramEnd"/>
      <w:r>
        <w:rPr>
          <w:rFonts w:ascii="宋体" w:eastAsia="宋体" w:hAnsi="宋体" w:cs="宋体" w:hint="eastAsia"/>
          <w:sz w:val="24"/>
        </w:rPr>
        <w:t>指标占比过低，薪酬延期支付和追索扣回机制不健全；董事、高级管理人员履职前未取得任职资格等。</w:t>
      </w:r>
    </w:p>
    <w:p w14:paraId="6B25E7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（三）资产质量</w:t>
      </w:r>
    </w:p>
    <w:p w14:paraId="281EEC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信托风险资产和固有资产质量分类不准确，未按规定有效识别并及时上报风险项目，存在故意隐匿风险的情况；未按规定足额计提资产减值准备或预计负债等。</w:t>
      </w:r>
    </w:p>
    <w:p w14:paraId="45522C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（四）非标资金池业务</w:t>
      </w:r>
    </w:p>
    <w:p w14:paraId="7C83EC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新增非标资金池业务，或通过分期发行、开放式、多层嵌套等方式变相新增非标资金池业务；非标资金</w:t>
      </w:r>
      <w:proofErr w:type="gramStart"/>
      <w:r>
        <w:rPr>
          <w:rFonts w:ascii="宋体" w:eastAsia="宋体" w:hAnsi="宋体" w:cs="宋体" w:hint="eastAsia"/>
          <w:sz w:val="24"/>
        </w:rPr>
        <w:t>池业务</w:t>
      </w:r>
      <w:proofErr w:type="gramEnd"/>
      <w:r>
        <w:rPr>
          <w:rFonts w:ascii="宋体" w:eastAsia="宋体" w:hAnsi="宋体" w:cs="宋体" w:hint="eastAsia"/>
          <w:sz w:val="24"/>
        </w:rPr>
        <w:t>期限错配严重、流动性风险突出；未对资金来源、底层资产、实际资金用途和实际风险承担情况开展有效穿透管理等。</w:t>
      </w:r>
    </w:p>
    <w:p w14:paraId="6C2024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（五）同业业务</w:t>
      </w:r>
    </w:p>
    <w:p w14:paraId="2819AD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违规开展银信、保信合作业务，向银行、保险资金违规提供通道服务；与银行、保险公司违规签订抽屉协议、阴阳合同；协助保险资金变相投资事务管理类信托或单一信托；未按“穿透”原则向上识别信托产品最终投资者，向下识别产品底层资产等。</w:t>
      </w:r>
    </w:p>
    <w:p w14:paraId="7C2183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（六）经营管理</w:t>
      </w:r>
    </w:p>
    <w:p w14:paraId="2CAE7A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违背“双录”要求；违规由第三方非金融机构推介信托产品等。</w:t>
      </w:r>
    </w:p>
    <w:p w14:paraId="3CB05A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三、其他非银领域</w:t>
      </w:r>
    </w:p>
    <w:p w14:paraId="54957B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（一）金融资产管理公司</w:t>
      </w:r>
    </w:p>
    <w:p w14:paraId="05A4F1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1.宏观调控政策执行。未执行关于房地产业</w:t>
      </w:r>
      <w:proofErr w:type="gramStart"/>
      <w:r>
        <w:rPr>
          <w:rFonts w:ascii="宋体" w:eastAsia="宋体" w:hAnsi="宋体" w:cs="宋体" w:hint="eastAsia"/>
          <w:sz w:val="24"/>
        </w:rPr>
        <w:t>务</w:t>
      </w:r>
      <w:proofErr w:type="gramEnd"/>
      <w:r>
        <w:rPr>
          <w:rFonts w:ascii="宋体" w:eastAsia="宋体" w:hAnsi="宋体" w:cs="宋体" w:hint="eastAsia"/>
          <w:sz w:val="24"/>
        </w:rPr>
        <w:t>的各项政策和监管要求；违法违规向地方政府提供融资或通过融资平台违规新增地方政府债务等。</w:t>
      </w:r>
    </w:p>
    <w:p w14:paraId="23D2AE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2.公司治理。董事会及专业委员会履职有效性不足，监事会监督作用未充分</w:t>
      </w:r>
      <w:r>
        <w:rPr>
          <w:rFonts w:ascii="宋体" w:eastAsia="宋体" w:hAnsi="宋体" w:cs="宋体" w:hint="eastAsia"/>
          <w:sz w:val="24"/>
        </w:rPr>
        <w:lastRenderedPageBreak/>
        <w:t>发挥；激励约束机制不完善，考核评价体系中风险与合</w:t>
      </w:r>
      <w:proofErr w:type="gramStart"/>
      <w:r>
        <w:rPr>
          <w:rFonts w:ascii="宋体" w:eastAsia="宋体" w:hAnsi="宋体" w:cs="宋体" w:hint="eastAsia"/>
          <w:sz w:val="24"/>
        </w:rPr>
        <w:t>规</w:t>
      </w:r>
      <w:proofErr w:type="gramEnd"/>
      <w:r>
        <w:rPr>
          <w:rFonts w:ascii="宋体" w:eastAsia="宋体" w:hAnsi="宋体" w:cs="宋体" w:hint="eastAsia"/>
          <w:sz w:val="24"/>
        </w:rPr>
        <w:t>指标占比过低，薪酬延期支付和追索扣回机制不健全；高级管理人员履职前未取得任职资格；公司制度与监管规定冲突；前中后台岗位未实现分离与制衡，合</w:t>
      </w:r>
      <w:proofErr w:type="gramStart"/>
      <w:r>
        <w:rPr>
          <w:rFonts w:ascii="宋体" w:eastAsia="宋体" w:hAnsi="宋体" w:cs="宋体" w:hint="eastAsia"/>
          <w:sz w:val="24"/>
        </w:rPr>
        <w:t>规</w:t>
      </w:r>
      <w:proofErr w:type="gramEnd"/>
      <w:r>
        <w:rPr>
          <w:rFonts w:ascii="宋体" w:eastAsia="宋体" w:hAnsi="宋体" w:cs="宋体" w:hint="eastAsia"/>
          <w:sz w:val="24"/>
        </w:rPr>
        <w:t>内审部门资源配置和独立性不足；并表管理不到位，风险隔离缺失；未按规定清理非金子公司；通过设立特殊目的实体进入禁止性领域；通过内部交易掩盖内生不良，内部交易和关联交易认定和管理不审慎，关联交易审批程序不合</w:t>
      </w:r>
      <w:proofErr w:type="gramStart"/>
      <w:r>
        <w:rPr>
          <w:rFonts w:ascii="宋体" w:eastAsia="宋体" w:hAnsi="宋体" w:cs="宋体" w:hint="eastAsia"/>
          <w:sz w:val="24"/>
        </w:rPr>
        <w:t>规</w:t>
      </w:r>
      <w:proofErr w:type="gramEnd"/>
      <w:r>
        <w:rPr>
          <w:rFonts w:ascii="宋体" w:eastAsia="宋体" w:hAnsi="宋体" w:cs="宋体" w:hint="eastAsia"/>
          <w:sz w:val="24"/>
        </w:rPr>
        <w:t>，通过关联交易输送利益、掩盖风险等。</w:t>
      </w:r>
    </w:p>
    <w:p w14:paraId="647377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3.资产质量。未按规定做实资产质量，风险分类不准确，通过调整会计科目规避资产分类，未按规定计</w:t>
      </w:r>
      <w:proofErr w:type="gramStart"/>
      <w:r>
        <w:rPr>
          <w:rFonts w:ascii="宋体" w:eastAsia="宋体" w:hAnsi="宋体" w:cs="宋体" w:hint="eastAsia"/>
          <w:sz w:val="24"/>
        </w:rPr>
        <w:t>提拨</w:t>
      </w:r>
      <w:proofErr w:type="gramEnd"/>
      <w:r>
        <w:rPr>
          <w:rFonts w:ascii="宋体" w:eastAsia="宋体" w:hAnsi="宋体" w:cs="宋体" w:hint="eastAsia"/>
          <w:sz w:val="24"/>
        </w:rPr>
        <w:t>备等。</w:t>
      </w:r>
    </w:p>
    <w:p w14:paraId="3CB9C1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不良资产收购业务。为银行业金融机构规避资产质量监管提供通道；以收购金融或非金融不良资产名义变相提供融资；批量收购个人贷款；收购非不良资产；非金收购标的不真实；“三查”不完善；不良资产处置不规范等。</w:t>
      </w:r>
    </w:p>
    <w:p w14:paraId="3D38A6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5.固定收益类业务。违规新增办理类信贷等固定收益类业务，包括但不限于收购各类收（受）益权，通过有限合伙基金、信托计划、</w:t>
      </w:r>
      <w:proofErr w:type="gramStart"/>
      <w:r>
        <w:rPr>
          <w:rFonts w:ascii="宋体" w:eastAsia="宋体" w:hAnsi="宋体" w:cs="宋体" w:hint="eastAsia"/>
          <w:sz w:val="24"/>
        </w:rPr>
        <w:t>资管计划</w:t>
      </w:r>
      <w:proofErr w:type="gramEnd"/>
      <w:r>
        <w:rPr>
          <w:rFonts w:ascii="宋体" w:eastAsia="宋体" w:hAnsi="宋体" w:cs="宋体" w:hint="eastAsia"/>
          <w:sz w:val="24"/>
        </w:rPr>
        <w:t>等开展固定收益类业务等，与不良资产经营相关的有限合伙基金与信托计划除外。</w:t>
      </w:r>
    </w:p>
    <w:p w14:paraId="415736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6.同业业务。存放同业、同业借款、买入返售业务、同业投资等同业业务内控制度和流程不完善；通过不当交易转移、掩盖风险或延后风险暴露或造成损失等。</w:t>
      </w:r>
    </w:p>
    <w:p w14:paraId="49C2EA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（二）金融租赁公司</w:t>
      </w:r>
    </w:p>
    <w:p w14:paraId="55B650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1.宏观调控政策执行。违规开展房地产业</w:t>
      </w:r>
      <w:proofErr w:type="gramStart"/>
      <w:r>
        <w:rPr>
          <w:rFonts w:ascii="宋体" w:eastAsia="宋体" w:hAnsi="宋体" w:cs="宋体" w:hint="eastAsia"/>
          <w:sz w:val="24"/>
        </w:rPr>
        <w:t>务</w:t>
      </w:r>
      <w:proofErr w:type="gramEnd"/>
      <w:r>
        <w:rPr>
          <w:rFonts w:ascii="宋体" w:eastAsia="宋体" w:hAnsi="宋体" w:cs="宋体" w:hint="eastAsia"/>
          <w:sz w:val="24"/>
        </w:rPr>
        <w:t>；违规向地方政府及融资平台提供融资等。</w:t>
      </w:r>
    </w:p>
    <w:p w14:paraId="4E46A7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公司治理。股东滥用权利，损害公司利益；股东违规质押本公司股权或设立信托；董事会及专业委员会履职有效性不足，监事会监督作用未充分发挥，关键岗位长期空缺、兼任不相容职务；薪酬管理制度不完善或执行不力；关联方识别不到位，违规通过关联交易输送利益等。</w:t>
      </w:r>
    </w:p>
    <w:p w14:paraId="078B60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3.资产质量。未按规定做实资产质量，未按规定计</w:t>
      </w:r>
      <w:proofErr w:type="gramStart"/>
      <w:r>
        <w:rPr>
          <w:rFonts w:ascii="宋体" w:eastAsia="宋体" w:hAnsi="宋体" w:cs="宋体" w:hint="eastAsia"/>
          <w:sz w:val="24"/>
        </w:rPr>
        <w:t>提拨</w:t>
      </w:r>
      <w:proofErr w:type="gramEnd"/>
      <w:r>
        <w:rPr>
          <w:rFonts w:ascii="宋体" w:eastAsia="宋体" w:hAnsi="宋体" w:cs="宋体" w:hint="eastAsia"/>
          <w:sz w:val="24"/>
        </w:rPr>
        <w:t>备等。</w:t>
      </w:r>
    </w:p>
    <w:p w14:paraId="08F65A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4.业务经营。违规以公益性资产、在建工程、未取得所有权或所有权存在瑕疵的财产作为租赁物；违规开展固定收益类证券投资以外的投资业务，如购买信托计划、</w:t>
      </w:r>
      <w:proofErr w:type="gramStart"/>
      <w:r>
        <w:rPr>
          <w:rFonts w:ascii="宋体" w:eastAsia="宋体" w:hAnsi="宋体" w:cs="宋体" w:hint="eastAsia"/>
          <w:sz w:val="24"/>
        </w:rPr>
        <w:t>资管计划</w:t>
      </w:r>
      <w:proofErr w:type="gramEnd"/>
      <w:r>
        <w:rPr>
          <w:rFonts w:ascii="宋体" w:eastAsia="宋体" w:hAnsi="宋体" w:cs="宋体" w:hint="eastAsia"/>
          <w:sz w:val="24"/>
        </w:rPr>
        <w:t>；未做到洁净转让或受让租赁资产，违规以带回购条款的租赁资产转让方式向同业融资，违规通过各类通道（包括券商、信托、资产公司、租赁公司等）实现不良资产非</w:t>
      </w:r>
      <w:proofErr w:type="gramStart"/>
      <w:r>
        <w:rPr>
          <w:rFonts w:ascii="宋体" w:eastAsia="宋体" w:hAnsi="宋体" w:cs="宋体" w:hint="eastAsia"/>
          <w:sz w:val="24"/>
        </w:rPr>
        <w:t>洁净出表或</w:t>
      </w:r>
      <w:proofErr w:type="gramEnd"/>
      <w:r>
        <w:rPr>
          <w:rFonts w:ascii="宋体" w:eastAsia="宋体" w:hAnsi="宋体" w:cs="宋体" w:hint="eastAsia"/>
          <w:sz w:val="24"/>
        </w:rPr>
        <w:t>虚假出表，人为调节监管指标；专业子公司、项目公司未在公司授权范围内开展业务；租赁物属于国家法律法规规定的所有权转移必须到登记部门进行登记的，未办理相关转移手续等。</w:t>
      </w:r>
    </w:p>
    <w:p w14:paraId="6DF994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（三）财务公司</w:t>
      </w:r>
    </w:p>
    <w:p w14:paraId="1AC488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1.公司治理。股东滥用权利，损害公司利益；董事会及专业委员会履职有效性不足，监事会监督作用未充分发挥；关键岗位长期空缺、兼任不相容职务；薪酬管理制度不完善或执行不力等。</w:t>
      </w:r>
    </w:p>
    <w:p w14:paraId="00B038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2.资产质量。未按规定做实资产质量，未按规定计</w:t>
      </w:r>
      <w:proofErr w:type="gramStart"/>
      <w:r>
        <w:rPr>
          <w:rFonts w:ascii="宋体" w:eastAsia="宋体" w:hAnsi="宋体" w:cs="宋体" w:hint="eastAsia"/>
          <w:sz w:val="24"/>
        </w:rPr>
        <w:t>提拨</w:t>
      </w:r>
      <w:proofErr w:type="gramEnd"/>
      <w:r>
        <w:rPr>
          <w:rFonts w:ascii="宋体" w:eastAsia="宋体" w:hAnsi="宋体" w:cs="宋体" w:hint="eastAsia"/>
          <w:sz w:val="24"/>
        </w:rPr>
        <w:t>备等。</w:t>
      </w:r>
    </w:p>
    <w:p w14:paraId="03864C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3.业务经营。为成员单位开具</w:t>
      </w:r>
      <w:proofErr w:type="gramStart"/>
      <w:r>
        <w:rPr>
          <w:rFonts w:ascii="宋体" w:eastAsia="宋体" w:hAnsi="宋体" w:cs="宋体" w:hint="eastAsia"/>
          <w:sz w:val="24"/>
        </w:rPr>
        <w:t>无真实</w:t>
      </w:r>
      <w:proofErr w:type="gramEnd"/>
      <w:r>
        <w:rPr>
          <w:rFonts w:ascii="宋体" w:eastAsia="宋体" w:hAnsi="宋体" w:cs="宋体" w:hint="eastAsia"/>
          <w:sz w:val="24"/>
        </w:rPr>
        <w:t>贸易背景的承兑汇票；违规通过票据业务为集团套取资金；违规开展投资业务，投向不符合监管政策和导向，通过投资变相向集团外客户发放贷款和进行非金融企业股权投资；向集团内小贷公司、融资担保公司、保理公司、融资租赁公司等机构进行融资；利用提高承兑保证金，规避担保比例限制等。</w:t>
      </w:r>
    </w:p>
    <w:p w14:paraId="52232C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（四）汽车金融公司</w:t>
      </w:r>
    </w:p>
    <w:p w14:paraId="2A79F3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公司治理。股东滥用权利，损害公司利益；董事会及专业委员会履职有效性不足，监事会监督作用未充分发挥，关键岗位长期空缺、兼任不相容职务；薪酬管理制度不完善或执行不力；违规通过关联交易输送利益等。</w:t>
      </w:r>
    </w:p>
    <w:p w14:paraId="236FB2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2.资产质量。未按规定做实资产质量，未按规定计</w:t>
      </w:r>
      <w:proofErr w:type="gramStart"/>
      <w:r>
        <w:rPr>
          <w:rFonts w:ascii="宋体" w:eastAsia="宋体" w:hAnsi="宋体" w:cs="宋体" w:hint="eastAsia"/>
          <w:sz w:val="24"/>
        </w:rPr>
        <w:t>提拨</w:t>
      </w:r>
      <w:proofErr w:type="gramEnd"/>
      <w:r>
        <w:rPr>
          <w:rFonts w:ascii="宋体" w:eastAsia="宋体" w:hAnsi="宋体" w:cs="宋体" w:hint="eastAsia"/>
          <w:sz w:val="24"/>
        </w:rPr>
        <w:t>备等。</w:t>
      </w:r>
    </w:p>
    <w:p w14:paraId="0F2600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3.业务经营。未落实贷款“三查”制度；违规收费，不当催收，泄露消费者个人信息；经销商贷后管理不足等。</w:t>
      </w:r>
    </w:p>
    <w:p w14:paraId="3FEEC3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（五）消费金融公司</w:t>
      </w:r>
    </w:p>
    <w:p w14:paraId="45C3C0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1.公司治理。股东滥用权利，损害公司利益；董事会及专业委员会履职有效</w:t>
      </w:r>
      <w:r>
        <w:rPr>
          <w:rFonts w:ascii="宋体" w:eastAsia="宋体" w:hAnsi="宋体" w:cs="宋体" w:hint="eastAsia"/>
          <w:sz w:val="24"/>
        </w:rPr>
        <w:lastRenderedPageBreak/>
        <w:t>性不足，监事会监督作用未充分发挥；关键岗位长期空缺、兼任不相容职务；薪酬管理制度不完善或执行不力；违规通过关联交易输送利益等。</w:t>
      </w:r>
    </w:p>
    <w:p w14:paraId="01C5EF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2.资产质量。未按规定做实资产质量，未按规定计</w:t>
      </w:r>
      <w:proofErr w:type="gramStart"/>
      <w:r>
        <w:rPr>
          <w:rFonts w:ascii="宋体" w:eastAsia="宋体" w:hAnsi="宋体" w:cs="宋体" w:hint="eastAsia"/>
          <w:sz w:val="24"/>
        </w:rPr>
        <w:t>提拨</w:t>
      </w:r>
      <w:proofErr w:type="gramEnd"/>
      <w:r>
        <w:rPr>
          <w:rFonts w:ascii="宋体" w:eastAsia="宋体" w:hAnsi="宋体" w:cs="宋体" w:hint="eastAsia"/>
          <w:sz w:val="24"/>
        </w:rPr>
        <w:t>备等。</w:t>
      </w:r>
    </w:p>
    <w:p w14:paraId="2181B7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3.业务经营。未落实贷款“三查”制度；违规外包，与助</w:t>
      </w:r>
      <w:proofErr w:type="gramStart"/>
      <w:r>
        <w:rPr>
          <w:rFonts w:ascii="宋体" w:eastAsia="宋体" w:hAnsi="宋体" w:cs="宋体" w:hint="eastAsia"/>
          <w:sz w:val="24"/>
        </w:rPr>
        <w:t>贷机</w:t>
      </w:r>
      <w:proofErr w:type="gramEnd"/>
      <w:r>
        <w:rPr>
          <w:rFonts w:ascii="宋体" w:eastAsia="宋体" w:hAnsi="宋体" w:cs="宋体" w:hint="eastAsia"/>
          <w:sz w:val="24"/>
        </w:rPr>
        <w:t>构违规合作；未按规定发放消费贷款；违规从借贷本金中先行扣除利息、管理费、保证金，转嫁成本，对未提供实质性服务项目收费或相对于服务内容而言收费明显不合理；不当催收等。</w:t>
      </w:r>
    </w:p>
    <w:p w14:paraId="08564902"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713B7936"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114.《银行业保险业突发事件信息报告办法》</w:t>
      </w:r>
    </w:p>
    <w:p w14:paraId="11A602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发文机构：中国银行保险监督管理委员会(已撤销)</w:t>
      </w:r>
      <w:r>
        <w:rPr>
          <w:rFonts w:ascii="宋体" w:eastAsia="宋体" w:hAnsi="宋体" w:cs="宋体" w:hint="eastAsia"/>
          <w:sz w:val="24"/>
        </w:rPr>
        <w:tab/>
      </w:r>
    </w:p>
    <w:p w14:paraId="28B158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文号：银保监发〔2019〕29号</w:t>
      </w:r>
    </w:p>
    <w:p w14:paraId="369714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总则</w:t>
      </w:r>
    </w:p>
    <w:p w14:paraId="5D0A32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加强和规范突发事件信息报告工作，促进银行业保险业风险防范处置，维护社会经济秩序和金融稳定，依据《中华人民共和国银行业监督管理法》《中华人民共和国保险法》《中华人民共和国突发事件应对法》以及《银行业突发事件应急预案》《保险业突发事件应急预案》等规定，制定本办法。</w:t>
      </w:r>
    </w:p>
    <w:p w14:paraId="6B4F45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中国银行保险监督管理委员会及其派出机构（以下简称银行保险监管机构）、银行业金融机构和保险机构（以下简称银行保险机构）应当建立完善突发事件应急管理体制机制，建立健全突发事件应急预案体系，加强预防与应急准备、监测与预警、处置与恢复等工作。突发事件发生后，相关银行保险监管机构、银行保险机构应当立即启动预案，依法、科学、高效、稳妥地应对和处置。</w:t>
      </w:r>
    </w:p>
    <w:p w14:paraId="5B2AE0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银行保险监管机构、银行保险机构应当建立完善突发事件信息报告工作制度和流程，及时、客观、真实、全面地报告各类突发事件。</w:t>
      </w:r>
    </w:p>
    <w:p w14:paraId="16ED98D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银行保险监管机构、银行保险机构应当指定部门具体负责突发事件信息报告工作，明确责任领导和责任人员。中国银行保险监督管理委员会（以下简称银保监会）办公厅作为应急管理部门，负责全系统突发事件信息报告的管理、协调和指导工作，具体负责银保监</w:t>
      </w:r>
      <w:proofErr w:type="gramStart"/>
      <w:r>
        <w:rPr>
          <w:rFonts w:ascii="宋体" w:eastAsia="宋体" w:hAnsi="宋体" w:cs="宋体" w:hint="eastAsia"/>
          <w:sz w:val="24"/>
        </w:rPr>
        <w:t>会机关</w:t>
      </w:r>
      <w:proofErr w:type="gramEnd"/>
      <w:r>
        <w:rPr>
          <w:rFonts w:ascii="宋体" w:eastAsia="宋体" w:hAnsi="宋体" w:cs="宋体" w:hint="eastAsia"/>
          <w:sz w:val="24"/>
        </w:rPr>
        <w:t>相关工作。</w:t>
      </w:r>
    </w:p>
    <w:p w14:paraId="340E2A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报告范围和标准</w:t>
      </w:r>
    </w:p>
    <w:p w14:paraId="1E8736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银行保险机构应当按照“谁监管、向谁报”的原则，向银行保险监管机构报告突发事件信息。</w:t>
      </w:r>
    </w:p>
    <w:p w14:paraId="444BC3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银行保险监管机构应当按规定向上级机构报告辖内银行业保险业重大突发事件信息。</w:t>
      </w:r>
    </w:p>
    <w:p w14:paraId="29AA4D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银行业保险业突发事件报告共同标准。发生下列银行业保险业突发事件，应当向银保监会报告信息。</w:t>
      </w:r>
    </w:p>
    <w:p w14:paraId="05690E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（一）因聚众围堵、冲击银行保险机构，致使1个营业网点停业4小时以上、2个以上营业网点停业2小时以上，或者造成重大社会影响；</w:t>
      </w:r>
    </w:p>
    <w:p w14:paraId="2A6CEE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（二）银行保险机构营业网点受到100人以上围堵、冲击，或者连续一周受到20人以上围堵、冲击；</w:t>
      </w:r>
    </w:p>
    <w:p w14:paraId="3004F0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（三）因自然灾害、事故灾难、公共卫生事件致使银行保险机构5个以上营业网点停业3天以上，或者造成重大社会影响；</w:t>
      </w:r>
    </w:p>
    <w:p w14:paraId="487BB0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（四）银行保险机构受到暴恐袭击或发生造成人员伤亡、财产严重损失的社会安全事件，或者受到其他社会安全事件严重影响；</w:t>
      </w:r>
    </w:p>
    <w:p w14:paraId="4C3481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重要信息系统出现故障、受到网络攻击，导致银行保险机构在同一省份的营业网点、电子渠道业务中断3小时以上，或者在两个及以上省份的营业网点、电子渠道业务中断30分钟以上，或者因网络欺诈或其它信息安全事件，导致银行保险机构或客户资金损失1000万元以上，或者造成重大社会影响；</w:t>
      </w:r>
    </w:p>
    <w:p w14:paraId="155185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（六）银行保险机构从业人员涉嫌利用职务工作挪用、侵占资金1000万元以上，或者进行非法集资、传销、洗钱等非法活动造成重大社会影响；</w:t>
      </w:r>
    </w:p>
    <w:p w14:paraId="737F06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（七）银行保险机构从业人员涉嫌假冒银行保险机构印信、凭证、渠道等骗取、套取资金1000万元以上；</w:t>
      </w:r>
    </w:p>
    <w:p w14:paraId="6B29B7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（八）银行保险机构客户或他人涉嫌利用虚假票证、交易、信用等骗取银行保险机构资金1000万元以上；</w:t>
      </w:r>
    </w:p>
    <w:p w14:paraId="3A7D99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（九）银行保险机构丢失或泄露大量重要资料、重要账册、重要空白凭证、重要数据或客户信息等，已经或可能造成重大损失、严重影响；</w:t>
      </w:r>
    </w:p>
    <w:p w14:paraId="7F8515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（十）银保监会直接监管的银行保险机构（法人）董事长、行长（总经理）、监事长、高级管理人员及其一级分支机构主要负责人被有权机关采取强制措施、</w:t>
      </w:r>
      <w:proofErr w:type="gramStart"/>
      <w:r>
        <w:rPr>
          <w:rFonts w:ascii="宋体" w:eastAsia="宋体" w:hAnsi="宋体" w:cs="宋体" w:hint="eastAsia"/>
          <w:sz w:val="24"/>
        </w:rPr>
        <w:t>失联失踪</w:t>
      </w:r>
      <w:proofErr w:type="gramEnd"/>
      <w:r>
        <w:rPr>
          <w:rFonts w:ascii="宋体" w:eastAsia="宋体" w:hAnsi="宋体" w:cs="宋体" w:hint="eastAsia"/>
          <w:sz w:val="24"/>
        </w:rPr>
        <w:t>或不明原因死亡等；</w:t>
      </w:r>
    </w:p>
    <w:p w14:paraId="2F8AEB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（十一）银保监会派出机构直接监管的银行保险机构（法人）董事长（理事长）、行长（总经理）、监事长被有权机关采取强制措施、</w:t>
      </w:r>
      <w:proofErr w:type="gramStart"/>
      <w:r>
        <w:rPr>
          <w:rFonts w:ascii="宋体" w:eastAsia="宋体" w:hAnsi="宋体" w:cs="宋体" w:hint="eastAsia"/>
          <w:sz w:val="24"/>
        </w:rPr>
        <w:t>失联失踪</w:t>
      </w:r>
      <w:proofErr w:type="gramEnd"/>
      <w:r>
        <w:rPr>
          <w:rFonts w:ascii="宋体" w:eastAsia="宋体" w:hAnsi="宋体" w:cs="宋体" w:hint="eastAsia"/>
          <w:sz w:val="24"/>
        </w:rPr>
        <w:t>或不明原因死亡等；</w:t>
      </w:r>
    </w:p>
    <w:p w14:paraId="7F7724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（十二）银行保险机构同一系统内有3名以上董事（理事）、监事、高级管理人员、其他重要部门（岗位）人员同时或相继被有权机关采取强制措施、</w:t>
      </w:r>
      <w:proofErr w:type="gramStart"/>
      <w:r>
        <w:rPr>
          <w:rFonts w:ascii="宋体" w:eastAsia="宋体" w:hAnsi="宋体" w:cs="宋体" w:hint="eastAsia"/>
          <w:sz w:val="24"/>
        </w:rPr>
        <w:t>失联失踪</w:t>
      </w:r>
      <w:proofErr w:type="gramEnd"/>
      <w:r>
        <w:rPr>
          <w:rFonts w:ascii="宋体" w:eastAsia="宋体" w:hAnsi="宋体" w:cs="宋体" w:hint="eastAsia"/>
          <w:sz w:val="24"/>
        </w:rPr>
        <w:t>或不明原因死亡等；</w:t>
      </w:r>
    </w:p>
    <w:p w14:paraId="18C3AD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（十三）银行保险机构从业人员非正常死亡严重影响正常对外营业和其他经营活动正常开展，或者造成重大社会影响；</w:t>
      </w:r>
    </w:p>
    <w:p w14:paraId="25D7FF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（十四）银行保险机构（法人）及其一级分支机构高级管理人员、重要部门（岗位）工作人员突然集体辞职，严重影响银行保险经营管理活动，或者造成重大社会影响；</w:t>
      </w:r>
    </w:p>
    <w:p w14:paraId="6A7F19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（十五）银行保险机构被其他金融管理机构、执法部门罚没单个机构1000万元以上或者同批次多个机构共计5000万元以上；</w:t>
      </w:r>
    </w:p>
    <w:p w14:paraId="29106B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（十六）银行保险机构被其他金融管理机构、执法部门处以停产停业、吊销有关许可证、吊销营业执照或取消业务类处罚；</w:t>
      </w:r>
    </w:p>
    <w:p w14:paraId="75F473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（十七）银行保险机构的境内子公司（含非金融类公司）发生突发事件对银行保险机构造成重大影响；</w:t>
      </w:r>
    </w:p>
    <w:p w14:paraId="3E03D5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（十八）银行保险机构的境外机构发生突发事件可能造成重大影响，或者被境外监管机构实施处罚或采取其他强制措施；</w:t>
      </w:r>
    </w:p>
    <w:p w14:paraId="34209C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（十九）银行保险机构主要股东或其实际控制人出现危机或其他严重问题，对银行保险机构造成重大影响；</w:t>
      </w:r>
    </w:p>
    <w:p w14:paraId="621C1B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（二十）银行保险机构发生重大诉讼案件，造成1000万元以上损失或导致重要监管指标、经营指标发生劣变，或者造成重大社会影响；</w:t>
      </w:r>
    </w:p>
    <w:p w14:paraId="6B66CD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（二十一）银行保险机构发生突发事件，已经或可能形成重大声誉风险；</w:t>
      </w:r>
    </w:p>
    <w:p w14:paraId="61F2E2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（二十二）其它可能对银行保险机构资产造成重大损失的突发事件；</w:t>
      </w:r>
    </w:p>
    <w:p w14:paraId="3DF6B9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（二十三）其它严重影响单体机构或区域银行业保险业正常经营秩序的突发事件。</w:t>
      </w:r>
    </w:p>
    <w:p w14:paraId="3D3D86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银行业突发事件报告特有标准。发生下列银行业突发事件，应当向</w:t>
      </w:r>
      <w:r>
        <w:rPr>
          <w:rFonts w:ascii="宋体" w:eastAsia="宋体" w:hAnsi="宋体" w:cs="宋体" w:hint="eastAsia"/>
          <w:sz w:val="24"/>
        </w:rPr>
        <w:lastRenderedPageBreak/>
        <w:t>银保监会报告信息。</w:t>
      </w:r>
    </w:p>
    <w:p w14:paraId="7C4F4B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（一）挤兑事件；</w:t>
      </w:r>
    </w:p>
    <w:p w14:paraId="09111B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（二）盗窃银行业金融机构业务库、保管箱库、现金业务区、自助设备存放的现金、贵金属或其他物品等值人民币30万元以上；</w:t>
      </w:r>
    </w:p>
    <w:p w14:paraId="705D17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（三）抢劫银行业金融机构营业网点、自助网点、业务库、运钞车或其外包押运公司运钞车；</w:t>
      </w:r>
    </w:p>
    <w:p w14:paraId="3E6A9F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（四）银行业金融机构表内外授信余额10亿元以上企业（集团）出现重大风险，严重危及金融债权安全或对银行业金融机构正常经营产生重大影响；</w:t>
      </w:r>
    </w:p>
    <w:p w14:paraId="1B7326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（五）银行业金融机构自查发现重大违规事件，涉及金额1亿元以上，或已造成损失1000万元以上。</w:t>
      </w:r>
    </w:p>
    <w:p w14:paraId="2BA7A9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保险业突发事件报告特有标准。发生下列保险业突发事件，应当向银保监会报告信息。</w:t>
      </w:r>
    </w:p>
    <w:p w14:paraId="5A2B22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因发生洪水、台风、地震、泥石流等严重的自然灾害，或者重大火灾、安全生产、环境污染、交通运输等严重事故，或者境外突发性的战争、武装暴动、政权更迭等事件，造成或可能造成保险财产损失5000万元以上、人身伤亡赔付1000万元以上或被保险人死亡10人以上，或者对保险机构业务产生重大影响；</w:t>
      </w:r>
    </w:p>
    <w:p w14:paraId="43CEC5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（二）发生群体性疾病、传染性疾病、重大食物中毒等公共卫生事件，可能引发大面积保险索赔，造成重大社会影响。</w:t>
      </w:r>
    </w:p>
    <w:p w14:paraId="6E8432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涉及敏感地区、敏感时期、敏感人物的突发事件信息，不拘泥于第六条、第七条、第八条相关标准规定，应全部报告银保监会。</w:t>
      </w:r>
    </w:p>
    <w:p w14:paraId="608F99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发现非法设立银行保险机构、非法办理银行保险机构业务事件，应当及时向银保监会报告信息。</w:t>
      </w:r>
    </w:p>
    <w:p w14:paraId="7FF521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报告时限和方式</w:t>
      </w:r>
    </w:p>
    <w:p w14:paraId="7A1136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事发单位是突发事件信息报告的责任主体，应当按要求向银保监会或其派出机构报告突发事件信息。</w:t>
      </w:r>
    </w:p>
    <w:p w14:paraId="0164EB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银保监会直接监管的银行保险机构应当向银保监会报告涉及总部及海外机构的突发事件信息，其分支机构、专营机构向属地银保监会派出机构报告突发事件信息。</w:t>
      </w:r>
    </w:p>
    <w:p w14:paraId="17A2B2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银保监会派出机构直接监管的法人银行保险机构向属地银保监会派出机构报告涉及总部及其海外机构的突发事件信息，其分支机构、专营机构向属地银保监会派出机构报告突发事件信息。</w:t>
      </w:r>
    </w:p>
    <w:p w14:paraId="57A1CD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银保监会省级派出机构、银保监会直接监管的银行保险机构对于按规定需要报告银保监会的突发事件，应当按双线报送原则分别报告银保监会。</w:t>
      </w:r>
    </w:p>
    <w:p w14:paraId="755423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银行保险机构、银保监会派出机构应当强化突发事件信息首报、先报意识。突发事件发生后，应当采取一切措施尽快掌握情况，尽快报告信息。</w:t>
      </w:r>
    </w:p>
    <w:p w14:paraId="37D8A4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对涉及挤兑、围堵、冲击、停业、盗抢等突发事件，事发单位应不迟于1小时向银行保险监管机构报告信息；对涉及诈骗侵占、丢失泄露、人员异常、合</w:t>
      </w:r>
      <w:proofErr w:type="gramStart"/>
      <w:r>
        <w:rPr>
          <w:rFonts w:ascii="宋体" w:eastAsia="宋体" w:hAnsi="宋体" w:cs="宋体" w:hint="eastAsia"/>
          <w:sz w:val="24"/>
        </w:rPr>
        <w:t>规</w:t>
      </w:r>
      <w:proofErr w:type="gramEnd"/>
      <w:r>
        <w:rPr>
          <w:rFonts w:ascii="宋体" w:eastAsia="宋体" w:hAnsi="宋体" w:cs="宋体" w:hint="eastAsia"/>
          <w:sz w:val="24"/>
        </w:rPr>
        <w:t>风险、声誉风险等突发事件，事发单位应不迟于24小时向银行保险监管机构报告信息。</w:t>
      </w:r>
    </w:p>
    <w:p w14:paraId="0D2F0E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银行保险机构向银行保险监管机构报告突发事件信息不得迟于向其他机构（部门）报告信息的时间。</w:t>
      </w:r>
    </w:p>
    <w:p w14:paraId="615F13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特别重大、非常敏感的突发事件发生后，事发单位力争在30分钟内电话报告相关信息、1小时内书面报告银行保险监管机构。</w:t>
      </w:r>
    </w:p>
    <w:p w14:paraId="178828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银行业保险业突发事件信息首报后，出现新情况、新变化、新进展或者需要补充内容的，一般应在24小时内续报，最迟不超过72小时。</w:t>
      </w:r>
    </w:p>
    <w:p w14:paraId="5D7AD5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突发事件应对处置结束或作为常态处理后，不再作为突发事件信息续报，可根据工作需要通过其他途径报告相关情况。</w:t>
      </w:r>
    </w:p>
    <w:p w14:paraId="4C6C49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银保监会派出机构接到银行保险机构及下一级银行保险监管机构的突发事件信息报告后，对需要上报银保监会的，应当在1小时内报告。</w:t>
      </w:r>
    </w:p>
    <w:p w14:paraId="714C53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突发事件信息一般逐级上报，紧急情况下，可多级同时报告。</w:t>
      </w:r>
    </w:p>
    <w:p w14:paraId="182918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突发事件信息报告基本因素至少应包括突发事件的基本情况、已</w:t>
      </w:r>
      <w:r>
        <w:rPr>
          <w:rFonts w:ascii="宋体" w:eastAsia="宋体" w:hAnsi="宋体" w:cs="宋体" w:hint="eastAsia"/>
          <w:sz w:val="24"/>
        </w:rPr>
        <w:lastRenderedPageBreak/>
        <w:t>经产生的影响和损失、应对情况、舆论反映、下一步拟采取的处置措施及态势</w:t>
      </w:r>
      <w:proofErr w:type="gramStart"/>
      <w:r>
        <w:rPr>
          <w:rFonts w:ascii="宋体" w:eastAsia="宋体" w:hAnsi="宋体" w:cs="宋体" w:hint="eastAsia"/>
          <w:sz w:val="24"/>
        </w:rPr>
        <w:t>研判等</w:t>
      </w:r>
      <w:proofErr w:type="gramEnd"/>
      <w:r>
        <w:rPr>
          <w:rFonts w:ascii="宋体" w:eastAsia="宋体" w:hAnsi="宋体" w:cs="宋体" w:hint="eastAsia"/>
          <w:sz w:val="24"/>
        </w:rPr>
        <w:t>内容。</w:t>
      </w:r>
    </w:p>
    <w:p w14:paraId="7B9403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突发事件信息报告统一采用《突发事件信息》格式（见附件1），由单位负责人或授权应急管理部门主要负责人签发报送。</w:t>
      </w:r>
    </w:p>
    <w:p w14:paraId="7861A9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报告处理和反馈</w:t>
      </w:r>
    </w:p>
    <w:p w14:paraId="55ADCD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银行保险监管机构应急管理部门应当及时处理接收的银行业保险业突发事件信息报告，电话报告应制作电话记录，按特急件处理，报领导同志阅批，</w:t>
      </w:r>
      <w:proofErr w:type="gramStart"/>
      <w:r>
        <w:rPr>
          <w:rFonts w:ascii="宋体" w:eastAsia="宋体" w:hAnsi="宋体" w:cs="宋体" w:hint="eastAsia"/>
          <w:sz w:val="24"/>
        </w:rPr>
        <w:t>分职能</w:t>
      </w:r>
      <w:proofErr w:type="gramEnd"/>
      <w:r>
        <w:rPr>
          <w:rFonts w:ascii="宋体" w:eastAsia="宋体" w:hAnsi="宋体" w:cs="宋体" w:hint="eastAsia"/>
          <w:sz w:val="24"/>
        </w:rPr>
        <w:t>部门阅办。</w:t>
      </w:r>
    </w:p>
    <w:p w14:paraId="07ACFC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银行保险监管机构值班人员收到银行业保险业突发事件信息报告后，应当立即交给应急管理部门处理。</w:t>
      </w:r>
    </w:p>
    <w:p w14:paraId="125205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银行保险监管机构应急管理部门认为需要进一步核报信息的，突发事件报告单位应通过各种渠道进行核实，按要求时限反馈相关情况。</w:t>
      </w:r>
    </w:p>
    <w:p w14:paraId="6FAD25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银行保险机构、银保监会派出机构和相关部门接到银保监会领导同志关于突发事件的批示指示后，应当立即传达落实，按要求报送贯彻落实情况。</w:t>
      </w:r>
    </w:p>
    <w:p w14:paraId="608F3E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考评和问责</w:t>
      </w:r>
    </w:p>
    <w:p w14:paraId="726818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银保监会应急管理部门建立完善突发事件报告工作考评制度，对银行保险机构、银保监会派出机构突发事件首报时效、核报情况、整体工作等进行考核评价，定期进行通报。</w:t>
      </w:r>
    </w:p>
    <w:p w14:paraId="1E923F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银行保险机构违反本办法规定，迟报、漏报、谎报、瞒报突发事件，由银行保险监管机构责令其改正；造成不良后果或影响的，由银行保险监管机构依据《中华人民共和国银行业监督管理法》《中华人民共和国商业银行法》《中华人民共和国保险法》《中华人民共和国突发事件应对法》相关规定，追究相关机构和人员的责任，并采取相关监管措施。涉嫌犯罪的，移交司法机关处理。</w:t>
      </w:r>
    </w:p>
    <w:p w14:paraId="6B9A08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银行保险监管机构违反本办法规定，不及时报告或转报辖内银行业保险业突发事件，或者不及时处理银行业保险业突发事件报告的，由上级单</w:t>
      </w:r>
      <w:r>
        <w:rPr>
          <w:rFonts w:ascii="宋体" w:eastAsia="宋体" w:hAnsi="宋体" w:cs="宋体" w:hint="eastAsia"/>
          <w:sz w:val="24"/>
        </w:rPr>
        <w:lastRenderedPageBreak/>
        <w:t>位责令其改正；造成重大不良后果或影响的，依据</w:t>
      </w:r>
      <w:proofErr w:type="gramStart"/>
      <w:r>
        <w:rPr>
          <w:rFonts w:ascii="宋体" w:eastAsia="宋体" w:hAnsi="宋体" w:cs="宋体" w:hint="eastAsia"/>
          <w:sz w:val="24"/>
        </w:rPr>
        <w:t>相关问</w:t>
      </w:r>
      <w:proofErr w:type="gramEnd"/>
      <w:r>
        <w:rPr>
          <w:rFonts w:ascii="宋体" w:eastAsia="宋体" w:hAnsi="宋体" w:cs="宋体" w:hint="eastAsia"/>
          <w:sz w:val="24"/>
        </w:rPr>
        <w:t>责和纪律处分规定，追究相关单位和人员的责任。涉嫌犯罪的，移交司法机关处理。</w:t>
      </w:r>
    </w:p>
    <w:p w14:paraId="0F4341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附则</w:t>
      </w:r>
    </w:p>
    <w:p w14:paraId="224312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本办法适用于各银行保险机构、银行保险监管机构。</w:t>
      </w:r>
    </w:p>
    <w:p w14:paraId="0225E6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银行保险监管机构的突发事件信息报告不替代其他单位要求的突发事件信息报告，也不替代监管部门要求的业务报告和专项报告。</w:t>
      </w:r>
    </w:p>
    <w:p w14:paraId="02F7DC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银保监会派出机构应依据本办法结合本级机构监管实际，明确向本级机构报告的银行业保险业突发事件范围和标准。</w:t>
      </w:r>
    </w:p>
    <w:p w14:paraId="79C6F8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本办法由银保监会办公厅负责解释。</w:t>
      </w:r>
    </w:p>
    <w:p w14:paraId="612EA5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本办法自公布之日起施行。《重大突发事件报告制度》（银监发〔2011〕84号）和《关于加强保险业突发事件应急管理工作的通知》（保监发〔2011〕45号）同时废止。原银监会、原保监会重大突发事件信息报告规定与本办法不一致的，以本办法为准。</w:t>
      </w:r>
    </w:p>
    <w:p w14:paraId="559AC9A3"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2E366635"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115.《北京银保监局关于建立“三线”合一案防工作机制的指导意见（试行）》</w:t>
      </w:r>
    </w:p>
    <w:p w14:paraId="77FBB9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发文机构：中国银行保险监督管理委员会北京监管局（已撤销）</w:t>
      </w:r>
      <w:r>
        <w:rPr>
          <w:rFonts w:ascii="宋体" w:eastAsia="宋体" w:hAnsi="宋体" w:cs="宋体" w:hint="eastAsia"/>
          <w:sz w:val="24"/>
        </w:rPr>
        <w:tab/>
      </w:r>
    </w:p>
    <w:p w14:paraId="0F0CF5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w:t>
      </w:r>
      <w:proofErr w:type="gramStart"/>
      <w:r>
        <w:rPr>
          <w:rFonts w:ascii="宋体" w:eastAsia="宋体" w:hAnsi="宋体" w:cs="宋体" w:hint="eastAsia"/>
          <w:sz w:val="24"/>
        </w:rPr>
        <w:t>京银保</w:t>
      </w:r>
      <w:proofErr w:type="gramEnd"/>
      <w:r>
        <w:rPr>
          <w:rFonts w:ascii="宋体" w:eastAsia="宋体" w:hAnsi="宋体" w:cs="宋体" w:hint="eastAsia"/>
          <w:sz w:val="24"/>
        </w:rPr>
        <w:t>监发〔2019〕304号</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7F3AFE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北京银保监局在对</w:t>
      </w:r>
      <w:proofErr w:type="gramStart"/>
      <w:r>
        <w:rPr>
          <w:rFonts w:ascii="宋体" w:eastAsia="宋体" w:hAnsi="宋体" w:cs="宋体" w:hint="eastAsia"/>
          <w:sz w:val="24"/>
        </w:rPr>
        <w:t>辖内部分银行</w:t>
      </w:r>
      <w:proofErr w:type="gramEnd"/>
      <w:r>
        <w:rPr>
          <w:rFonts w:ascii="宋体" w:eastAsia="宋体" w:hAnsi="宋体" w:cs="宋体" w:hint="eastAsia"/>
          <w:sz w:val="24"/>
        </w:rPr>
        <w:t>保险机构违法违规案件调查和处置中发现，有的银行保险</w:t>
      </w:r>
      <w:proofErr w:type="gramStart"/>
      <w:r>
        <w:rPr>
          <w:rFonts w:ascii="宋体" w:eastAsia="宋体" w:hAnsi="宋体" w:cs="宋体" w:hint="eastAsia"/>
          <w:sz w:val="24"/>
        </w:rPr>
        <w:t>机构党</w:t>
      </w:r>
      <w:proofErr w:type="gramEnd"/>
      <w:r>
        <w:rPr>
          <w:rFonts w:ascii="宋体" w:eastAsia="宋体" w:hAnsi="宋体" w:cs="宋体" w:hint="eastAsia"/>
          <w:sz w:val="24"/>
        </w:rPr>
        <w:t>的领导弱化、虚化，案件风险防范意识薄弱；有的机构事前主动防范的意识不足，风险防范重要性排在业务发展之后；有的机构纪检监察停留在事后问责，对事前防范、事中监督缺乏有效的制度保障；有的机构行政管理、合</w:t>
      </w:r>
      <w:proofErr w:type="gramStart"/>
      <w:r>
        <w:rPr>
          <w:rFonts w:ascii="宋体" w:eastAsia="宋体" w:hAnsi="宋体" w:cs="宋体" w:hint="eastAsia"/>
          <w:sz w:val="24"/>
        </w:rPr>
        <w:t>规</w:t>
      </w:r>
      <w:proofErr w:type="gramEnd"/>
      <w:r>
        <w:rPr>
          <w:rFonts w:ascii="宋体" w:eastAsia="宋体" w:hAnsi="宋体" w:cs="宋体" w:hint="eastAsia"/>
          <w:sz w:val="24"/>
        </w:rPr>
        <w:t>内控、纪检监督各自运行，缺乏有机衔接和互相融合。为全面贯彻落实中央防范化解金融风险的总体部署，进一步深化北京地区银行保险市场整治乱象成果，有效遏制辖内违法违规违纪案件的发生，在前期调研试点、广泛征求意见的基础上，就推行建立党建统领，行政线、纪检线、运营线（以下简称“三线”）相互依托、深度融合的“三线”</w:t>
      </w:r>
      <w:proofErr w:type="gramStart"/>
      <w:r>
        <w:rPr>
          <w:rFonts w:ascii="宋体" w:eastAsia="宋体" w:hAnsi="宋体" w:cs="宋体" w:hint="eastAsia"/>
          <w:sz w:val="24"/>
        </w:rPr>
        <w:t>合一案防</w:t>
      </w:r>
      <w:proofErr w:type="gramEnd"/>
      <w:r>
        <w:rPr>
          <w:rFonts w:ascii="宋体" w:eastAsia="宋体" w:hAnsi="宋体" w:cs="宋体" w:hint="eastAsia"/>
          <w:sz w:val="24"/>
        </w:rPr>
        <w:t>工作机制，提升银行保险机构案件防控水平，促进银行保险机构健康发展，提出以下指导意见。</w:t>
      </w:r>
    </w:p>
    <w:p w14:paraId="154D63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一、总体要求</w:t>
      </w:r>
    </w:p>
    <w:p w14:paraId="54F4B0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（一）坚持党的领导，提高政治站位。银行保险机构要把各级党组织的党建引领作用放在首位，发挥好党委对“三线”的统领、聚合、督导作用，着力构建党建与</w:t>
      </w:r>
      <w:proofErr w:type="gramStart"/>
      <w:r>
        <w:rPr>
          <w:rFonts w:ascii="宋体" w:eastAsia="宋体" w:hAnsi="宋体" w:cs="宋体" w:hint="eastAsia"/>
          <w:sz w:val="24"/>
        </w:rPr>
        <w:t>案防合规</w:t>
      </w:r>
      <w:proofErr w:type="gramEnd"/>
      <w:r>
        <w:rPr>
          <w:rFonts w:ascii="宋体" w:eastAsia="宋体" w:hAnsi="宋体" w:cs="宋体" w:hint="eastAsia"/>
          <w:sz w:val="24"/>
        </w:rPr>
        <w:t>深度融合的长效机制，将党的领导渗透到案防工作的每个环节，坚决防止党建与业务工作“两张皮”。</w:t>
      </w:r>
    </w:p>
    <w:p w14:paraId="4A1A2B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（二）坚持问题导向，</w:t>
      </w:r>
      <w:proofErr w:type="gramStart"/>
      <w:r>
        <w:rPr>
          <w:rFonts w:ascii="宋体" w:eastAsia="宋体" w:hAnsi="宋体" w:cs="宋体" w:hint="eastAsia"/>
          <w:sz w:val="24"/>
        </w:rPr>
        <w:t>补齐案防</w:t>
      </w:r>
      <w:proofErr w:type="gramEnd"/>
      <w:r>
        <w:rPr>
          <w:rFonts w:ascii="宋体" w:eastAsia="宋体" w:hAnsi="宋体" w:cs="宋体" w:hint="eastAsia"/>
          <w:sz w:val="24"/>
        </w:rPr>
        <w:t>短板。推进建立“三线”机制就是要瞄准案件防控工作的漏洞和盲区，因地制宜制定完善风险防控措施，切实提高案件防控质效。</w:t>
      </w:r>
    </w:p>
    <w:p w14:paraId="6909FD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坚持做深做实，建立长效机制。银行保险机构要立足本单位实际，在管理创新、机制融合、系统建设上下“真功夫”，严防“花架子”，用实实在在的措施解决真真切切的问题，将能不能把案件风险管住作为“三线”机制建立的“金标准”。</w:t>
      </w:r>
    </w:p>
    <w:p w14:paraId="3F44D6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（四）坚持“三线”配合，强化协作效果。“三线”机制中的“三线”既要</w:t>
      </w:r>
      <w:r>
        <w:rPr>
          <w:rFonts w:ascii="宋体" w:eastAsia="宋体" w:hAnsi="宋体" w:cs="宋体" w:hint="eastAsia"/>
          <w:sz w:val="24"/>
        </w:rPr>
        <w:lastRenderedPageBreak/>
        <w:t>独立运行又要深度整合、相互支撑，做到既能独立发挥作用，又能密切配合形成合力。“三线”机制要在“合”字上下功夫，在探索中明确为什么合、合什么、怎么合，做到在内生机制和实效发挥两个层次都能有机融合。</w:t>
      </w:r>
    </w:p>
    <w:p w14:paraId="4EF4B8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（五）坚持全面覆盖，</w:t>
      </w:r>
      <w:proofErr w:type="gramStart"/>
      <w:r>
        <w:rPr>
          <w:rFonts w:ascii="宋体" w:eastAsia="宋体" w:hAnsi="宋体" w:cs="宋体" w:hint="eastAsia"/>
          <w:sz w:val="24"/>
        </w:rPr>
        <w:t>织密监督</w:t>
      </w:r>
      <w:proofErr w:type="gramEnd"/>
      <w:r>
        <w:rPr>
          <w:rFonts w:ascii="宋体" w:eastAsia="宋体" w:hAnsi="宋体" w:cs="宋体" w:hint="eastAsia"/>
          <w:sz w:val="24"/>
        </w:rPr>
        <w:t>体系。要构建“横向到边、纵向到底”的全面监督体系，</w:t>
      </w:r>
      <w:proofErr w:type="gramStart"/>
      <w:r>
        <w:rPr>
          <w:rFonts w:ascii="宋体" w:eastAsia="宋体" w:hAnsi="宋体" w:cs="宋体" w:hint="eastAsia"/>
          <w:sz w:val="24"/>
        </w:rPr>
        <w:t>把案防工作</w:t>
      </w:r>
      <w:proofErr w:type="gramEnd"/>
      <w:r>
        <w:rPr>
          <w:rFonts w:ascii="宋体" w:eastAsia="宋体" w:hAnsi="宋体" w:cs="宋体" w:hint="eastAsia"/>
          <w:sz w:val="24"/>
        </w:rPr>
        <w:t>要求传递到每一处网点、每一名员工，通过“管人”管住内控、管住风险、实现合</w:t>
      </w:r>
      <w:proofErr w:type="gramStart"/>
      <w:r>
        <w:rPr>
          <w:rFonts w:ascii="宋体" w:eastAsia="宋体" w:hAnsi="宋体" w:cs="宋体" w:hint="eastAsia"/>
          <w:sz w:val="24"/>
        </w:rPr>
        <w:t>规</w:t>
      </w:r>
      <w:proofErr w:type="gramEnd"/>
      <w:r>
        <w:rPr>
          <w:rFonts w:ascii="宋体" w:eastAsia="宋体" w:hAnsi="宋体" w:cs="宋体" w:hint="eastAsia"/>
          <w:sz w:val="24"/>
        </w:rPr>
        <w:t>，防止案件发生。</w:t>
      </w:r>
    </w:p>
    <w:p w14:paraId="1D55FD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二、基本内涵</w:t>
      </w:r>
    </w:p>
    <w:p w14:paraId="06E66302"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“三线”案防工作</w:t>
      </w:r>
      <w:proofErr w:type="gramEnd"/>
      <w:r>
        <w:rPr>
          <w:rFonts w:ascii="宋体" w:eastAsia="宋体" w:hAnsi="宋体" w:cs="宋体" w:hint="eastAsia"/>
          <w:sz w:val="24"/>
        </w:rPr>
        <w:t>机制是以各银行保险机构党委履行管党治党主体责任、纪委履行全面监督责任为目标，以“预防案件、化解风险”为出发点和落脚点，构建以党的建设为统领，以行政线、纪检线、运营线相互依托、相互融合为基础，以网格化管理和人人履责为重点，以信息系统平台为支撑，实现“党建抓统领、监督口前移、流程全覆盖、人人皆履责”</w:t>
      </w:r>
      <w:proofErr w:type="gramStart"/>
      <w:r>
        <w:rPr>
          <w:rFonts w:ascii="宋体" w:eastAsia="宋体" w:hAnsi="宋体" w:cs="宋体" w:hint="eastAsia"/>
          <w:sz w:val="24"/>
        </w:rPr>
        <w:t>的案防工作</w:t>
      </w:r>
      <w:proofErr w:type="gramEnd"/>
      <w:r>
        <w:rPr>
          <w:rFonts w:ascii="宋体" w:eastAsia="宋体" w:hAnsi="宋体" w:cs="宋体" w:hint="eastAsia"/>
          <w:sz w:val="24"/>
        </w:rPr>
        <w:t>体系。</w:t>
      </w:r>
    </w:p>
    <w:p w14:paraId="4F7105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三、主要内容</w:t>
      </w:r>
    </w:p>
    <w:p w14:paraId="3DE79F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（一）构建党建与</w:t>
      </w:r>
      <w:proofErr w:type="gramStart"/>
      <w:r>
        <w:rPr>
          <w:rFonts w:ascii="宋体" w:eastAsia="宋体" w:hAnsi="宋体" w:cs="宋体" w:hint="eastAsia"/>
          <w:sz w:val="24"/>
        </w:rPr>
        <w:t>案防合规</w:t>
      </w:r>
      <w:proofErr w:type="gramEnd"/>
      <w:r>
        <w:rPr>
          <w:rFonts w:ascii="宋体" w:eastAsia="宋体" w:hAnsi="宋体" w:cs="宋体" w:hint="eastAsia"/>
          <w:sz w:val="24"/>
        </w:rPr>
        <w:t>深度融合的长效机制</w:t>
      </w:r>
    </w:p>
    <w:p w14:paraId="79D036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各银行保险金融机构要压实基层党组织的主体责任和纪检部门的监督责任，完善“看好门、管好人”的工作机制，强化对案件风险的抓早、抓小。</w:t>
      </w:r>
    </w:p>
    <w:p w14:paraId="43B5E5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一是落实党委主体责任。各机构要严格落实党委主要负责人</w:t>
      </w:r>
      <w:proofErr w:type="gramStart"/>
      <w:r>
        <w:rPr>
          <w:rFonts w:ascii="宋体" w:eastAsia="宋体" w:hAnsi="宋体" w:cs="宋体" w:hint="eastAsia"/>
          <w:sz w:val="24"/>
        </w:rPr>
        <w:t>案防合规</w:t>
      </w:r>
      <w:proofErr w:type="gramEnd"/>
      <w:r>
        <w:rPr>
          <w:rFonts w:ascii="宋体" w:eastAsia="宋体" w:hAnsi="宋体" w:cs="宋体" w:hint="eastAsia"/>
          <w:sz w:val="24"/>
        </w:rPr>
        <w:t>第一责任人，党委班子及其他成员对分管业务的直接管理责任人的制度要求，实现</w:t>
      </w:r>
      <w:proofErr w:type="gramStart"/>
      <w:r>
        <w:rPr>
          <w:rFonts w:ascii="宋体" w:eastAsia="宋体" w:hAnsi="宋体" w:cs="宋体" w:hint="eastAsia"/>
          <w:sz w:val="24"/>
        </w:rPr>
        <w:t>内控案防</w:t>
      </w:r>
      <w:proofErr w:type="gramEnd"/>
      <w:r>
        <w:rPr>
          <w:rFonts w:ascii="宋体" w:eastAsia="宋体" w:hAnsi="宋体" w:cs="宋体" w:hint="eastAsia"/>
          <w:sz w:val="24"/>
        </w:rPr>
        <w:t>工作逐级抓、逐级带、逐层落实的良好格局。紧密结合从严治党和从严治企，把管党治党和</w:t>
      </w:r>
      <w:proofErr w:type="gramStart"/>
      <w:r>
        <w:rPr>
          <w:rFonts w:ascii="宋体" w:eastAsia="宋体" w:hAnsi="宋体" w:cs="宋体" w:hint="eastAsia"/>
          <w:sz w:val="24"/>
        </w:rPr>
        <w:t>案防</w:t>
      </w:r>
      <w:proofErr w:type="gramEnd"/>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主体责任层层压紧压实。</w:t>
      </w:r>
    </w:p>
    <w:p w14:paraId="34430C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是强化纪委监督责任。创新监督理念和方式方法，把工作重心从事后惩处向事前、事中监督转变，延伸触角，重心下移，力量下沉，真正让监督立起来、强起来、严起来。辖内各机构纪委要进一步强化案件防控监督履责，主动运用监督执纪“四种形态”，对违规违纪保持严肃惩处的高压态势，以严格的纪律促进业务持续健康发展。</w:t>
      </w:r>
    </w:p>
    <w:p w14:paraId="0B5545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三是夯实基层党支部的堡垒作用。强化基层党支部承担党建</w:t>
      </w:r>
      <w:proofErr w:type="gramStart"/>
      <w:r>
        <w:rPr>
          <w:rFonts w:ascii="宋体" w:eastAsia="宋体" w:hAnsi="宋体" w:cs="宋体" w:hint="eastAsia"/>
          <w:sz w:val="24"/>
        </w:rPr>
        <w:t>与案防一岗</w:t>
      </w:r>
      <w:proofErr w:type="gramEnd"/>
      <w:r>
        <w:rPr>
          <w:rFonts w:ascii="宋体" w:eastAsia="宋体" w:hAnsi="宋体" w:cs="宋体" w:hint="eastAsia"/>
          <w:sz w:val="24"/>
        </w:rPr>
        <w:t>双责</w:t>
      </w:r>
      <w:r>
        <w:rPr>
          <w:rFonts w:ascii="宋体" w:eastAsia="宋体" w:hAnsi="宋体" w:cs="宋体" w:hint="eastAsia"/>
          <w:sz w:val="24"/>
        </w:rPr>
        <w:lastRenderedPageBreak/>
        <w:t>意识，基层主要负责人要提高自身政治素养，在落实党建和内控管理要求方面做到不讲任何条件、不打任何折扣。切实抓好员工日常教育，加大对规章制度执行情况的监督检查，对违规违纪现象抓早抓小，对员工不良行为进行有效排查，使其不敢为、不想为、不能为。</w:t>
      </w:r>
    </w:p>
    <w:p w14:paraId="6151B3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（二）夯实机制建设的制度基础</w:t>
      </w:r>
    </w:p>
    <w:p w14:paraId="165C7B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制度是从严治党、从严治企的基础，也是促进“三线”机制落地生根的重要保障，银行保险机构应</w:t>
      </w:r>
      <w:proofErr w:type="gramStart"/>
      <w:r>
        <w:rPr>
          <w:rFonts w:ascii="宋体" w:eastAsia="宋体" w:hAnsi="宋体" w:cs="宋体" w:hint="eastAsia"/>
          <w:sz w:val="24"/>
        </w:rPr>
        <w:t>夯实案防</w:t>
      </w:r>
      <w:proofErr w:type="gramEnd"/>
      <w:r>
        <w:rPr>
          <w:rFonts w:ascii="宋体" w:eastAsia="宋体" w:hAnsi="宋体" w:cs="宋体" w:hint="eastAsia"/>
          <w:sz w:val="24"/>
        </w:rPr>
        <w:t>工作的制度基础，把“三线”机制贯穿决策、执行、监督、反馈各个环节。</w:t>
      </w:r>
    </w:p>
    <w:p w14:paraId="74F49B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制定“三线”机制的实施细则。制定本机构“三线”合一工作实施细则等配套文件，明确“三线”合一各条线职责及工作内容，明晰员工行为管理、案件防控等重点领域的工作要求，建立组织领导、工作机制、监督措施、责任认定等配套制度体系，确立“三线”合一工作管理规范。</w:t>
      </w:r>
    </w:p>
    <w:p w14:paraId="66F621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二是创新管理体制。结合本机构业务特点，通过多维</w:t>
      </w:r>
      <w:proofErr w:type="gramStart"/>
      <w:r>
        <w:rPr>
          <w:rFonts w:ascii="宋体" w:eastAsia="宋体" w:hAnsi="宋体" w:cs="宋体" w:hint="eastAsia"/>
          <w:sz w:val="24"/>
        </w:rPr>
        <w:t>度管理</w:t>
      </w:r>
      <w:proofErr w:type="gramEnd"/>
      <w:r>
        <w:rPr>
          <w:rFonts w:ascii="宋体" w:eastAsia="宋体" w:hAnsi="宋体" w:cs="宋体" w:hint="eastAsia"/>
          <w:sz w:val="24"/>
        </w:rPr>
        <w:t>机制强化对员工日常行为管理和业务风险管控，突出纵横交错的网格全面覆盖，强化人人有责、人人尽责的</w:t>
      </w:r>
      <w:proofErr w:type="gramStart"/>
      <w:r>
        <w:rPr>
          <w:rFonts w:ascii="宋体" w:eastAsia="宋体" w:hAnsi="宋体" w:cs="宋体" w:hint="eastAsia"/>
          <w:sz w:val="24"/>
        </w:rPr>
        <w:t>案防监督</w:t>
      </w:r>
      <w:proofErr w:type="gramEnd"/>
      <w:r>
        <w:rPr>
          <w:rFonts w:ascii="宋体" w:eastAsia="宋体" w:hAnsi="宋体" w:cs="宋体" w:hint="eastAsia"/>
          <w:sz w:val="24"/>
        </w:rPr>
        <w:t>机制，齐抓共管，做到守土有责、守土负责、守土尽责。</w:t>
      </w:r>
    </w:p>
    <w:p w14:paraId="0B7C81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（三）强化案件风险防控的科技支撑</w:t>
      </w:r>
    </w:p>
    <w:p w14:paraId="42801F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通过打造集党建、行政、运营、监督、举报为一体的综合管理信息平台，将线下的日常化管理与线上的可视化管理融为一体。</w:t>
      </w:r>
    </w:p>
    <w:p w14:paraId="484F01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一是建立线上预警举报系统。树立“我的合</w:t>
      </w:r>
      <w:proofErr w:type="gramStart"/>
      <w:r>
        <w:rPr>
          <w:rFonts w:ascii="宋体" w:eastAsia="宋体" w:hAnsi="宋体" w:cs="宋体" w:hint="eastAsia"/>
          <w:sz w:val="24"/>
        </w:rPr>
        <w:t>规</w:t>
      </w:r>
      <w:proofErr w:type="gramEnd"/>
      <w:r>
        <w:rPr>
          <w:rFonts w:ascii="宋体" w:eastAsia="宋体" w:hAnsi="宋体" w:cs="宋体" w:hint="eastAsia"/>
          <w:sz w:val="24"/>
        </w:rPr>
        <w:t>我负责，别人的合</w:t>
      </w:r>
      <w:proofErr w:type="gramStart"/>
      <w:r>
        <w:rPr>
          <w:rFonts w:ascii="宋体" w:eastAsia="宋体" w:hAnsi="宋体" w:cs="宋体" w:hint="eastAsia"/>
          <w:sz w:val="24"/>
        </w:rPr>
        <w:t>规</w:t>
      </w:r>
      <w:proofErr w:type="gramEnd"/>
      <w:r>
        <w:rPr>
          <w:rFonts w:ascii="宋体" w:eastAsia="宋体" w:hAnsi="宋体" w:cs="宋体" w:hint="eastAsia"/>
          <w:sz w:val="24"/>
        </w:rPr>
        <w:t>我有责”的理念，通过建立线上预警举报机制，确保问题能够及时发现、快速处理。针对特别重大事项可越级举报，举报人通过“一键举报”机制将相关事项直接举报</w:t>
      </w:r>
      <w:proofErr w:type="gramStart"/>
      <w:r>
        <w:rPr>
          <w:rFonts w:ascii="宋体" w:eastAsia="宋体" w:hAnsi="宋体" w:cs="宋体" w:hint="eastAsia"/>
          <w:sz w:val="24"/>
        </w:rPr>
        <w:t>至部门</w:t>
      </w:r>
      <w:proofErr w:type="gramEnd"/>
      <w:r>
        <w:rPr>
          <w:rFonts w:ascii="宋体" w:eastAsia="宋体" w:hAnsi="宋体" w:cs="宋体" w:hint="eastAsia"/>
          <w:sz w:val="24"/>
        </w:rPr>
        <w:t>一把手及纪检监察部门，所有风险预警和廉政举报信息在系统中留痕。</w:t>
      </w:r>
    </w:p>
    <w:p w14:paraId="19F217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是建立业务风险信息监控系统。以关键人员和关键岗位为主线，对日常业务进行全程监督和重点分析。业务风险信息监控系统要覆盖机构所有经营行为，通过系统自动完成数据抓取、汇总、处理和提示工作，构建集风险监测、风险预警、风险识别和风险画像为一体的业务管理系统，最终实现对</w:t>
      </w:r>
      <w:proofErr w:type="gramStart"/>
      <w:r>
        <w:rPr>
          <w:rFonts w:ascii="宋体" w:eastAsia="宋体" w:hAnsi="宋体" w:cs="宋体" w:hint="eastAsia"/>
          <w:sz w:val="24"/>
        </w:rPr>
        <w:t>各风险</w:t>
      </w:r>
      <w:proofErr w:type="gramEnd"/>
      <w:r>
        <w:rPr>
          <w:rFonts w:ascii="宋体" w:eastAsia="宋体" w:hAnsi="宋体" w:cs="宋体" w:hint="eastAsia"/>
          <w:sz w:val="24"/>
        </w:rPr>
        <w:t>点的风险画像和对各项业务的动态监测，切实掌握风险防控工作主动权。</w:t>
      </w:r>
    </w:p>
    <w:p w14:paraId="777C87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（四）打造体现自身特色的一体化监督体系</w:t>
      </w:r>
    </w:p>
    <w:p w14:paraId="7F6B13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建立符合自身业务特点的一体化监督体系，按照自身特点因地制宜探索监督手段，查找风险易发点及薄弱环节，建立持续跟踪检查与动态纠正机制，形成易操作、真管用、可持续的一体化监督体系。</w:t>
      </w:r>
    </w:p>
    <w:p w14:paraId="49DEFA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一是打造内部监督体系。赋予同一部门内工作内容关联员工之间相互监督的责任与义务，每名员工在保证本人合</w:t>
      </w:r>
      <w:proofErr w:type="gramStart"/>
      <w:r>
        <w:rPr>
          <w:rFonts w:ascii="宋体" w:eastAsia="宋体" w:hAnsi="宋体" w:cs="宋体" w:hint="eastAsia"/>
          <w:sz w:val="24"/>
        </w:rPr>
        <w:t>规</w:t>
      </w:r>
      <w:proofErr w:type="gramEnd"/>
      <w:r>
        <w:rPr>
          <w:rFonts w:ascii="宋体" w:eastAsia="宋体" w:hAnsi="宋体" w:cs="宋体" w:hint="eastAsia"/>
          <w:sz w:val="24"/>
        </w:rPr>
        <w:t>的前提下监督他人工作作为、了解思想作风、关注违纪倾向，向部门负责人报告所了解情况，形成制度安排。倡导“举手免责”的激励约束机制，对于发现苗头后应报告而未及时报告的案件风险事件，追究该部门内负有相互监督义务员工的责任；对于及时报告案件风险苗头的员工，免除其责任并予以表扬嘉奖。通过</w:t>
      </w:r>
      <w:proofErr w:type="gramStart"/>
      <w:r>
        <w:rPr>
          <w:rFonts w:ascii="宋体" w:eastAsia="宋体" w:hAnsi="宋体" w:cs="宋体" w:hint="eastAsia"/>
          <w:sz w:val="24"/>
        </w:rPr>
        <w:t>构建员工</w:t>
      </w:r>
      <w:proofErr w:type="gramEnd"/>
      <w:r>
        <w:rPr>
          <w:rFonts w:ascii="宋体" w:eastAsia="宋体" w:hAnsi="宋体" w:cs="宋体" w:hint="eastAsia"/>
          <w:sz w:val="24"/>
        </w:rPr>
        <w:t>内部监督体系，推进干部员工</w:t>
      </w:r>
      <w:proofErr w:type="gramStart"/>
      <w:r>
        <w:rPr>
          <w:rFonts w:ascii="宋体" w:eastAsia="宋体" w:hAnsi="宋体" w:cs="宋体" w:hint="eastAsia"/>
          <w:sz w:val="24"/>
        </w:rPr>
        <w:t>间主动</w:t>
      </w:r>
      <w:proofErr w:type="gramEnd"/>
      <w:r>
        <w:rPr>
          <w:rFonts w:ascii="宋体" w:eastAsia="宋体" w:hAnsi="宋体" w:cs="宋体" w:hint="eastAsia"/>
          <w:sz w:val="24"/>
        </w:rPr>
        <w:t>联系和主动关注，增强抓小抓早的意识，实现从“被动约束”向“主动防范”的转变。</w:t>
      </w:r>
    </w:p>
    <w:p w14:paraId="0A3986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是建立网格化管理模式。将全部员工纳入“网格化”管理，将每个行政管理单元确定为一个网格责任区，全体人员均处于各自相应的网格责任区中，将员工行为管理职责、内容、过程以网格化的方式加以细化明确，落实各层级人员责任，按照“全行成网、网中有格、格中定人、人负其责”的要求，构筑责任共担的管理体系。</w:t>
      </w:r>
    </w:p>
    <w:p w14:paraId="5BE04B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是健全员工异常行为排查机制。通过法院、工商、征信、出入境管理等部门积极获取外部信息，及时掌握员工的异常行为动态，深入了解其“朋友圈、生活圈、社交圈”，加强对员工八小时之外情况的掌握，多维度搜集信息，提高排查工作覆盖广度与深度。对员工经商办企业、控制使用他人账户、参与民间借贷、账户异常交易频繁等突出问题不定期进行专项排查。通过严肃问</w:t>
      </w:r>
      <w:proofErr w:type="gramStart"/>
      <w:r>
        <w:rPr>
          <w:rFonts w:ascii="宋体" w:eastAsia="宋体" w:hAnsi="宋体" w:cs="宋体" w:hint="eastAsia"/>
          <w:sz w:val="24"/>
        </w:rPr>
        <w:t>责推动</w:t>
      </w:r>
      <w:proofErr w:type="gramEnd"/>
      <w:r>
        <w:rPr>
          <w:rFonts w:ascii="宋体" w:eastAsia="宋体" w:hAnsi="宋体" w:cs="宋体" w:hint="eastAsia"/>
          <w:sz w:val="24"/>
        </w:rPr>
        <w:t>排查责任落到实处，杜绝排查过程中走过场、搞形式，着力扫除工作盲区，确保员工异常行为排查全覆盖、起作用。</w:t>
      </w:r>
    </w:p>
    <w:p w14:paraId="46CF59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（五）提高员工合</w:t>
      </w:r>
      <w:proofErr w:type="gramStart"/>
      <w:r>
        <w:rPr>
          <w:rFonts w:ascii="宋体" w:eastAsia="宋体" w:hAnsi="宋体" w:cs="宋体" w:hint="eastAsia"/>
          <w:sz w:val="24"/>
        </w:rPr>
        <w:t>规</w:t>
      </w:r>
      <w:proofErr w:type="gramEnd"/>
      <w:r>
        <w:rPr>
          <w:rFonts w:ascii="宋体" w:eastAsia="宋体" w:hAnsi="宋体" w:cs="宋体" w:hint="eastAsia"/>
          <w:sz w:val="24"/>
        </w:rPr>
        <w:t>意识</w:t>
      </w:r>
    </w:p>
    <w:p w14:paraId="1BABB5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银行保险机构要将合</w:t>
      </w:r>
      <w:proofErr w:type="gramStart"/>
      <w:r>
        <w:rPr>
          <w:rFonts w:ascii="宋体" w:eastAsia="宋体" w:hAnsi="宋体" w:cs="宋体" w:hint="eastAsia"/>
          <w:sz w:val="24"/>
        </w:rPr>
        <w:t>规</w:t>
      </w:r>
      <w:proofErr w:type="gramEnd"/>
      <w:r>
        <w:rPr>
          <w:rFonts w:ascii="宋体" w:eastAsia="宋体" w:hAnsi="宋体" w:cs="宋体" w:hint="eastAsia"/>
          <w:sz w:val="24"/>
        </w:rPr>
        <w:t>理念落实到每个员工，既要靠制度、机制的“硬约束”，也要靠文化熏陶的“软约束”，形成教育、引导、约束的合力。</w:t>
      </w:r>
    </w:p>
    <w:p w14:paraId="255C78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一是加大教育和培训力度。加强对员工的政治思想、职业道德、专业知识、制度观念、法纪意识和案例警示教育，提高全员的合</w:t>
      </w:r>
      <w:proofErr w:type="gramStart"/>
      <w:r>
        <w:rPr>
          <w:rFonts w:ascii="宋体" w:eastAsia="宋体" w:hAnsi="宋体" w:cs="宋体" w:hint="eastAsia"/>
          <w:sz w:val="24"/>
        </w:rPr>
        <w:t>规</w:t>
      </w:r>
      <w:proofErr w:type="gramEnd"/>
      <w:r>
        <w:rPr>
          <w:rFonts w:ascii="宋体" w:eastAsia="宋体" w:hAnsi="宋体" w:cs="宋体" w:hint="eastAsia"/>
          <w:sz w:val="24"/>
        </w:rPr>
        <w:t>经营意识和自觉性，打造“不敢违、不能违、不愿违”的</w:t>
      </w:r>
      <w:proofErr w:type="gramStart"/>
      <w:r>
        <w:rPr>
          <w:rFonts w:ascii="宋体" w:eastAsia="宋体" w:hAnsi="宋体" w:cs="宋体" w:hint="eastAsia"/>
          <w:sz w:val="24"/>
        </w:rPr>
        <w:t>案防合规</w:t>
      </w:r>
      <w:proofErr w:type="gramEnd"/>
      <w:r>
        <w:rPr>
          <w:rFonts w:ascii="宋体" w:eastAsia="宋体" w:hAnsi="宋体" w:cs="宋体" w:hint="eastAsia"/>
          <w:sz w:val="24"/>
        </w:rPr>
        <w:t>文化氛围。</w:t>
      </w:r>
    </w:p>
    <w:p w14:paraId="6787DF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二是层层</w:t>
      </w:r>
      <w:proofErr w:type="gramStart"/>
      <w:r>
        <w:rPr>
          <w:rFonts w:ascii="宋体" w:eastAsia="宋体" w:hAnsi="宋体" w:cs="宋体" w:hint="eastAsia"/>
          <w:sz w:val="24"/>
        </w:rPr>
        <w:t>传导案防责任</w:t>
      </w:r>
      <w:proofErr w:type="gramEnd"/>
      <w:r>
        <w:rPr>
          <w:rFonts w:ascii="宋体" w:eastAsia="宋体" w:hAnsi="宋体" w:cs="宋体" w:hint="eastAsia"/>
          <w:sz w:val="24"/>
        </w:rPr>
        <w:t>压力。银行保险机构管理层应成为合</w:t>
      </w:r>
      <w:proofErr w:type="gramStart"/>
      <w:r>
        <w:rPr>
          <w:rFonts w:ascii="宋体" w:eastAsia="宋体" w:hAnsi="宋体" w:cs="宋体" w:hint="eastAsia"/>
          <w:sz w:val="24"/>
        </w:rPr>
        <w:t>规</w:t>
      </w:r>
      <w:proofErr w:type="gramEnd"/>
      <w:r>
        <w:rPr>
          <w:rFonts w:ascii="宋体" w:eastAsia="宋体" w:hAnsi="宋体" w:cs="宋体" w:hint="eastAsia"/>
          <w:sz w:val="24"/>
        </w:rPr>
        <w:t>文化的积极倡导者和模范实践者，发挥标杆和示范作用，带动员工积极、主动地</w:t>
      </w:r>
      <w:proofErr w:type="gramStart"/>
      <w:r>
        <w:rPr>
          <w:rFonts w:ascii="宋体" w:eastAsia="宋体" w:hAnsi="宋体" w:cs="宋体" w:hint="eastAsia"/>
          <w:sz w:val="24"/>
        </w:rPr>
        <w:t>践行</w:t>
      </w:r>
      <w:proofErr w:type="gramEnd"/>
      <w:r>
        <w:rPr>
          <w:rFonts w:ascii="宋体" w:eastAsia="宋体" w:hAnsi="宋体" w:cs="宋体" w:hint="eastAsia"/>
          <w:sz w:val="24"/>
        </w:rPr>
        <w:t>合</w:t>
      </w:r>
      <w:proofErr w:type="gramStart"/>
      <w:r>
        <w:rPr>
          <w:rFonts w:ascii="宋体" w:eastAsia="宋体" w:hAnsi="宋体" w:cs="宋体" w:hint="eastAsia"/>
          <w:sz w:val="24"/>
        </w:rPr>
        <w:t>规</w:t>
      </w:r>
      <w:proofErr w:type="gramEnd"/>
      <w:r>
        <w:rPr>
          <w:rFonts w:ascii="宋体" w:eastAsia="宋体" w:hAnsi="宋体" w:cs="宋体" w:hint="eastAsia"/>
          <w:sz w:val="24"/>
        </w:rPr>
        <w:t>理念。管理层“自上而下”层层签订责任状，确保当年本部门、本条线无案件，将</w:t>
      </w:r>
      <w:proofErr w:type="gramStart"/>
      <w:r>
        <w:rPr>
          <w:rFonts w:ascii="宋体" w:eastAsia="宋体" w:hAnsi="宋体" w:cs="宋体" w:hint="eastAsia"/>
          <w:sz w:val="24"/>
        </w:rPr>
        <w:t>案防目标</w:t>
      </w:r>
      <w:proofErr w:type="gramEnd"/>
      <w:r>
        <w:rPr>
          <w:rFonts w:ascii="宋体" w:eastAsia="宋体" w:hAnsi="宋体" w:cs="宋体" w:hint="eastAsia"/>
          <w:sz w:val="24"/>
        </w:rPr>
        <w:t>和责任延伸到每个工作岗位，</w:t>
      </w:r>
      <w:proofErr w:type="gramStart"/>
      <w:r>
        <w:rPr>
          <w:rFonts w:ascii="宋体" w:eastAsia="宋体" w:hAnsi="宋体" w:cs="宋体" w:hint="eastAsia"/>
          <w:sz w:val="24"/>
        </w:rPr>
        <w:t>形成案防</w:t>
      </w:r>
      <w:proofErr w:type="gramEnd"/>
      <w:r>
        <w:rPr>
          <w:rFonts w:ascii="宋体" w:eastAsia="宋体" w:hAnsi="宋体" w:cs="宋体" w:hint="eastAsia"/>
          <w:sz w:val="24"/>
        </w:rPr>
        <w:t>全员抓、</w:t>
      </w:r>
      <w:proofErr w:type="gramStart"/>
      <w:r>
        <w:rPr>
          <w:rFonts w:ascii="宋体" w:eastAsia="宋体" w:hAnsi="宋体" w:cs="宋体" w:hint="eastAsia"/>
          <w:sz w:val="24"/>
        </w:rPr>
        <w:t>全员管</w:t>
      </w:r>
      <w:proofErr w:type="gramEnd"/>
      <w:r>
        <w:rPr>
          <w:rFonts w:ascii="宋体" w:eastAsia="宋体" w:hAnsi="宋体" w:cs="宋体" w:hint="eastAsia"/>
          <w:sz w:val="24"/>
        </w:rPr>
        <w:t>的局面。</w:t>
      </w:r>
    </w:p>
    <w:p w14:paraId="62962E41"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三是完善合</w:t>
      </w:r>
      <w:proofErr w:type="gramStart"/>
      <w:r>
        <w:rPr>
          <w:rFonts w:ascii="宋体" w:eastAsia="宋体" w:hAnsi="宋体" w:cs="宋体" w:hint="eastAsia"/>
          <w:sz w:val="24"/>
        </w:rPr>
        <w:t>规</w:t>
      </w:r>
      <w:proofErr w:type="gramEnd"/>
      <w:r>
        <w:rPr>
          <w:rFonts w:ascii="宋体" w:eastAsia="宋体" w:hAnsi="宋体" w:cs="宋体" w:hint="eastAsia"/>
          <w:sz w:val="24"/>
        </w:rPr>
        <w:t>考评机制。银行保险机构要认真落实合</w:t>
      </w:r>
      <w:proofErr w:type="gramStart"/>
      <w:r>
        <w:rPr>
          <w:rFonts w:ascii="宋体" w:eastAsia="宋体" w:hAnsi="宋体" w:cs="宋体" w:hint="eastAsia"/>
          <w:sz w:val="24"/>
        </w:rPr>
        <w:t>规</w:t>
      </w:r>
      <w:proofErr w:type="gramEnd"/>
      <w:r>
        <w:rPr>
          <w:rFonts w:ascii="宋体" w:eastAsia="宋体" w:hAnsi="宋体" w:cs="宋体" w:hint="eastAsia"/>
          <w:sz w:val="24"/>
        </w:rPr>
        <w:t>绩效考核与合</w:t>
      </w:r>
      <w:proofErr w:type="gramStart"/>
      <w:r>
        <w:rPr>
          <w:rFonts w:ascii="宋体" w:eastAsia="宋体" w:hAnsi="宋体" w:cs="宋体" w:hint="eastAsia"/>
          <w:sz w:val="24"/>
        </w:rPr>
        <w:t>规</w:t>
      </w:r>
      <w:proofErr w:type="gramEnd"/>
      <w:r>
        <w:rPr>
          <w:rFonts w:ascii="宋体" w:eastAsia="宋体" w:hAnsi="宋体" w:cs="宋体" w:hint="eastAsia"/>
          <w:sz w:val="24"/>
        </w:rPr>
        <w:t>问责的基本制度，把合</w:t>
      </w:r>
      <w:proofErr w:type="gramStart"/>
      <w:r>
        <w:rPr>
          <w:rFonts w:ascii="宋体" w:eastAsia="宋体" w:hAnsi="宋体" w:cs="宋体" w:hint="eastAsia"/>
          <w:sz w:val="24"/>
        </w:rPr>
        <w:t>规</w:t>
      </w:r>
      <w:proofErr w:type="gramEnd"/>
      <w:r>
        <w:rPr>
          <w:rFonts w:ascii="宋体" w:eastAsia="宋体" w:hAnsi="宋体" w:cs="宋体" w:hint="eastAsia"/>
          <w:sz w:val="24"/>
        </w:rPr>
        <w:t>作为经营绩效考核的重要指标，在把合</w:t>
      </w:r>
      <w:proofErr w:type="gramStart"/>
      <w:r>
        <w:rPr>
          <w:rFonts w:ascii="宋体" w:eastAsia="宋体" w:hAnsi="宋体" w:cs="宋体" w:hint="eastAsia"/>
          <w:sz w:val="24"/>
        </w:rPr>
        <w:t>规</w:t>
      </w:r>
      <w:proofErr w:type="gramEnd"/>
      <w:r>
        <w:rPr>
          <w:rFonts w:ascii="宋体" w:eastAsia="宋体" w:hAnsi="宋体" w:cs="宋体" w:hint="eastAsia"/>
          <w:sz w:val="24"/>
        </w:rPr>
        <w:t>经营、案件防控与管理层履职考核挂钩、与干部提拔挂钩以及与员工绩效考核挂钩的基础上，进一步完善各级管理层和员工的合</w:t>
      </w:r>
      <w:proofErr w:type="gramStart"/>
      <w:r>
        <w:rPr>
          <w:rFonts w:ascii="宋体" w:eastAsia="宋体" w:hAnsi="宋体" w:cs="宋体" w:hint="eastAsia"/>
          <w:sz w:val="24"/>
        </w:rPr>
        <w:t>规</w:t>
      </w:r>
      <w:proofErr w:type="gramEnd"/>
      <w:r>
        <w:rPr>
          <w:rFonts w:ascii="宋体" w:eastAsia="宋体" w:hAnsi="宋体" w:cs="宋体" w:hint="eastAsia"/>
          <w:sz w:val="24"/>
        </w:rPr>
        <w:t>考评机制。对合</w:t>
      </w:r>
      <w:proofErr w:type="gramStart"/>
      <w:r>
        <w:rPr>
          <w:rFonts w:ascii="宋体" w:eastAsia="宋体" w:hAnsi="宋体" w:cs="宋体" w:hint="eastAsia"/>
          <w:sz w:val="24"/>
        </w:rPr>
        <w:t>规</w:t>
      </w:r>
      <w:proofErr w:type="gramEnd"/>
      <w:r>
        <w:rPr>
          <w:rFonts w:ascii="宋体" w:eastAsia="宋体" w:hAnsi="宋体" w:cs="宋体" w:hint="eastAsia"/>
          <w:sz w:val="24"/>
        </w:rPr>
        <w:t>尽职、自觉抵制违规操作的员工应予以奖励；对员工的违规行为实行“零容忍”，并对明显违规、屡查屡犯的员工应加大处罚力度，提高其违规成本。</w:t>
      </w:r>
    </w:p>
    <w:p w14:paraId="36795E03"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116.《中国银保监会办公厅关于开展银行保险机构侵害消费者权益乱象整治工作的通知》</w:t>
      </w:r>
    </w:p>
    <w:p w14:paraId="691870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发文机构：中国银行保险监督管理委员会办公厅（已撤销）</w:t>
      </w:r>
      <w:r>
        <w:rPr>
          <w:rFonts w:ascii="宋体" w:eastAsia="宋体" w:hAnsi="宋体" w:cs="宋体" w:hint="eastAsia"/>
          <w:sz w:val="24"/>
        </w:rPr>
        <w:tab/>
      </w:r>
    </w:p>
    <w:p w14:paraId="69966A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文号：银保监办发〔2019〕194号</w:t>
      </w:r>
    </w:p>
    <w:p w14:paraId="4A8B9BAD"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各银保</w:t>
      </w:r>
      <w:proofErr w:type="gramEnd"/>
      <w:r>
        <w:rPr>
          <w:rFonts w:ascii="宋体" w:eastAsia="宋体" w:hAnsi="宋体" w:cs="宋体" w:hint="eastAsia"/>
          <w:sz w:val="24"/>
        </w:rPr>
        <w:t>监局，各大型银行、股份制银行，邮储银行，外资银行，各保险集团（控股）公司、保险公司：</w:t>
      </w:r>
    </w:p>
    <w:p w14:paraId="68E022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为提升银行保险机构消费者权益保护工作水平，营造公平公正的市场秩序，切实维护银行保险消费者合法权益，决定组织银行业保险业开展侵害消费者权益乱象整治工作。现将有关事项通知如下：</w:t>
      </w:r>
    </w:p>
    <w:p w14:paraId="79A99B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一、提高思想认识</w:t>
      </w:r>
    </w:p>
    <w:p w14:paraId="7AC7BA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各银行保险机构</w:t>
      </w:r>
      <w:proofErr w:type="gramStart"/>
      <w:r>
        <w:rPr>
          <w:rFonts w:ascii="宋体" w:eastAsia="宋体" w:hAnsi="宋体" w:cs="宋体" w:hint="eastAsia"/>
          <w:sz w:val="24"/>
        </w:rPr>
        <w:t>和各银保</w:t>
      </w:r>
      <w:proofErr w:type="gramEnd"/>
      <w:r>
        <w:rPr>
          <w:rFonts w:ascii="宋体" w:eastAsia="宋体" w:hAnsi="宋体" w:cs="宋体" w:hint="eastAsia"/>
          <w:sz w:val="24"/>
        </w:rPr>
        <w:t>监局要准确把握习近平总书记在全国金融工作会议上关于加强行为监管的重要讲话精神，充分认识到消费者权益保护是贯彻落实以人民为中心的发展思想的集中体现，整治侵害金融消费者权益乱象是防范和化解金融风险的重要环节。要以深化整治侵害消费者权益乱象为重要抓手，正视问题，坚持问题导向，真刀真枪解决问题，切实维护金融消费者合法权益，为提升人民群众获得感和幸福感提供重要保障。</w:t>
      </w:r>
    </w:p>
    <w:p w14:paraId="5B529C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二、明确整治重点</w:t>
      </w:r>
    </w:p>
    <w:p w14:paraId="0B3A7B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次侵害消费者权益乱象整治的重点是：以规范经营行为、保护消费者合法权益为目标，以《关于加强金融消费者权益保护工作的指导意见》（国办发〔2015〕81号）为依据，以相关法律法规为准绳，排查本机构、本单位、本地区存在的突出问题。整治工作中，要密切结合自身实际，对照附件1所列表现形式，有什么排查什么，查实什么整治什么，有什么问题解决什么问题。在全面排查的基础上，逐项列出问题清单并对照整改。</w:t>
      </w:r>
    </w:p>
    <w:p w14:paraId="5DA13F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w:t>
      </w:r>
      <w:proofErr w:type="gramStart"/>
      <w:r>
        <w:rPr>
          <w:rFonts w:ascii="宋体" w:eastAsia="宋体" w:hAnsi="宋体" w:cs="宋体" w:hint="eastAsia"/>
          <w:sz w:val="24"/>
        </w:rPr>
        <w:t>强化整治</w:t>
      </w:r>
      <w:proofErr w:type="gramEnd"/>
      <w:r>
        <w:rPr>
          <w:rFonts w:ascii="宋体" w:eastAsia="宋体" w:hAnsi="宋体" w:cs="宋体" w:hint="eastAsia"/>
          <w:sz w:val="24"/>
        </w:rPr>
        <w:t>问责</w:t>
      </w:r>
    </w:p>
    <w:p w14:paraId="0DFC0C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本次整治工作以银行保险机构自查为主，监管部门适时开展督导和抽查。银行保险机构对机构自查和监管抽查发现的问题要逐一建档立案，严格自查自纠，</w:t>
      </w:r>
      <w:r>
        <w:rPr>
          <w:rFonts w:ascii="宋体" w:eastAsia="宋体" w:hAnsi="宋体" w:cs="宋体" w:hint="eastAsia"/>
          <w:sz w:val="24"/>
        </w:rPr>
        <w:lastRenderedPageBreak/>
        <w:t>一次性问责到位。对于违反银行业保险业内部规章制度的问题，要依规处理；对于违反银行业保险业监管法规的问题，要依法处罚；对开办的不当业务、存在的不当销售行为，要立即叫停或纠正，出现侵害消费者权益问题的要问</w:t>
      </w:r>
      <w:proofErr w:type="gramStart"/>
      <w:r>
        <w:rPr>
          <w:rFonts w:ascii="宋体" w:eastAsia="宋体" w:hAnsi="宋体" w:cs="宋体" w:hint="eastAsia"/>
          <w:sz w:val="24"/>
        </w:rPr>
        <w:t>责</w:t>
      </w:r>
      <w:proofErr w:type="gramEnd"/>
      <w:r>
        <w:rPr>
          <w:rFonts w:ascii="宋体" w:eastAsia="宋体" w:hAnsi="宋体" w:cs="宋体" w:hint="eastAsia"/>
          <w:sz w:val="24"/>
        </w:rPr>
        <w:t>到人；对于涉及违法犯罪的问题，要移送司法机关惩处。对于机构自查发现并及时纠正的问题，监管部门将从轻、减轻或不予处罚；对于自查不力，隐瞒不报的机构，监管部门发现后将严肃追责并处罚。</w:t>
      </w:r>
    </w:p>
    <w:p w14:paraId="1967D3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四、落实机制整改</w:t>
      </w:r>
    </w:p>
    <w:p w14:paraId="3F1D27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级监管部门要督促银行保险机构深入剖析本次整治发现的问题，查找问题根源，弥补制度短板，完善治理体系，建立长效机制。一是落实主体责任。各银行保险机构要压实深化整治侵害消费者权益乱象的主体责任。董事会担负起最终责任，董事长是第一责任人，高管层担负起执行责任，监事会担负起监督责任，上级机构担负起管理责任，真正使责任落实到位，落实到人。二是完善体制机制。各银行保险机构要加强顶层设计，缺什么补什么，完善产品服务管理、投诉管理、信息保护、内部考核等制度办法，强化制度的持续执行力和刚性约束力。三是强化担当作为。各银行保险机构要通过</w:t>
      </w:r>
      <w:proofErr w:type="gramStart"/>
      <w:r>
        <w:rPr>
          <w:rFonts w:ascii="宋体" w:eastAsia="宋体" w:hAnsi="宋体" w:cs="宋体" w:hint="eastAsia"/>
          <w:sz w:val="24"/>
        </w:rPr>
        <w:t>此次问题</w:t>
      </w:r>
      <w:proofErr w:type="gramEnd"/>
      <w:r>
        <w:rPr>
          <w:rFonts w:ascii="宋体" w:eastAsia="宋体" w:hAnsi="宋体" w:cs="宋体" w:hint="eastAsia"/>
          <w:sz w:val="24"/>
        </w:rPr>
        <w:t>排查整改，强责任，硬制度，规范行为，全面</w:t>
      </w:r>
      <w:proofErr w:type="gramStart"/>
      <w:r>
        <w:rPr>
          <w:rFonts w:ascii="宋体" w:eastAsia="宋体" w:hAnsi="宋体" w:cs="宋体" w:hint="eastAsia"/>
          <w:sz w:val="24"/>
        </w:rPr>
        <w:t>提升消保工作</w:t>
      </w:r>
      <w:proofErr w:type="gramEnd"/>
      <w:r>
        <w:rPr>
          <w:rFonts w:ascii="宋体" w:eastAsia="宋体" w:hAnsi="宋体" w:cs="宋体" w:hint="eastAsia"/>
          <w:sz w:val="24"/>
        </w:rPr>
        <w:t>水平。</w:t>
      </w:r>
    </w:p>
    <w:p w14:paraId="5C818E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五、加强组织领导</w:t>
      </w:r>
    </w:p>
    <w:p w14:paraId="7156E41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本次整治工作综合性强，排查要求明确具体，各单位要高度重视，周密安排，精心组织，确保</w:t>
      </w:r>
      <w:proofErr w:type="gramStart"/>
      <w:r>
        <w:rPr>
          <w:rFonts w:ascii="宋体" w:eastAsia="宋体" w:hAnsi="宋体" w:cs="宋体" w:hint="eastAsia"/>
          <w:sz w:val="24"/>
        </w:rPr>
        <w:t>全业务</w:t>
      </w:r>
      <w:proofErr w:type="gramEnd"/>
      <w:r>
        <w:rPr>
          <w:rFonts w:ascii="宋体" w:eastAsia="宋体" w:hAnsi="宋体" w:cs="宋体" w:hint="eastAsia"/>
          <w:sz w:val="24"/>
        </w:rPr>
        <w:t>覆盖、</w:t>
      </w:r>
      <w:proofErr w:type="gramStart"/>
      <w:r>
        <w:rPr>
          <w:rFonts w:ascii="宋体" w:eastAsia="宋体" w:hAnsi="宋体" w:cs="宋体" w:hint="eastAsia"/>
          <w:sz w:val="24"/>
        </w:rPr>
        <w:t>全员工</w:t>
      </w:r>
      <w:proofErr w:type="gramEnd"/>
      <w:r>
        <w:rPr>
          <w:rFonts w:ascii="宋体" w:eastAsia="宋体" w:hAnsi="宋体" w:cs="宋体" w:hint="eastAsia"/>
          <w:sz w:val="24"/>
        </w:rPr>
        <w:t>参与。各银行保险机构</w:t>
      </w:r>
      <w:proofErr w:type="gramStart"/>
      <w:r>
        <w:rPr>
          <w:rFonts w:ascii="宋体" w:eastAsia="宋体" w:hAnsi="宋体" w:cs="宋体" w:hint="eastAsia"/>
          <w:sz w:val="24"/>
        </w:rPr>
        <w:t>和各银保</w:t>
      </w:r>
      <w:proofErr w:type="gramEnd"/>
      <w:r>
        <w:rPr>
          <w:rFonts w:ascii="宋体" w:eastAsia="宋体" w:hAnsi="宋体" w:cs="宋体" w:hint="eastAsia"/>
          <w:sz w:val="24"/>
        </w:rPr>
        <w:t>监局要成立专项工作组，制定专门工作方案，层层推进落实。</w:t>
      </w:r>
    </w:p>
    <w:p w14:paraId="2D79F7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（一）自查整改阶段。2019年10月—11月，</w:t>
      </w:r>
      <w:proofErr w:type="gramStart"/>
      <w:r>
        <w:rPr>
          <w:rFonts w:ascii="宋体" w:eastAsia="宋体" w:hAnsi="宋体" w:cs="宋体" w:hint="eastAsia"/>
          <w:sz w:val="24"/>
        </w:rPr>
        <w:t>各银保</w:t>
      </w:r>
      <w:proofErr w:type="gramEnd"/>
      <w:r>
        <w:rPr>
          <w:rFonts w:ascii="宋体" w:eastAsia="宋体" w:hAnsi="宋体" w:cs="宋体" w:hint="eastAsia"/>
          <w:sz w:val="24"/>
        </w:rPr>
        <w:t>监局组织辖内各银行保险机构按照整治工作要点认真开展对照自查，在自查基础上积极完成整改。各银行保险机构应于11月30日前完成自查整改工作并书面报告辖区银保监局。</w:t>
      </w:r>
    </w:p>
    <w:p w14:paraId="3B175C4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（二）监管抽查阶段。2019年10月-12月，</w:t>
      </w:r>
      <w:proofErr w:type="gramStart"/>
      <w:r>
        <w:rPr>
          <w:rFonts w:ascii="宋体" w:eastAsia="宋体" w:hAnsi="宋体" w:cs="宋体" w:hint="eastAsia"/>
          <w:sz w:val="24"/>
        </w:rPr>
        <w:t>各银保</w:t>
      </w:r>
      <w:proofErr w:type="gramEnd"/>
      <w:r>
        <w:rPr>
          <w:rFonts w:ascii="宋体" w:eastAsia="宋体" w:hAnsi="宋体" w:cs="宋体" w:hint="eastAsia"/>
          <w:sz w:val="24"/>
        </w:rPr>
        <w:t>监局根据辖区情况，针对重点机构和重点业务，适时开展监管抽查。</w:t>
      </w:r>
    </w:p>
    <w:p w14:paraId="0A3C1E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（三）总结汇报阶段。</w:t>
      </w:r>
      <w:proofErr w:type="gramStart"/>
      <w:r>
        <w:rPr>
          <w:rFonts w:ascii="宋体" w:eastAsia="宋体" w:hAnsi="宋体" w:cs="宋体" w:hint="eastAsia"/>
          <w:sz w:val="24"/>
        </w:rPr>
        <w:t>各银保</w:t>
      </w:r>
      <w:proofErr w:type="gramEnd"/>
      <w:r>
        <w:rPr>
          <w:rFonts w:ascii="宋体" w:eastAsia="宋体" w:hAnsi="宋体" w:cs="宋体" w:hint="eastAsia"/>
          <w:sz w:val="24"/>
        </w:rPr>
        <w:t>监局应于2019年12月15日前，向银保监</w:t>
      </w:r>
      <w:proofErr w:type="gramStart"/>
      <w:r>
        <w:rPr>
          <w:rFonts w:ascii="宋体" w:eastAsia="宋体" w:hAnsi="宋体" w:cs="宋体" w:hint="eastAsia"/>
          <w:sz w:val="24"/>
        </w:rPr>
        <w:t>会消保局</w:t>
      </w:r>
      <w:proofErr w:type="gramEnd"/>
      <w:r>
        <w:rPr>
          <w:rFonts w:ascii="宋体" w:eastAsia="宋体" w:hAnsi="宋体" w:cs="宋体" w:hint="eastAsia"/>
          <w:sz w:val="24"/>
        </w:rPr>
        <w:t>报送侵害消费者权益乱象整治工作报告，报告内容应包括组织实施、机构</w:t>
      </w:r>
      <w:r>
        <w:rPr>
          <w:rFonts w:ascii="宋体" w:eastAsia="宋体" w:hAnsi="宋体" w:cs="宋体" w:hint="eastAsia"/>
          <w:sz w:val="24"/>
        </w:rPr>
        <w:lastRenderedPageBreak/>
        <w:t>自查情况、监管抽查情况、行政处罚情况和工作建议等内容，并填报相关表格（详见附件2）。</w:t>
      </w:r>
    </w:p>
    <w:p w14:paraId="3F5803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中国银行保险监督管理委员会办公厅</w:t>
      </w:r>
    </w:p>
    <w:p w14:paraId="2E7CB8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2019年9月24日</w:t>
      </w:r>
    </w:p>
    <w:p w14:paraId="01C459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附件1：</w:t>
      </w:r>
    </w:p>
    <w:p w14:paraId="64AA48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银行业保险业侵害消费者权益乱象的表现形式</w:t>
      </w:r>
    </w:p>
    <w:p w14:paraId="73BAE7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一、银行业侵害消费者权益乱象（包括但不限于以下方面）</w:t>
      </w:r>
    </w:p>
    <w:p w14:paraId="64533C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（一）产品设计方面</w:t>
      </w:r>
    </w:p>
    <w:p w14:paraId="6832F7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1.产品多层嵌套，结构复杂，产品说明书等销售材料信息披露不真实、不准确、不完善。</w:t>
      </w:r>
    </w:p>
    <w:p w14:paraId="0646B4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2.结构性存款假结构，替代保本理财，或按保本产品宣传销售。</w:t>
      </w:r>
    </w:p>
    <w:p w14:paraId="617F81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3.理财产品预期收益区间测算不科学合理，存在诱导性表述。</w:t>
      </w:r>
    </w:p>
    <w:p w14:paraId="738D820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（二）营销宣传方面</w:t>
      </w:r>
    </w:p>
    <w:p w14:paraId="16C35A2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不当宣传和误导销售。对产品和服务宣传时引用不真实不准确的数据和资料，对过往业绩进行虚假或夸大表述；对资产管理类产品未来效果、收益等做出保证性承诺，明示或暗示保本、无风险或者保收益；使用偷换概念、不当类比、隐去假设等手段，误导消费者相信或有理由相信金融产品和服务与自身风险承受能力相符。</w:t>
      </w:r>
    </w:p>
    <w:p w14:paraId="5F6783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2.有意针对低收入人群开展信用卡业务，发展高风险用户。如过度向没有还款能力的在校大学生营销信用卡，额度</w:t>
      </w:r>
      <w:proofErr w:type="gramStart"/>
      <w:r>
        <w:rPr>
          <w:rFonts w:ascii="宋体" w:eastAsia="宋体" w:hAnsi="宋体" w:cs="宋体" w:hint="eastAsia"/>
          <w:sz w:val="24"/>
        </w:rPr>
        <w:t>管控不审慎</w:t>
      </w:r>
      <w:proofErr w:type="gramEnd"/>
      <w:r>
        <w:rPr>
          <w:rFonts w:ascii="宋体" w:eastAsia="宋体" w:hAnsi="宋体" w:cs="宋体" w:hint="eastAsia"/>
          <w:sz w:val="24"/>
        </w:rPr>
        <w:t>；为资信状况不佳或已有多头授信的客户发放高额额度；过度营销分期业务。</w:t>
      </w:r>
    </w:p>
    <w:p w14:paraId="213581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（三）产品销售方面</w:t>
      </w:r>
    </w:p>
    <w:p w14:paraId="1CC0E8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1.未对消费者进行适当性测试而销售产品；代</w:t>
      </w:r>
      <w:proofErr w:type="gramStart"/>
      <w:r>
        <w:rPr>
          <w:rFonts w:ascii="宋体" w:eastAsia="宋体" w:hAnsi="宋体" w:cs="宋体" w:hint="eastAsia"/>
          <w:sz w:val="24"/>
        </w:rPr>
        <w:t>客操作</w:t>
      </w:r>
      <w:proofErr w:type="gramEnd"/>
      <w:r>
        <w:rPr>
          <w:rFonts w:ascii="宋体" w:eastAsia="宋体" w:hAnsi="宋体" w:cs="宋体" w:hint="eastAsia"/>
          <w:sz w:val="24"/>
        </w:rPr>
        <w:t>风险评估或</w:t>
      </w:r>
      <w:proofErr w:type="gramStart"/>
      <w:r>
        <w:rPr>
          <w:rFonts w:ascii="宋体" w:eastAsia="宋体" w:hAnsi="宋体" w:cs="宋体" w:hint="eastAsia"/>
          <w:sz w:val="24"/>
        </w:rPr>
        <w:t>不当引导</w:t>
      </w:r>
      <w:proofErr w:type="gramEnd"/>
      <w:r>
        <w:rPr>
          <w:rFonts w:ascii="宋体" w:eastAsia="宋体" w:hAnsi="宋体" w:cs="宋体" w:hint="eastAsia"/>
          <w:sz w:val="24"/>
        </w:rPr>
        <w:t>消费者提高风评等级，以达到</w:t>
      </w:r>
      <w:proofErr w:type="gramStart"/>
      <w:r>
        <w:rPr>
          <w:rFonts w:ascii="宋体" w:eastAsia="宋体" w:hAnsi="宋体" w:cs="宋体" w:hint="eastAsia"/>
          <w:sz w:val="24"/>
        </w:rPr>
        <w:t>推销高</w:t>
      </w:r>
      <w:proofErr w:type="gramEnd"/>
      <w:r>
        <w:rPr>
          <w:rFonts w:ascii="宋体" w:eastAsia="宋体" w:hAnsi="宋体" w:cs="宋体" w:hint="eastAsia"/>
          <w:sz w:val="24"/>
        </w:rPr>
        <w:t>风险理财产品目的；销售的产品风险等级与客户的风险承受能力不匹配，将私募产品销售给非合格投资者，如将信托等私募产</w:t>
      </w:r>
      <w:r>
        <w:rPr>
          <w:rFonts w:ascii="宋体" w:eastAsia="宋体" w:hAnsi="宋体" w:cs="宋体" w:hint="eastAsia"/>
          <w:sz w:val="24"/>
        </w:rPr>
        <w:lastRenderedPageBreak/>
        <w:t>品分拆，销售给非合格投资者。</w:t>
      </w:r>
    </w:p>
    <w:p w14:paraId="2FA7CA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2.销售过程中未严格</w:t>
      </w:r>
      <w:proofErr w:type="gramStart"/>
      <w:r>
        <w:rPr>
          <w:rFonts w:ascii="宋体" w:eastAsia="宋体" w:hAnsi="宋体" w:cs="宋体" w:hint="eastAsia"/>
          <w:sz w:val="24"/>
        </w:rPr>
        <w:t>区分自</w:t>
      </w:r>
      <w:proofErr w:type="gramEnd"/>
      <w:r>
        <w:rPr>
          <w:rFonts w:ascii="宋体" w:eastAsia="宋体" w:hAnsi="宋体" w:cs="宋体" w:hint="eastAsia"/>
          <w:sz w:val="24"/>
        </w:rPr>
        <w:t>有理财产品与代销产品，使消费者混淆二者的区别。</w:t>
      </w:r>
    </w:p>
    <w:p w14:paraId="53074B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3.银行工作人员利用从业身份或借助机构营业场所私售“飞单”；未经授权或超越授权范围开展代销业务；假借所属机构名义私自推介、销售未经监管部门备案审批或未经机构内部审批的产品。</w:t>
      </w:r>
    </w:p>
    <w:p w14:paraId="59DF9B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4.信息披露不到位。在贷前未充分向消费者履行告知义务，未使用清晰可辨字体明示产品与服务</w:t>
      </w:r>
      <w:proofErr w:type="gramStart"/>
      <w:r>
        <w:rPr>
          <w:rFonts w:ascii="宋体" w:eastAsia="宋体" w:hAnsi="宋体" w:cs="宋体" w:hint="eastAsia"/>
          <w:sz w:val="24"/>
        </w:rPr>
        <w:t>年化利率</w:t>
      </w:r>
      <w:proofErr w:type="gramEnd"/>
      <w:r>
        <w:rPr>
          <w:rFonts w:ascii="宋体" w:eastAsia="宋体" w:hAnsi="宋体" w:cs="宋体" w:hint="eastAsia"/>
          <w:sz w:val="24"/>
        </w:rPr>
        <w:t>及费率；未向消费者明示重要合同条款、可能承担的风险及违约责任、银行保险机构应承担的义务等，导致关键信息披露不到位；产品与服务购买、个人信息查询等用户授权等采用默认</w:t>
      </w:r>
      <w:proofErr w:type="gramStart"/>
      <w:r>
        <w:rPr>
          <w:rFonts w:ascii="宋体" w:eastAsia="宋体" w:hAnsi="宋体" w:cs="宋体" w:hint="eastAsia"/>
          <w:sz w:val="24"/>
        </w:rPr>
        <w:t>勾</w:t>
      </w:r>
      <w:proofErr w:type="gramEnd"/>
      <w:r>
        <w:rPr>
          <w:rFonts w:ascii="宋体" w:eastAsia="宋体" w:hAnsi="宋体" w:cs="宋体" w:hint="eastAsia"/>
          <w:sz w:val="24"/>
        </w:rPr>
        <w:t>选模式。</w:t>
      </w:r>
    </w:p>
    <w:p w14:paraId="7260BD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5.强制捆绑、搭售，侵害消费者自主选择权。借贷过程中强制消费者办理保险、信用卡、大额存单等业务或强制要求向</w:t>
      </w:r>
      <w:proofErr w:type="gramStart"/>
      <w:r>
        <w:rPr>
          <w:rFonts w:ascii="宋体" w:eastAsia="宋体" w:hAnsi="宋体" w:cs="宋体" w:hint="eastAsia"/>
          <w:sz w:val="24"/>
        </w:rPr>
        <w:t>特定第三</w:t>
      </w:r>
      <w:proofErr w:type="gramEnd"/>
      <w:r>
        <w:rPr>
          <w:rFonts w:ascii="宋体" w:eastAsia="宋体" w:hAnsi="宋体" w:cs="宋体" w:hint="eastAsia"/>
          <w:sz w:val="24"/>
        </w:rPr>
        <w:t>方合作机构购买产品或服务；办理业务时未充分向消费者履行告知义务，开通账户资金变动提醒短信业务并收取费用。</w:t>
      </w:r>
    </w:p>
    <w:p w14:paraId="0454D8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销售过程缺乏契约精神。如房贷业务中，未充分尊重消费者知情权、自主选择权：一方面为抢占客户资源，以优惠利率营销客户；另一方面利用格式合同拟定方的优势，在条款中暗藏保留自身调整利率的权力，后期以总行额度管控等理由，强制要求客户接受利率上调，谋求银行收益最大化。</w:t>
      </w:r>
    </w:p>
    <w:p w14:paraId="45FA51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7.未落实专区“双录”规定。理财及代销产品销售过程中，工作人员未按规定进行“双录”，或先交易后双录等。</w:t>
      </w:r>
    </w:p>
    <w:p w14:paraId="2F0F7B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8.要求消费者签署空白合同，在消费者签署后再添加对消费者不利的合同条款及要素。</w:t>
      </w:r>
    </w:p>
    <w:p w14:paraId="7FF74D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（四）内部管理方面</w:t>
      </w:r>
    </w:p>
    <w:p w14:paraId="4D5B0F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1.对信用卡营销团队重绩效、轻管理，造成信用卡营销人员不当销售行为多发。</w:t>
      </w:r>
    </w:p>
    <w:p w14:paraId="397FC1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w:t>
      </w:r>
      <w:proofErr w:type="gramStart"/>
      <w:r>
        <w:rPr>
          <w:rFonts w:ascii="宋体" w:eastAsia="宋体" w:hAnsi="宋体" w:cs="宋体" w:hint="eastAsia"/>
          <w:sz w:val="24"/>
        </w:rPr>
        <w:t>资管类</w:t>
      </w:r>
      <w:proofErr w:type="gramEnd"/>
      <w:r>
        <w:rPr>
          <w:rFonts w:ascii="宋体" w:eastAsia="宋体" w:hAnsi="宋体" w:cs="宋体" w:hint="eastAsia"/>
          <w:sz w:val="24"/>
        </w:rPr>
        <w:t>产品受托人尽职管理不到位而侵害消费者权益。违反法律法规规定</w:t>
      </w:r>
      <w:r>
        <w:rPr>
          <w:rFonts w:ascii="宋体" w:eastAsia="宋体" w:hAnsi="宋体" w:cs="宋体" w:hint="eastAsia"/>
          <w:sz w:val="24"/>
        </w:rPr>
        <w:lastRenderedPageBreak/>
        <w:t>或合同约定，未尽诚实、信用、谨慎、有效管理义务，造成受托管理资金被挪用等侵害消费者权益的后果。</w:t>
      </w:r>
    </w:p>
    <w:p w14:paraId="753339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（五）与第三方机构合作方面</w:t>
      </w:r>
    </w:p>
    <w:p w14:paraId="493062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1.违规允许第三方机构业务人员在银行机构网点开办业务或营销产品。</w:t>
      </w:r>
    </w:p>
    <w:p w14:paraId="60311B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2.未建立合作机构名单制管理，未与合作机构明确双方责任义务与风险管理措施，未明确合</w:t>
      </w:r>
      <w:proofErr w:type="gramStart"/>
      <w:r>
        <w:rPr>
          <w:rFonts w:ascii="宋体" w:eastAsia="宋体" w:hAnsi="宋体" w:cs="宋体" w:hint="eastAsia"/>
          <w:sz w:val="24"/>
        </w:rPr>
        <w:t>规</w:t>
      </w:r>
      <w:proofErr w:type="gramEnd"/>
      <w:r>
        <w:rPr>
          <w:rFonts w:ascii="宋体" w:eastAsia="宋体" w:hAnsi="宋体" w:cs="宋体" w:hint="eastAsia"/>
          <w:sz w:val="24"/>
        </w:rPr>
        <w:t>管理方式要求。</w:t>
      </w:r>
    </w:p>
    <w:p w14:paraId="56FE87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3.与第三方机构通过合同约定开展各种合作，但未检查和有效管</w:t>
      </w:r>
      <w:proofErr w:type="gramStart"/>
      <w:r>
        <w:rPr>
          <w:rFonts w:ascii="宋体" w:eastAsia="宋体" w:hAnsi="宋体" w:cs="宋体" w:hint="eastAsia"/>
          <w:sz w:val="24"/>
        </w:rPr>
        <w:t>控合作</w:t>
      </w:r>
      <w:proofErr w:type="gramEnd"/>
      <w:r>
        <w:rPr>
          <w:rFonts w:ascii="宋体" w:eastAsia="宋体" w:hAnsi="宋体" w:cs="宋体" w:hint="eastAsia"/>
          <w:sz w:val="24"/>
        </w:rPr>
        <w:t>机构执行情况。合同中未明确约定第三方机构不得存在误导销售、暴力催收、强制搭售、针对同一服务项目同时向金融机构与消费者重复收费、巧立名目多收费、滥收费、非法获取客户个人信息等行为。</w:t>
      </w:r>
    </w:p>
    <w:p w14:paraId="7DA984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4.在信贷业务中，违规与各类中介、咨询公司等第三方“合作”，小微企业、个人消费者唯有接受第三</w:t>
      </w:r>
      <w:proofErr w:type="gramStart"/>
      <w:r>
        <w:rPr>
          <w:rFonts w:ascii="宋体" w:eastAsia="宋体" w:hAnsi="宋体" w:cs="宋体" w:hint="eastAsia"/>
          <w:sz w:val="24"/>
        </w:rPr>
        <w:t>方服务</w:t>
      </w:r>
      <w:proofErr w:type="gramEnd"/>
      <w:r>
        <w:rPr>
          <w:rFonts w:ascii="宋体" w:eastAsia="宋体" w:hAnsi="宋体" w:cs="宋体" w:hint="eastAsia"/>
          <w:sz w:val="24"/>
        </w:rPr>
        <w:t>并支付费用等附加条件，才能获取正常贷款的相关手续及获得贷款。这些第三方与银行的“合作”，不同程度存在与银行内部人员的利益交换，同时可能推高企业或个人融资成本。</w:t>
      </w:r>
    </w:p>
    <w:p w14:paraId="6B4FB0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二、保险业侵害消费者权益乱象（包括但不限于以下方面）</w:t>
      </w:r>
    </w:p>
    <w:p w14:paraId="6B1FDD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（一）产品方面</w:t>
      </w:r>
    </w:p>
    <w:p w14:paraId="4085ECB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1.保险条款内容不明确、指代性不强，如航班延误险中对航班取消和延误、起飞时间和到达时间的概念界定不清，易使消费者混淆。</w:t>
      </w:r>
    </w:p>
    <w:p w14:paraId="6CD6D4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2.对停售险种进行自动产品转换，即以“产品升级＂等名义短信通知投保人，默认投保人同意转换为替代产品，对新产品未尽说明告知义务，未履行新产品的投保手续。</w:t>
      </w:r>
    </w:p>
    <w:p w14:paraId="08AD24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（二）销售方面</w:t>
      </w:r>
    </w:p>
    <w:p w14:paraId="754E6B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1.销售人员在展</w:t>
      </w:r>
      <w:proofErr w:type="gramStart"/>
      <w:r>
        <w:rPr>
          <w:rFonts w:ascii="宋体" w:eastAsia="宋体" w:hAnsi="宋体" w:cs="宋体" w:hint="eastAsia"/>
          <w:sz w:val="24"/>
        </w:rPr>
        <w:t>业过程</w:t>
      </w:r>
      <w:proofErr w:type="gramEnd"/>
      <w:r>
        <w:rPr>
          <w:rFonts w:ascii="宋体" w:eastAsia="宋体" w:hAnsi="宋体" w:cs="宋体" w:hint="eastAsia"/>
          <w:sz w:val="24"/>
        </w:rPr>
        <w:t>中盲目追求业绩和佣金收入，为达成保险合同，存在未向消费者如实告知、披露保单信息的情况：</w:t>
      </w:r>
    </w:p>
    <w:p w14:paraId="5C8D9B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一是以其他金融产品名义宣传保险产品。如将保险产品混同于储蓄、理财产</w:t>
      </w:r>
      <w:r>
        <w:rPr>
          <w:rFonts w:ascii="宋体" w:eastAsia="宋体" w:hAnsi="宋体" w:cs="宋体" w:hint="eastAsia"/>
          <w:sz w:val="24"/>
        </w:rPr>
        <w:lastRenderedPageBreak/>
        <w:t>品销售，使消费者在不知情的情况下购买了保险产品。</w:t>
      </w:r>
    </w:p>
    <w:p w14:paraId="3F9985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二是夸大保险责任或收益，夸大保险保障范围。如在重疾险、医疗</w:t>
      </w:r>
      <w:proofErr w:type="gramStart"/>
      <w:r>
        <w:rPr>
          <w:rFonts w:ascii="宋体" w:eastAsia="宋体" w:hAnsi="宋体" w:cs="宋体" w:hint="eastAsia"/>
          <w:sz w:val="24"/>
        </w:rPr>
        <w:t>险销售</w:t>
      </w:r>
      <w:proofErr w:type="gramEnd"/>
      <w:r>
        <w:rPr>
          <w:rFonts w:ascii="宋体" w:eastAsia="宋体" w:hAnsi="宋体" w:cs="宋体" w:hint="eastAsia"/>
          <w:sz w:val="24"/>
        </w:rPr>
        <w:t>过程中，夸大赔付病种范围、口头承诺可</w:t>
      </w:r>
      <w:proofErr w:type="gramStart"/>
      <w:r>
        <w:rPr>
          <w:rFonts w:ascii="宋体" w:eastAsia="宋体" w:hAnsi="宋体" w:cs="宋体" w:hint="eastAsia"/>
          <w:sz w:val="24"/>
        </w:rPr>
        <w:t>报销因</w:t>
      </w:r>
      <w:proofErr w:type="gramEnd"/>
      <w:r>
        <w:rPr>
          <w:rFonts w:ascii="宋体" w:eastAsia="宋体" w:hAnsi="宋体" w:cs="宋体" w:hint="eastAsia"/>
          <w:sz w:val="24"/>
        </w:rPr>
        <w:t>治疗疾病产生的全部住院医疗费用等。</w:t>
      </w:r>
    </w:p>
    <w:p w14:paraId="7F98CB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三是隐瞒影响投保决策的内容。如隐瞒保单收益的不确定性、退保损失、保单风险及免责条款、保单缴费期限、保障期限、犹豫期等合同重要内容。又如在销售部分以“保证续保”概念进行宣传的短期健康</w:t>
      </w:r>
      <w:proofErr w:type="gramStart"/>
      <w:r>
        <w:rPr>
          <w:rFonts w:ascii="宋体" w:eastAsia="宋体" w:hAnsi="宋体" w:cs="宋体" w:hint="eastAsia"/>
          <w:sz w:val="24"/>
        </w:rPr>
        <w:t>险产品</w:t>
      </w:r>
      <w:proofErr w:type="gramEnd"/>
      <w:r>
        <w:rPr>
          <w:rFonts w:ascii="宋体" w:eastAsia="宋体" w:hAnsi="宋体" w:cs="宋体" w:hint="eastAsia"/>
          <w:sz w:val="24"/>
        </w:rPr>
        <w:t>时，未向消费者主动充分说明产品存在整体调整产品费率或产品停售的可能，导致消费者忽视该内容，产生纠纷。</w:t>
      </w:r>
    </w:p>
    <w:p w14:paraId="23D506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是引用不真实、不准确的数据和资料，对过往业绩进行虚假或夸大表述，对保险产品效果或收益做出与条款不符的承诺。为达到营销目的对与保险业务相关的法律、法规、政策作虚假宣传。以产品即将停售或费率即将调整为由进行不实宣传炒作，诱导消费者购买保险产品。</w:t>
      </w:r>
    </w:p>
    <w:p w14:paraId="3E7521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五是销售人员未培训到位，对销售产品了解不清，向消费者介绍的产品以偏概全，或错误解释保险条款。</w:t>
      </w:r>
    </w:p>
    <w:p w14:paraId="2E86B3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六是诱导唆使投保人为购买新的保险产品终止保险合同而损害其合法权益。</w:t>
      </w:r>
    </w:p>
    <w:p w14:paraId="00ADCF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七是销售人员不依</w:t>
      </w:r>
      <w:proofErr w:type="gramStart"/>
      <w:r>
        <w:rPr>
          <w:rFonts w:ascii="宋体" w:eastAsia="宋体" w:hAnsi="宋体" w:cs="宋体" w:hint="eastAsia"/>
          <w:sz w:val="24"/>
        </w:rPr>
        <w:t>规</w:t>
      </w:r>
      <w:proofErr w:type="gramEnd"/>
      <w:r>
        <w:rPr>
          <w:rFonts w:ascii="宋体" w:eastAsia="宋体" w:hAnsi="宋体" w:cs="宋体" w:hint="eastAsia"/>
          <w:sz w:val="24"/>
        </w:rPr>
        <w:t>操作，投保档案非投保人本人真实意思表示。如未经授权代填投保材料、代抄风险提示语、代投保人或被保险人在投保单、投保提示、保单回执等单据上签字等。</w:t>
      </w:r>
    </w:p>
    <w:p w14:paraId="26F34C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客户信息不真实。投保单或保险公司业务系统中记载的客户信息存在缺失、虚假等情况，如车险保单将4S店、中介机构等记录为投保人，影响消费者解除保险合同以及享受退保金的权利；业务员存在伪造、篡改客户信息等行为，如存在私自将客户保单退保获取退保金、冒领生存金以及伪造客户签名、印鉴将客户保单质押贷款套取资金等行为。</w:t>
      </w:r>
    </w:p>
    <w:p w14:paraId="5ED7C8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3.规避保险销售可回溯管理规定，如个</w:t>
      </w:r>
      <w:proofErr w:type="gramStart"/>
      <w:r>
        <w:rPr>
          <w:rFonts w:ascii="宋体" w:eastAsia="宋体" w:hAnsi="宋体" w:cs="宋体" w:hint="eastAsia"/>
          <w:sz w:val="24"/>
        </w:rPr>
        <w:t>险销售</w:t>
      </w:r>
      <w:proofErr w:type="gramEnd"/>
      <w:r>
        <w:rPr>
          <w:rFonts w:ascii="宋体" w:eastAsia="宋体" w:hAnsi="宋体" w:cs="宋体" w:hint="eastAsia"/>
          <w:sz w:val="24"/>
        </w:rPr>
        <w:t>中，为规避对60岁以上的投保人“双录”，营销员让投保人以其子女名义投保；银</w:t>
      </w:r>
      <w:proofErr w:type="gramStart"/>
      <w:r>
        <w:rPr>
          <w:rFonts w:ascii="宋体" w:eastAsia="宋体" w:hAnsi="宋体" w:cs="宋体" w:hint="eastAsia"/>
          <w:sz w:val="24"/>
        </w:rPr>
        <w:t>保销售</w:t>
      </w:r>
      <w:proofErr w:type="gramEnd"/>
      <w:r>
        <w:rPr>
          <w:rFonts w:ascii="宋体" w:eastAsia="宋体" w:hAnsi="宋体" w:cs="宋体" w:hint="eastAsia"/>
          <w:sz w:val="24"/>
        </w:rPr>
        <w:t>中，为规避“双录”，营销员引导客户到自助终端购买，或在柜台使用</w:t>
      </w:r>
      <w:proofErr w:type="gramStart"/>
      <w:r>
        <w:rPr>
          <w:rFonts w:ascii="宋体" w:eastAsia="宋体" w:hAnsi="宋体" w:cs="宋体" w:hint="eastAsia"/>
          <w:sz w:val="24"/>
        </w:rPr>
        <w:t>网银购买</w:t>
      </w:r>
      <w:proofErr w:type="gramEnd"/>
      <w:r>
        <w:rPr>
          <w:rFonts w:ascii="宋体" w:eastAsia="宋体" w:hAnsi="宋体" w:cs="宋体" w:hint="eastAsia"/>
          <w:sz w:val="24"/>
        </w:rPr>
        <w:t>等情况。</w:t>
      </w:r>
    </w:p>
    <w:p w14:paraId="17328C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（三）理赔方面</w:t>
      </w:r>
    </w:p>
    <w:p w14:paraId="093D734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1.未及时一次性通知投保人、被保险人或者受益人补充提供理赔所需单证资料。</w:t>
      </w:r>
    </w:p>
    <w:p w14:paraId="157CA7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2.销售人员代索赔时，不及时报案；不及时将客户提供的理赔资料递交保险公司。</w:t>
      </w:r>
    </w:p>
    <w:p w14:paraId="6A2E62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3.未按照法定或者合同约定的时限进行定核损，</w:t>
      </w:r>
      <w:proofErr w:type="gramStart"/>
      <w:r>
        <w:rPr>
          <w:rFonts w:ascii="宋体" w:eastAsia="宋体" w:hAnsi="宋体" w:cs="宋体" w:hint="eastAsia"/>
          <w:sz w:val="24"/>
        </w:rPr>
        <w:t>作出</w:t>
      </w:r>
      <w:proofErr w:type="gramEnd"/>
      <w:r>
        <w:rPr>
          <w:rFonts w:ascii="宋体" w:eastAsia="宋体" w:hAnsi="宋体" w:cs="宋体" w:hint="eastAsia"/>
          <w:sz w:val="24"/>
        </w:rPr>
        <w:t>理赔核定、赔款支付。对不属于保险责任的，未在自</w:t>
      </w:r>
      <w:proofErr w:type="gramStart"/>
      <w:r>
        <w:rPr>
          <w:rFonts w:ascii="宋体" w:eastAsia="宋体" w:hAnsi="宋体" w:cs="宋体" w:hint="eastAsia"/>
          <w:sz w:val="24"/>
        </w:rPr>
        <w:t>作出</w:t>
      </w:r>
      <w:proofErr w:type="gramEnd"/>
      <w:r>
        <w:rPr>
          <w:rFonts w:ascii="宋体" w:eastAsia="宋体" w:hAnsi="宋体" w:cs="宋体" w:hint="eastAsia"/>
          <w:sz w:val="24"/>
        </w:rPr>
        <w:t>核定之日起三日内向被保险人或者受益人发出拒绝赔偿或者拒绝给付保险金通知书，或者未说明理由。</w:t>
      </w:r>
    </w:p>
    <w:p w14:paraId="107535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4.理赔附加限制条件，如机动车辆保险理赔时指定修理厂及相关产品等。</w:t>
      </w:r>
    </w:p>
    <w:p w14:paraId="7BA40E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5.拒不依法履行保险合同约定的赔偿或者给付保险金义务。</w:t>
      </w:r>
    </w:p>
    <w:p w14:paraId="5FBA554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6.小额</w:t>
      </w:r>
      <w:proofErr w:type="gramStart"/>
      <w:r>
        <w:rPr>
          <w:rFonts w:ascii="宋体" w:eastAsia="宋体" w:hAnsi="宋体" w:cs="宋体" w:hint="eastAsia"/>
          <w:sz w:val="24"/>
        </w:rPr>
        <w:t>理赔未</w:t>
      </w:r>
      <w:proofErr w:type="gramEnd"/>
      <w:r>
        <w:rPr>
          <w:rFonts w:ascii="宋体" w:eastAsia="宋体" w:hAnsi="宋体" w:cs="宋体" w:hint="eastAsia"/>
          <w:sz w:val="24"/>
        </w:rPr>
        <w:t>按照《保险小额理赔服务指引（试行）》（保</w:t>
      </w:r>
      <w:proofErr w:type="gramStart"/>
      <w:r>
        <w:rPr>
          <w:rFonts w:ascii="宋体" w:eastAsia="宋体" w:hAnsi="宋体" w:cs="宋体" w:hint="eastAsia"/>
          <w:sz w:val="24"/>
        </w:rPr>
        <w:t>监消保</w:t>
      </w:r>
      <w:proofErr w:type="gramEnd"/>
      <w:r>
        <w:rPr>
          <w:rFonts w:ascii="宋体" w:eastAsia="宋体" w:hAnsi="宋体" w:cs="宋体" w:hint="eastAsia"/>
          <w:sz w:val="24"/>
        </w:rPr>
        <w:t>〔2015〕201号）规定执行。</w:t>
      </w:r>
    </w:p>
    <w:p w14:paraId="0A66ED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（四）互联网保险方面</w:t>
      </w:r>
    </w:p>
    <w:p w14:paraId="29BB87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互联网保险销售对保险产品关键信息说明不充分、不明确，如宣传销售时，为吸引消费者购买，故意使用误导性词语组合，混淆和模糊保险责任，导致消费者不能正确理解产品功能和特点，购买不符合自身保障需求的产品；互联网业务中重要信息披露、风险提示、客户告知不够标准、清晰，如销售页面所载条款或保险责任不全，重要内容未采取字体、颜色等特别提示，易使消费者忽视产品重要信息；将投保过程嵌入其他诸如网络借款等业务流程，而对保额、保费、保险责任、保险产品的承保机构等投保信息告知不足，导致消费者对投保不知情。</w:t>
      </w:r>
    </w:p>
    <w:p w14:paraId="1A4A7F3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2.在网络销售中限制消费者的自由选择权。如与第三方网络借款平台合作，强制消费者在借款过程中投保意外险、保证保险等，若</w:t>
      </w:r>
      <w:proofErr w:type="gramStart"/>
      <w:r>
        <w:rPr>
          <w:rFonts w:ascii="宋体" w:eastAsia="宋体" w:hAnsi="宋体" w:cs="宋体" w:hint="eastAsia"/>
          <w:sz w:val="24"/>
        </w:rPr>
        <w:t>不</w:t>
      </w:r>
      <w:proofErr w:type="gramEnd"/>
      <w:r>
        <w:rPr>
          <w:rFonts w:ascii="宋体" w:eastAsia="宋体" w:hAnsi="宋体" w:cs="宋体" w:hint="eastAsia"/>
          <w:sz w:val="24"/>
        </w:rPr>
        <w:t>投保则无法办理借款。</w:t>
      </w:r>
    </w:p>
    <w:p w14:paraId="370008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3.互联网业务中的保险公司、中介机构、第三方网络平台的角色定位边界不清晰、第三方网络平台经营主体与披露合作的第三方网络平台主体不一致，存在违规经营的风险。</w:t>
      </w:r>
    </w:p>
    <w:p w14:paraId="174199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4.线上理赔管理不到位，消费者线上申请保险理赔后无人回复且等待时间长，</w:t>
      </w:r>
      <w:r>
        <w:rPr>
          <w:rFonts w:ascii="宋体" w:eastAsia="宋体" w:hAnsi="宋体" w:cs="宋体" w:hint="eastAsia"/>
          <w:sz w:val="24"/>
        </w:rPr>
        <w:lastRenderedPageBreak/>
        <w:t>线上线下理赔服务衔接不到位。</w:t>
      </w:r>
    </w:p>
    <w:p w14:paraId="4AB3B8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5.通过第三方网络平台销售保险，发生争议纠纷时，销售平台和保险公司相互推诿、处理时效冗长。</w:t>
      </w:r>
    </w:p>
    <w:p w14:paraId="6BB18D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6.保险公司和保险中介机构未完整保存互联网保险销售过程中投保人投保信息、操作轨迹、操作时间，以及保险公司接收投保申请时间等内容。</w:t>
      </w:r>
    </w:p>
    <w:p w14:paraId="157E19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三、银行业和保险业部分共性问题和乱象（包括但不限于以下方面）</w:t>
      </w:r>
    </w:p>
    <w:p w14:paraId="21B17A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（一）非法利用政府公信力进行营销宣传。如银行保险机构及其从业人员利用网络、自媒体平台等故意曲解政策，甚至编造、传播虚假信息，误导消费者认为政府或监管部门对产品或服务提供保证。</w:t>
      </w:r>
    </w:p>
    <w:p w14:paraId="30AE0D8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（二）私自推介销售未经审批或备案的产品。</w:t>
      </w:r>
    </w:p>
    <w:p w14:paraId="204AC6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（三）销售金融产品未经消费者权益保护部门进行独立审查。</w:t>
      </w:r>
    </w:p>
    <w:p w14:paraId="6FB93B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客户信息安全保护不到位。消费者个人信息收集和使用不规范，目标客户联系方式等个人信息通过非法手段获取，未取得消费者明确授权的情况下，将其资料用于其他产品和服务的交叉销售或为关联第三方荐客，未经客户同意或无法定事由向第三方机构或个人提供消费者的姓名、证件类型及证件号码、电话号码、通信地址及其他敏感信息。</w:t>
      </w:r>
    </w:p>
    <w:p w14:paraId="301F26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（五）银行保险机构电话营销主动呼出存在盲呼扰民问题，或者未经客户同意即向消费者发送营销短信，干扰他人正常生活。在消费者明确表示拒绝接收营销电话或短信后，未按消费者需求进行名单调整。</w:t>
      </w:r>
    </w:p>
    <w:p w14:paraId="360592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（六）银行保险机构自行组织或通过第三方向消费者拨打电话或发送宣传短信中，内容存在误导、虚假内容，或提供不准确信息。</w:t>
      </w:r>
    </w:p>
    <w:p w14:paraId="0ED8F1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（七）绩效考核和激励机制不合理，导致消费者保护不到位。</w:t>
      </w:r>
    </w:p>
    <w:p w14:paraId="33C428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1.针对个别产品创设销售指标和定向激励，导致销售人员违背销售适当性原则，向客户过度营销或诱导销售某一类产品。</w:t>
      </w:r>
    </w:p>
    <w:p w14:paraId="074B94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2.银行保险机构工资制度中，绩效占员工总收入比例过高，刺激员工误导销</w:t>
      </w:r>
      <w:r>
        <w:rPr>
          <w:rFonts w:ascii="宋体" w:eastAsia="宋体" w:hAnsi="宋体" w:cs="宋体" w:hint="eastAsia"/>
          <w:sz w:val="24"/>
        </w:rPr>
        <w:lastRenderedPageBreak/>
        <w:t>售。</w:t>
      </w:r>
    </w:p>
    <w:p w14:paraId="799198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3.综合绩效考评体系中，</w:t>
      </w:r>
      <w:proofErr w:type="gramStart"/>
      <w:r>
        <w:rPr>
          <w:rFonts w:ascii="宋体" w:eastAsia="宋体" w:hAnsi="宋体" w:cs="宋体" w:hint="eastAsia"/>
          <w:sz w:val="24"/>
        </w:rPr>
        <w:t>消保内部考核占</w:t>
      </w:r>
      <w:proofErr w:type="gramEnd"/>
      <w:r>
        <w:rPr>
          <w:rFonts w:ascii="宋体" w:eastAsia="宋体" w:hAnsi="宋体" w:cs="宋体" w:hint="eastAsia"/>
          <w:sz w:val="24"/>
        </w:rPr>
        <w:t>比太低，对分支机构经营行为导向作用不强，难以激励分支机构落实消费者权益保护工作主体责任。</w:t>
      </w:r>
    </w:p>
    <w:p w14:paraId="61A22ED9" w14:textId="77777777" w:rsidR="00F50CD8" w:rsidRDefault="00000000">
      <w:pPr>
        <w:spacing w:afterLines="50" w:after="156" w:line="360" w:lineRule="auto"/>
        <w:ind w:firstLineChars="200" w:firstLine="482"/>
        <w:rPr>
          <w:rFonts w:ascii="宋体" w:eastAsia="宋体" w:hAnsi="宋体" w:cs="宋体" w:hint="eastAsia"/>
          <w:sz w:val="24"/>
        </w:rPr>
      </w:pPr>
      <w:r>
        <w:rPr>
          <w:rFonts w:ascii="宋体" w:eastAsia="宋体" w:hAnsi="宋体" w:cs="宋体" w:hint="eastAsia"/>
          <w:b/>
          <w:bCs/>
          <w:sz w:val="24"/>
        </w:rPr>
        <w:t>117.《加强中央企业内部控制体系建设与监督工作的实施意见》</w:t>
      </w:r>
      <w:r>
        <w:rPr>
          <w:rFonts w:ascii="宋体" w:eastAsia="宋体" w:hAnsi="宋体" w:cs="宋体" w:hint="eastAsia"/>
          <w:b/>
          <w:bCs/>
          <w:sz w:val="24"/>
        </w:rPr>
        <w:tab/>
      </w:r>
    </w:p>
    <w:p w14:paraId="25EC2F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发文机构：国务院国有资产监督管理委员会</w:t>
      </w:r>
      <w:r>
        <w:rPr>
          <w:rFonts w:ascii="宋体" w:eastAsia="宋体" w:hAnsi="宋体" w:cs="宋体" w:hint="eastAsia"/>
          <w:sz w:val="24"/>
        </w:rPr>
        <w:tab/>
      </w:r>
    </w:p>
    <w:p w14:paraId="70ECAD9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文号：国</w:t>
      </w:r>
      <w:proofErr w:type="gramStart"/>
      <w:r>
        <w:rPr>
          <w:rFonts w:ascii="宋体" w:eastAsia="宋体" w:hAnsi="宋体" w:cs="宋体" w:hint="eastAsia"/>
          <w:sz w:val="24"/>
        </w:rPr>
        <w:t>资发监督规</w:t>
      </w:r>
      <w:proofErr w:type="gramEnd"/>
      <w:r>
        <w:rPr>
          <w:rFonts w:ascii="宋体" w:eastAsia="宋体" w:hAnsi="宋体" w:cs="宋体" w:hint="eastAsia"/>
          <w:sz w:val="24"/>
        </w:rPr>
        <w:t>〔2019〕101号</w:t>
      </w:r>
    </w:p>
    <w:p w14:paraId="42CCAC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深入贯彻习近平新时代中国特色社会主义思想和党的十九大精神，认真落实党中央、国务院关于防范化解重大风险和推动高质量发展的决策部署，充分发挥内部控制（以下简称内控）体系对中央企业强基固本作用，进一步提升中央企业防范化解重大风险能力，加快培育具有全球竞争力的世界一流企业，根据《中共中央 国务院关于深化国有企业改革的指导意见》、《国务院关于印发改革国有资本授权经营体制方案的通知》、《国务院办公厅关于加强和改进企业国有资产监督防止国有资产流失的意见》，制定本实施意见。</w:t>
      </w:r>
    </w:p>
    <w:p w14:paraId="4104CC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一、建立健全内控体系，进一步提升管控效能</w:t>
      </w:r>
    </w:p>
    <w:p w14:paraId="70141F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（一）优化内控体系。建立健全以风险管理为导向、合</w:t>
      </w:r>
      <w:proofErr w:type="gramStart"/>
      <w:r>
        <w:rPr>
          <w:rFonts w:ascii="宋体" w:eastAsia="宋体" w:hAnsi="宋体" w:cs="宋体" w:hint="eastAsia"/>
          <w:sz w:val="24"/>
        </w:rPr>
        <w:t>规</w:t>
      </w:r>
      <w:proofErr w:type="gramEnd"/>
      <w:r>
        <w:rPr>
          <w:rFonts w:ascii="宋体" w:eastAsia="宋体" w:hAnsi="宋体" w:cs="宋体" w:hint="eastAsia"/>
          <w:sz w:val="24"/>
        </w:rPr>
        <w:t>管理监督为重点，严格、规范、全面、有效的内控体系。进一步树立和强化管理制度化、制度流程化、流程信息化的内控理念，通过“强监管、严问责”和加强信息化管理，严格落实各项规章制度，将风险管理和合</w:t>
      </w:r>
      <w:proofErr w:type="gramStart"/>
      <w:r>
        <w:rPr>
          <w:rFonts w:ascii="宋体" w:eastAsia="宋体" w:hAnsi="宋体" w:cs="宋体" w:hint="eastAsia"/>
          <w:sz w:val="24"/>
        </w:rPr>
        <w:t>规</w:t>
      </w:r>
      <w:proofErr w:type="gramEnd"/>
      <w:r>
        <w:rPr>
          <w:rFonts w:ascii="宋体" w:eastAsia="宋体" w:hAnsi="宋体" w:cs="宋体" w:hint="eastAsia"/>
          <w:sz w:val="24"/>
        </w:rPr>
        <w:t>管理要求嵌入业务流程，促使企业依法合</w:t>
      </w:r>
      <w:proofErr w:type="gramStart"/>
      <w:r>
        <w:rPr>
          <w:rFonts w:ascii="宋体" w:eastAsia="宋体" w:hAnsi="宋体" w:cs="宋体" w:hint="eastAsia"/>
          <w:sz w:val="24"/>
        </w:rPr>
        <w:t>规</w:t>
      </w:r>
      <w:proofErr w:type="gramEnd"/>
      <w:r>
        <w:rPr>
          <w:rFonts w:ascii="宋体" w:eastAsia="宋体" w:hAnsi="宋体" w:cs="宋体" w:hint="eastAsia"/>
          <w:sz w:val="24"/>
        </w:rPr>
        <w:t>开展各项经营活动，实现“强内控、防风险、促合</w:t>
      </w:r>
      <w:proofErr w:type="gramStart"/>
      <w:r>
        <w:rPr>
          <w:rFonts w:ascii="宋体" w:eastAsia="宋体" w:hAnsi="宋体" w:cs="宋体" w:hint="eastAsia"/>
          <w:sz w:val="24"/>
        </w:rPr>
        <w:t>规</w:t>
      </w:r>
      <w:proofErr w:type="gramEnd"/>
      <w:r>
        <w:rPr>
          <w:rFonts w:ascii="宋体" w:eastAsia="宋体" w:hAnsi="宋体" w:cs="宋体" w:hint="eastAsia"/>
          <w:sz w:val="24"/>
        </w:rPr>
        <w:t>”的管控目标，形成全面、全员、全过程、全体系的风险防控机制，切实全面提升内控体系有效性，加快实现高质量发展。</w:t>
      </w:r>
    </w:p>
    <w:p w14:paraId="4F15E8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（二）强化集团管控。进一步完善企业内部管</w:t>
      </w:r>
      <w:proofErr w:type="gramStart"/>
      <w:r>
        <w:rPr>
          <w:rFonts w:ascii="宋体" w:eastAsia="宋体" w:hAnsi="宋体" w:cs="宋体" w:hint="eastAsia"/>
          <w:sz w:val="24"/>
        </w:rPr>
        <w:t>控体制</w:t>
      </w:r>
      <w:proofErr w:type="gramEnd"/>
      <w:r>
        <w:rPr>
          <w:rFonts w:ascii="宋体" w:eastAsia="宋体" w:hAnsi="宋体" w:cs="宋体" w:hint="eastAsia"/>
          <w:sz w:val="24"/>
        </w:rPr>
        <w:t>机制，中央企业主要领导人员是内控体系监管工作第一责任人，负责组织领导建立健全覆盖各业务领域、部门、岗位，涵盖各级子企业全面有效的内控体系。中央企业应明确专门职能部门或机构统筹内控体系工作职责；落实各业务部门内控体系有效运行责任；企业审计部门要加强内控体系监督检查工作，准确揭示风险隐患和内控缺陷，进一步发挥查错纠弊作用，促进企业不断优化内控体系。</w:t>
      </w:r>
    </w:p>
    <w:p w14:paraId="168354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（三）完善管理制度。全面梳理内控、风险和合</w:t>
      </w:r>
      <w:proofErr w:type="gramStart"/>
      <w:r>
        <w:rPr>
          <w:rFonts w:ascii="宋体" w:eastAsia="宋体" w:hAnsi="宋体" w:cs="宋体" w:hint="eastAsia"/>
          <w:sz w:val="24"/>
        </w:rPr>
        <w:t>规</w:t>
      </w:r>
      <w:proofErr w:type="gramEnd"/>
      <w:r>
        <w:rPr>
          <w:rFonts w:ascii="宋体" w:eastAsia="宋体" w:hAnsi="宋体" w:cs="宋体" w:hint="eastAsia"/>
          <w:sz w:val="24"/>
        </w:rPr>
        <w:t>管理相关制度，及时将法律法规等外部监管要求转化为企业内部规章制度，持续完善企业内部管理制度体系。在具体业务制度的制定、审核和修订中嵌入统一的内控体系管控要求，明确重要业务领域和关键环节的控制要求和风险应对措施。将违规经营投资责任追究内容纳入企业内部管理制度中，强化制度执行刚性约束。</w:t>
      </w:r>
    </w:p>
    <w:p w14:paraId="475DD7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（四）健全监督评价体系。统筹推进内控、风险和合</w:t>
      </w:r>
      <w:proofErr w:type="gramStart"/>
      <w:r>
        <w:rPr>
          <w:rFonts w:ascii="宋体" w:eastAsia="宋体" w:hAnsi="宋体" w:cs="宋体" w:hint="eastAsia"/>
          <w:sz w:val="24"/>
        </w:rPr>
        <w:t>规</w:t>
      </w:r>
      <w:proofErr w:type="gramEnd"/>
      <w:r>
        <w:rPr>
          <w:rFonts w:ascii="宋体" w:eastAsia="宋体" w:hAnsi="宋体" w:cs="宋体" w:hint="eastAsia"/>
          <w:sz w:val="24"/>
        </w:rPr>
        <w:t>管理的监督评价工作，将风险、合</w:t>
      </w:r>
      <w:proofErr w:type="gramStart"/>
      <w:r>
        <w:rPr>
          <w:rFonts w:ascii="宋体" w:eastAsia="宋体" w:hAnsi="宋体" w:cs="宋体" w:hint="eastAsia"/>
          <w:sz w:val="24"/>
        </w:rPr>
        <w:t>规</w:t>
      </w:r>
      <w:proofErr w:type="gramEnd"/>
      <w:r>
        <w:rPr>
          <w:rFonts w:ascii="宋体" w:eastAsia="宋体" w:hAnsi="宋体" w:cs="宋体" w:hint="eastAsia"/>
          <w:sz w:val="24"/>
        </w:rPr>
        <w:t>管理制度建设及实施情况纳入内控体系监督评价范畴，制定定性与定量相结合的内控缺陷认定标准、风险评估标准和合</w:t>
      </w:r>
      <w:proofErr w:type="gramStart"/>
      <w:r>
        <w:rPr>
          <w:rFonts w:ascii="宋体" w:eastAsia="宋体" w:hAnsi="宋体" w:cs="宋体" w:hint="eastAsia"/>
          <w:sz w:val="24"/>
        </w:rPr>
        <w:t>规</w:t>
      </w:r>
      <w:proofErr w:type="gramEnd"/>
      <w:r>
        <w:rPr>
          <w:rFonts w:ascii="宋体" w:eastAsia="宋体" w:hAnsi="宋体" w:cs="宋体" w:hint="eastAsia"/>
          <w:sz w:val="24"/>
        </w:rPr>
        <w:t>评价标准，不断规范监督评价工作程序、标准和方式方法。</w:t>
      </w:r>
    </w:p>
    <w:p w14:paraId="7610B8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二、强化内控体系执行，提高重大风险防控能力</w:t>
      </w:r>
    </w:p>
    <w:p w14:paraId="7A8728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加强重点领域日常管控。聚焦关键业务、改革重点领域、国有资本运营重要环节以及境外国有资产监管，定期梳理分析相关内控体系执行情况，认真查找制度缺失或流程缺陷，及时研究制定改进措施，确保体系完整、全面控制、执行有效。要在投资并购、改革改制重组等重大经营事项决策前开展专项风险评估，并将风险评估报告（</w:t>
      </w:r>
      <w:proofErr w:type="gramStart"/>
      <w:r>
        <w:rPr>
          <w:rFonts w:ascii="宋体" w:eastAsia="宋体" w:hAnsi="宋体" w:cs="宋体" w:hint="eastAsia"/>
          <w:sz w:val="24"/>
        </w:rPr>
        <w:t>含风险</w:t>
      </w:r>
      <w:proofErr w:type="gramEnd"/>
      <w:r>
        <w:rPr>
          <w:rFonts w:ascii="宋体" w:eastAsia="宋体" w:hAnsi="宋体" w:cs="宋体" w:hint="eastAsia"/>
          <w:sz w:val="24"/>
        </w:rPr>
        <w:t>应对措施和处置预案）作为重大经营事项决策的必备支撑材料，对超出企业风险承受能力或风险应对措施不到位的决策事项不得组织实施。</w:t>
      </w:r>
    </w:p>
    <w:p w14:paraId="2E1CB7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加强重要岗位授权管理和权力制衡。不断深化内控体系管控与各项业务工作的有机结合，以保障各项经营业务规范有序开展。按照不相容职务分离控制、授权审批控制等内控体系管控要求，严格规范重要岗位和关键人员在授权、审批、执行、报告等方面的权责，实现可行性研究与决策审批、决策审批与执行、执行与监督检查等岗位职责的分离。不断优化完善管理要求，重点强化采购、销售、投资管理、资金管理和工程项目、产权（资产）交易流转等业务领域各岗位的职责权限和审批程序，形成相互衔接、相互制衡、相互监督的内控体系工作机制。</w:t>
      </w:r>
    </w:p>
    <w:p w14:paraId="1EC757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健全重大风险防控机制。积极采取措施强化企业防范化解重大风险全过程管控，加强经济运行动态、大宗商品价格以及资本市场指标变化监测，提高对经营环境变化、发展趋势的预判能力，同时结合内控体系监督评价工作中发现</w:t>
      </w:r>
      <w:r>
        <w:rPr>
          <w:rFonts w:ascii="宋体" w:eastAsia="宋体" w:hAnsi="宋体" w:cs="宋体" w:hint="eastAsia"/>
          <w:sz w:val="24"/>
        </w:rPr>
        <w:lastRenderedPageBreak/>
        <w:t>的经营管理缺陷和问题，综合评估企业内外部风险水平，有针对性地制定风险应对方案，并根据原有风险的变化情况及应对方案的执行效果，有效做好企业</w:t>
      </w:r>
      <w:proofErr w:type="gramStart"/>
      <w:r>
        <w:rPr>
          <w:rFonts w:ascii="宋体" w:eastAsia="宋体" w:hAnsi="宋体" w:cs="宋体" w:hint="eastAsia"/>
          <w:sz w:val="24"/>
        </w:rPr>
        <w:t>间风险</w:t>
      </w:r>
      <w:proofErr w:type="gramEnd"/>
      <w:r>
        <w:rPr>
          <w:rFonts w:ascii="宋体" w:eastAsia="宋体" w:hAnsi="宋体" w:cs="宋体" w:hint="eastAsia"/>
          <w:sz w:val="24"/>
        </w:rPr>
        <w:t>隔离，防止风险由“点”扩“面”，避免发生系统性、颠覆性重大经营风险。</w:t>
      </w:r>
    </w:p>
    <w:p w14:paraId="60695A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三、加强信息化管控，强化内控体系刚性约束</w:t>
      </w:r>
    </w:p>
    <w:p w14:paraId="44C6AC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（八）提升内控体系信息化水平。各中央企业要</w:t>
      </w:r>
      <w:proofErr w:type="gramStart"/>
      <w:r>
        <w:rPr>
          <w:rFonts w:ascii="宋体" w:eastAsia="宋体" w:hAnsi="宋体" w:cs="宋体" w:hint="eastAsia"/>
          <w:sz w:val="24"/>
        </w:rPr>
        <w:t>结合国</w:t>
      </w:r>
      <w:proofErr w:type="gramEnd"/>
      <w:r>
        <w:rPr>
          <w:rFonts w:ascii="宋体" w:eastAsia="宋体" w:hAnsi="宋体" w:cs="宋体" w:hint="eastAsia"/>
          <w:sz w:val="24"/>
        </w:rPr>
        <w:t>资监管信息化建设要求，加强内控信息化建设力度，进一步提升集团管控能力。内控体系建设部门要与业务部门、审计部门、信息化建设部门协同配合，推动企业“三重一大”、投资和项目管理、财务和资产、物资采购、全面风险管理、人力资源等集团管控信息系统的集成应用，逐步实现内控体系与业务信息系统互联互通、有机融合。要进一步梳理和规范业务系统的审批流程及各层级管理人员权限设置，将内控体系管控措施嵌入各类业务信息系统，确保自动识别并终止超越权限、逾越程序和审核材料不健全等行为，促使各项经营管理决策和执行活动可控制、可追溯、可检查，有效减少人为违规操纵因素。集团管控能力和信息化基础较好的企业要逐步探索利用大数据、云计算、人工智能等技术，实现内控体系实时监测、自动预警、监督评价等在线监管功能，进一步提升信息化和智能化水平。</w:t>
      </w:r>
    </w:p>
    <w:p w14:paraId="14C824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四、加大企业监督评价力度，促进内控体系持续优化</w:t>
      </w:r>
    </w:p>
    <w:p w14:paraId="5D2B0B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（九）全面实施企业自评。督促所属企业每年以规范流程、消除盲区、有效运行为重点，对内控体系的有效性进行全面自评，客观、真实、准确揭示经营管理中存在的内控缺陷、风险和合</w:t>
      </w:r>
      <w:proofErr w:type="gramStart"/>
      <w:r>
        <w:rPr>
          <w:rFonts w:ascii="宋体" w:eastAsia="宋体" w:hAnsi="宋体" w:cs="宋体" w:hint="eastAsia"/>
          <w:sz w:val="24"/>
        </w:rPr>
        <w:t>规</w:t>
      </w:r>
      <w:proofErr w:type="gramEnd"/>
      <w:r>
        <w:rPr>
          <w:rFonts w:ascii="宋体" w:eastAsia="宋体" w:hAnsi="宋体" w:cs="宋体" w:hint="eastAsia"/>
          <w:sz w:val="24"/>
        </w:rPr>
        <w:t>问题，形成自评报告，并经董事会或类似决策机构批准后按规定报送上级单位。</w:t>
      </w:r>
    </w:p>
    <w:p w14:paraId="575398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加强集团监督评价。要在子企业全面自评的基础上，制定年度监督评价方案，围绕重点业务、关键环节和重要岗位，组织对所属企业内控体系有效性进行监督评价，确保每3年覆盖全部子企业。要将海外资产纳入监督评价范围，重点对海外项目的重大决策、重大项目安排、大额资金运作以及</w:t>
      </w:r>
      <w:proofErr w:type="gramStart"/>
      <w:r>
        <w:rPr>
          <w:rFonts w:ascii="宋体" w:eastAsia="宋体" w:hAnsi="宋体" w:cs="宋体" w:hint="eastAsia"/>
          <w:sz w:val="24"/>
        </w:rPr>
        <w:t>境外子</w:t>
      </w:r>
      <w:proofErr w:type="gramEnd"/>
      <w:r>
        <w:rPr>
          <w:rFonts w:ascii="宋体" w:eastAsia="宋体" w:hAnsi="宋体" w:cs="宋体" w:hint="eastAsia"/>
          <w:sz w:val="24"/>
        </w:rPr>
        <w:t>企业公司治理等进行监督评价。</w:t>
      </w:r>
    </w:p>
    <w:p w14:paraId="3D1B1C8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（十一）强化外部审计监督。要根据监督评价工作结果，结合自身实际情况，充分发挥外部审计的专业性和独立性，委托外部审计机构对部分子企业内控体系</w:t>
      </w:r>
      <w:r>
        <w:rPr>
          <w:rFonts w:ascii="宋体" w:eastAsia="宋体" w:hAnsi="宋体" w:cs="宋体" w:hint="eastAsia"/>
          <w:sz w:val="24"/>
        </w:rPr>
        <w:lastRenderedPageBreak/>
        <w:t>有效性开展专项审计，并出具内控体系审计报告。内控体系监管不到位、风险事件和合</w:t>
      </w:r>
      <w:proofErr w:type="gramStart"/>
      <w:r>
        <w:rPr>
          <w:rFonts w:ascii="宋体" w:eastAsia="宋体" w:hAnsi="宋体" w:cs="宋体" w:hint="eastAsia"/>
          <w:sz w:val="24"/>
        </w:rPr>
        <w:t>规</w:t>
      </w:r>
      <w:proofErr w:type="gramEnd"/>
      <w:r>
        <w:rPr>
          <w:rFonts w:ascii="宋体" w:eastAsia="宋体" w:hAnsi="宋体" w:cs="宋体" w:hint="eastAsia"/>
          <w:sz w:val="24"/>
        </w:rPr>
        <w:t>问题频发的中央企业，必须聘请具有相应资质的社会中介机构进行审计评价，切实提升内控体系管控水平。</w:t>
      </w:r>
    </w:p>
    <w:p w14:paraId="5422A8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充分运用监督评价结果。要加大督促整改工作力度，指导所属企业明确整改责任部门、责任人和完成时限，对整改效果进行检查评价，按照内控体系一体化工作要求编制内控体系年度工作报告并及时报国资委，同时抄送企业纪委（纪检监察组）、组织人事部门等。指导所属企业建立健全与内控体系监督评价结果挂钩的考核机制，对内控制度不健全、内控体系执行不力、瞒报漏报谎报自评结果、整改落实不到位的单位或个人，应给予考核扣分、薪酬扣减或岗位调整等处理。</w:t>
      </w:r>
    </w:p>
    <w:p w14:paraId="50B89C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五、加强出资人监督，全面提升内控体系有效性</w:t>
      </w:r>
    </w:p>
    <w:p w14:paraId="554AE2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三）建立出资人监督检查工作机制。加强对中央企业国有资产监管政策制度执行情况的综合检查工作，建立内控体系定期抽查评价工作制度，每年组织专门力量对中央企业经营管理重要领域和关键环节开展内控体系有效性抽查评价，发现和堵塞管理漏洞，完善相关政策制度，并加大监督检查工作结果在各项国有资产监管及干部管理工作中的运用力度。</w:t>
      </w:r>
    </w:p>
    <w:p w14:paraId="34DE39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四）充分发挥企业内部监督力量。通过完善公司治理，健全相关制度，整合企业内部监督力量，发挥企业董事会或委派董事决策、审核和监督职责，有效利用企业监事会、内部审计、企业内部巡视巡察等监督检查工作成果，以及出资人监管和外部审计、纪检监察、巡视反馈问题情况，不断完善企业内控体系建设。</w:t>
      </w:r>
    </w:p>
    <w:p w14:paraId="4C56C0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五）强化整改落实工作。进一步强化对企业重大风险隐患和内控缺陷整改工作跟踪检查力度，将企业整改落实情况纳入每年内控体系抽查评价范围，完善对中央企业提示函和通报工作制度，对整改不力的印发提示函和通报，进一步落实整改责任，避免出现重复整改、形式整改等问题。</w:t>
      </w:r>
    </w:p>
    <w:p w14:paraId="372D0347"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（十六）加大责任追究力度。严格按照《中央企业违规经营投资责任追究实施办法（试行)》（国资委令第37号）等有关规定，及时发现并移交违规违纪违</w:t>
      </w:r>
      <w:r>
        <w:rPr>
          <w:rFonts w:ascii="宋体" w:eastAsia="宋体" w:hAnsi="宋体" w:cs="宋体" w:hint="eastAsia"/>
          <w:sz w:val="24"/>
        </w:rPr>
        <w:lastRenderedPageBreak/>
        <w:t>法经营投资问题线索，强化监督警示震慑作用。对中央企业存在重大风险隐患、内控缺陷和合</w:t>
      </w:r>
      <w:proofErr w:type="gramStart"/>
      <w:r>
        <w:rPr>
          <w:rFonts w:ascii="宋体" w:eastAsia="宋体" w:hAnsi="宋体" w:cs="宋体" w:hint="eastAsia"/>
          <w:sz w:val="24"/>
        </w:rPr>
        <w:t>规</w:t>
      </w:r>
      <w:proofErr w:type="gramEnd"/>
      <w:r>
        <w:rPr>
          <w:rFonts w:ascii="宋体" w:eastAsia="宋体" w:hAnsi="宋体" w:cs="宋体" w:hint="eastAsia"/>
          <w:sz w:val="24"/>
        </w:rPr>
        <w:t>管理等问题失察，或</w:t>
      </w:r>
      <w:proofErr w:type="gramStart"/>
      <w:r>
        <w:rPr>
          <w:rFonts w:ascii="宋体" w:eastAsia="宋体" w:hAnsi="宋体" w:cs="宋体" w:hint="eastAsia"/>
          <w:sz w:val="24"/>
        </w:rPr>
        <w:t>虽发现</w:t>
      </w:r>
      <w:proofErr w:type="gramEnd"/>
      <w:r>
        <w:rPr>
          <w:rFonts w:ascii="宋体" w:eastAsia="宋体" w:hAnsi="宋体" w:cs="宋体" w:hint="eastAsia"/>
          <w:sz w:val="24"/>
        </w:rPr>
        <w:t>但没有及时报告、处理，造成重大资产损失或其他严重不良后果的，要严肃追究企业集团的管控责任；对各级子企业未按规定履行内控体系建设职责、未执行或执行不力，以及瞒报、漏报、谎报或迟报重大风险及内控缺陷事件的，坚决追责问责，层层落实内控体系监督责任，有效防止国有资产流失。</w:t>
      </w:r>
    </w:p>
    <w:p w14:paraId="54E394DB" w14:textId="77777777" w:rsidR="00F50CD8" w:rsidRDefault="00000000">
      <w:pPr>
        <w:pStyle w:val="1"/>
        <w:spacing w:afterLines="50" w:after="156" w:line="360" w:lineRule="auto"/>
        <w:ind w:firstLineChars="200" w:firstLine="482"/>
        <w:rPr>
          <w:rFonts w:ascii="宋体" w:eastAsia="宋体" w:hAnsi="宋体" w:cs="宋体" w:hint="eastAsia"/>
          <w:bCs/>
          <w:szCs w:val="24"/>
        </w:rPr>
      </w:pPr>
      <w:r>
        <w:rPr>
          <w:rFonts w:ascii="宋体" w:eastAsia="宋体" w:hAnsi="宋体" w:cs="宋体" w:hint="eastAsia"/>
          <w:bCs/>
          <w:szCs w:val="24"/>
        </w:rPr>
        <w:lastRenderedPageBreak/>
        <w:t>118.最高人民法院关于适用中华人民共和国民法典侵权责任编的解释(</w:t>
      </w:r>
      <w:proofErr w:type="gramStart"/>
      <w:r>
        <w:rPr>
          <w:rFonts w:ascii="宋体" w:eastAsia="宋体" w:hAnsi="宋体" w:cs="宋体" w:hint="eastAsia"/>
          <w:bCs/>
          <w:szCs w:val="24"/>
        </w:rPr>
        <w:t>一</w:t>
      </w:r>
      <w:proofErr w:type="gramEnd"/>
      <w:r>
        <w:rPr>
          <w:rFonts w:ascii="宋体" w:eastAsia="宋体" w:hAnsi="宋体" w:cs="宋体" w:hint="eastAsia"/>
          <w:bCs/>
          <w:szCs w:val="24"/>
        </w:rPr>
        <w:t>)</w:t>
      </w:r>
    </w:p>
    <w:p w14:paraId="39D27C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发文机构：最高人民法院</w:t>
      </w:r>
      <w:r>
        <w:rPr>
          <w:rFonts w:ascii="宋体" w:eastAsia="宋体" w:hAnsi="宋体" w:cs="宋体" w:hint="eastAsia"/>
          <w:sz w:val="24"/>
        </w:rPr>
        <w:tab/>
      </w:r>
    </w:p>
    <w:p w14:paraId="5AF117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文号：法释〔2024〕12号</w:t>
      </w:r>
    </w:p>
    <w:p w14:paraId="6E28A3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（2023年12月18日最高人民法院审判委员会第1909次会议通过，自2024年9月27日起施行）</w:t>
      </w:r>
    </w:p>
    <w:p w14:paraId="28105B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为正确审理侵权责任纠纷案件，根据《中华人民共和国民法典》、《中华人民共和国民事诉讼法》等法律规定，结合审判实践，制定本解释。</w:t>
      </w:r>
    </w:p>
    <w:p w14:paraId="16824FDA"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第一条  非法使被监护人脱离监护，监护人请求赔偿为恢复监护状态而支出的合理费用等财产损失的，人民法院应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203E2C46"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第二条  非法使被监护人脱离监护，导致父母子女关系或者其他近亲属关系受到严重损害的，应当认定为民法典第一千一百八十三条第一款规定的严重精神损害。</w:t>
      </w:r>
    </w:p>
    <w:p w14:paraId="0C353740"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第三条  非法使被监护人脱离监护，被监护人在脱离监护期间死亡，作为近亲属的监护人既请求赔偿人身损害，又请求赔偿监护关系受侵害产生的损失的，人民法院依法予以支持。</w:t>
      </w:r>
    </w:p>
    <w:p w14:paraId="7095401A"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第四条  无民事行为能力人、限制民事行为能力人造成他人损害，被侵权人请求监护人承担侵权责任，或者合并请求监护人和受托履行监护职责的人承担侵权责任的，人民法院应当将无民事行为能力人、限制民事行为能力人列为共同被告。</w:t>
      </w:r>
    </w:p>
    <w:p w14:paraId="28C92BF1"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第五条  无民事行为能力人、限制民事行为能力人造成他人损害，被侵权人请求监护人承担侵权人应承担的全部责任的，人民法院应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持，并在判决中明确，赔偿费用可以先从被监护人财产中支付，不足部分由监护人支付。</w:t>
      </w:r>
    </w:p>
    <w:p w14:paraId="48A79830"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监护人抗辩主张承担补充责任，或者被侵权人、监护人主张人民法院判令有财产的无民事行为能力人、限制民事行为能力人承担赔偿责任的，人民法院不予支持。</w:t>
      </w:r>
    </w:p>
    <w:p w14:paraId="608648E5"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从被监护人财产中支付赔偿费用的，应当保留被监护人所必需的生活费和完</w:t>
      </w:r>
      <w:r>
        <w:rPr>
          <w:rFonts w:ascii="宋体" w:eastAsia="宋体" w:hAnsi="宋体" w:cs="宋体" w:hint="eastAsia"/>
          <w:sz w:val="24"/>
        </w:rPr>
        <w:lastRenderedPageBreak/>
        <w:t>成义务教育所必需的费用。</w:t>
      </w:r>
    </w:p>
    <w:p w14:paraId="1AA762C5"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第六条  行为人在侵权行为发生时不满十八周岁，被诉时已满十八周岁的，被侵权人请求原监护人承担侵权人应承担的全部责任的，人民法院应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持，并在判决中明确，赔偿费用可以先从被监护人财产中支付，不足部分由监护人支付。</w:t>
      </w:r>
    </w:p>
    <w:p w14:paraId="2284D06C"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前款规定情形，被侵权人仅起诉行为人的，人民法院应当向原告释明申请追加原监护人为共同被告。</w:t>
      </w:r>
    </w:p>
    <w:p w14:paraId="5C3C8331"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第七条  未成年子女造成他人损害，被侵权人请求父母共同承担侵权责任的，人民法院依照民法典第二十七条第一款、第一千零六十八条以及第一千一百八十八条的规定予以支持。</w:t>
      </w:r>
    </w:p>
    <w:p w14:paraId="1881E557"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第八条  夫妻离婚后，未成年子女造成他人损害，被侵权人请求离异夫妻共同承担侵权责任的，人民法院依照民法典第一千零六十八条、第一千零八十四条以及第一千一百八十八条的规定予以支持。一方以未与该子女共同生活为由主张不承担或者</w:t>
      </w:r>
      <w:proofErr w:type="gramStart"/>
      <w:r>
        <w:rPr>
          <w:rFonts w:ascii="宋体" w:eastAsia="宋体" w:hAnsi="宋体" w:cs="宋体" w:hint="eastAsia"/>
          <w:sz w:val="24"/>
        </w:rPr>
        <w:t>少承担</w:t>
      </w:r>
      <w:proofErr w:type="gramEnd"/>
      <w:r>
        <w:rPr>
          <w:rFonts w:ascii="宋体" w:eastAsia="宋体" w:hAnsi="宋体" w:cs="宋体" w:hint="eastAsia"/>
          <w:sz w:val="24"/>
        </w:rPr>
        <w:t>责任的，人民法院不予支持。</w:t>
      </w:r>
    </w:p>
    <w:p w14:paraId="4A47FBB8"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离异夫妻之间的责任份额，可以由双方协议确定；协议不成的，人民法院可以根据双方履行监护职责的约定和实际履行情况等确定。实际承担责任超过自己责任份额的</w:t>
      </w:r>
      <w:proofErr w:type="gramStart"/>
      <w:r>
        <w:rPr>
          <w:rFonts w:ascii="宋体" w:eastAsia="宋体" w:hAnsi="宋体" w:cs="宋体" w:hint="eastAsia"/>
          <w:sz w:val="24"/>
        </w:rPr>
        <w:t>一</w:t>
      </w:r>
      <w:proofErr w:type="gramEnd"/>
      <w:r>
        <w:rPr>
          <w:rFonts w:ascii="宋体" w:eastAsia="宋体" w:hAnsi="宋体" w:cs="宋体" w:hint="eastAsia"/>
          <w:sz w:val="24"/>
        </w:rPr>
        <w:t>方向另一方追偿的，人民法院应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469095C3"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第九条  未成年子女造成他人损害的，依照民法典第一千零七十二条第二款的规定，未与该子女形成抚养教育关系的继父或者继母不承担监护人的侵权责任，由该子女的生父母依照本解释第八条的规定承担侵权责任。</w:t>
      </w:r>
    </w:p>
    <w:p w14:paraId="33CE4477"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第十条  无民事行为能力人、限制民事行为能力人造成他人损害，被侵权人合并请求监护人和受托履行监护职责的人承担侵权责任的，依照民法典第一千一百八十九条的规定，监护人承担侵权人应承担的全部责任；受托人在过错范围内与监护人共同承担责任，但责任主体实际支付的赔偿费用总和不应超出被侵权人应受偿的损失数额。</w:t>
      </w:r>
    </w:p>
    <w:p w14:paraId="0B254EEB"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监护人承担责任后向受托人追偿的，人民法院可以参照民法典第九百二十九条的规定处理。</w:t>
      </w:r>
    </w:p>
    <w:p w14:paraId="31513E00"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lastRenderedPageBreak/>
        <w:t xml:space="preserve">　　仅有一般过失的无偿受托人承担责任后向监护人追偿的，人民法院应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14C45B6C"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第十一条  教唆、帮助无民事行为能力人、限制民事行为能力人实施侵权行为，教唆人、帮助人以其不知道且不应当知道行为人为无民事行为能力人、限制民事行为能力人为由，主张不承担侵权责任或者与行为人的监护人承担连带责任的，人民法院不予支持。</w:t>
      </w:r>
    </w:p>
    <w:p w14:paraId="4BF3F468"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第十二条  教唆、帮助无民事行为能力人、限制民事行为能力人实施侵权行为，被侵权人合并请求教唆人、帮助人以及监护人承担侵权责任的，依照民法典第一千一百六十九条第二款的规定，教唆人、帮助人承担侵权人应承担的全部责任；监护人在未尽到监护职责的范围内与教唆人、帮助人共同承担责任，但责任主体实际支付的赔偿费用总和不应超出被侵权人应受偿的损失数额。</w:t>
      </w:r>
    </w:p>
    <w:p w14:paraId="68F42022"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监护人先行支付赔偿费用后，就超过自己相应责任的部分向教唆人、帮助人追偿的，人民法院应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788196D5"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第十三条  教唆、帮助无民事行为能力人、限制民事行为能力人实施侵权行为，被侵权人合并请求教唆人、帮助人与监护人以及受托履行监护职责的人承担侵权责任的，依照本解释第十条、第十二条的规定认定民事责任。</w:t>
      </w:r>
    </w:p>
    <w:p w14:paraId="1E846B75"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第十四条  无民事行为能力人或者限制民事行为能力人在幼儿园、学校或者其他教育机构学习、生活期间，受到教育机构以外的第三人人身损害，第三人、教育机构作为共同被告且依法应承担侵权责任的，人民法院应当在判决中明确，教育机构在人民法院就第三人的财产依法强制执行后仍不能履行的范围内，承担与其过错相应的补充责任。</w:t>
      </w:r>
    </w:p>
    <w:p w14:paraId="591B2791"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被侵权人仅起诉教育机构的，人民法院应当向原告释明申请追加实施侵权行为的第三人为共同被告。</w:t>
      </w:r>
    </w:p>
    <w:p w14:paraId="01C9CB22"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第三人不确定的，未尽到管理职责的教育机构先行承担与其过错相应的责任；教育机构承担责任后向已经确定的第三人追偿的，人民法院依照民法典第一千二百零一条的规定予以支持。</w:t>
      </w:r>
    </w:p>
    <w:p w14:paraId="35828895"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第十五条  与用人单位形成劳动关系的工作人员、执行用人单位工作任务的其他人员，因执行工作任务造成他人损害，被侵权人依照民法典第一千一百九</w:t>
      </w:r>
      <w:r>
        <w:rPr>
          <w:rFonts w:ascii="宋体" w:eastAsia="宋体" w:hAnsi="宋体" w:cs="宋体" w:hint="eastAsia"/>
          <w:sz w:val="24"/>
        </w:rPr>
        <w:lastRenderedPageBreak/>
        <w:t>十一条第一款的规定，请求用人单位承担侵权责任的，人民法院应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6BBE7C91"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个体工商户的从业人员因执行工作任务造成他人损害的，适用民法典第一千一百九十一条第一款的规定认定民事责任。</w:t>
      </w:r>
    </w:p>
    <w:p w14:paraId="05BDBF9D"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第十六条  劳务派遣期间，被派遣的工作人员因执行工作任务造成他人损害，被侵权人合并请求劳务派遣单位与接受劳务派遣的用工单位承担侵权责任的，依照民法典第一千一百九十一条第二款的规定，接受劳务派遣的用工单位承担侵权人应承担的全部责任；劳务派遣单位在不当选派工作人员、未依法履行培训义务等过错范围内，与接受劳务派遣的用工单位共同承担责任，但责任主体实际支付的赔偿费用总和不应超出被侵权人应受偿的损失数额。</w:t>
      </w:r>
    </w:p>
    <w:p w14:paraId="5B6CA41A"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劳务派遣单位先行支付赔偿费用后，就超过自己相应责任的部分向接受劳务派遣的用工单位追偿的，人民法院应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持，但双方另有约定的除外。</w:t>
      </w:r>
    </w:p>
    <w:p w14:paraId="71E070E1"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第十七条  工作人员在执行工作任务中实施的违法行为造成他人损害，构成自然人犯罪的，工作人员承担刑事责任不影响用人单位依法承担民事责任。依照民法典第一千一百九十一条规定用人单位应当承担侵权责任的，在刑事案件中已完成的追缴、退赔可以在民事判决书中明确并扣减，也可以在执行程序中予以扣减。</w:t>
      </w:r>
    </w:p>
    <w:p w14:paraId="4A57561B"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第十八条  承揽人在完成工作过程中造成第三人损害的，人民法院依照民法典第一千一百六十五条的规定认定承揽人的民事责任。</w:t>
      </w:r>
    </w:p>
    <w:p w14:paraId="138F3915"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被侵权人合并请求</w:t>
      </w:r>
      <w:proofErr w:type="gramStart"/>
      <w:r>
        <w:rPr>
          <w:rFonts w:ascii="宋体" w:eastAsia="宋体" w:hAnsi="宋体" w:cs="宋体" w:hint="eastAsia"/>
          <w:sz w:val="24"/>
        </w:rPr>
        <w:t>定作</w:t>
      </w:r>
      <w:proofErr w:type="gramEnd"/>
      <w:r>
        <w:rPr>
          <w:rFonts w:ascii="宋体" w:eastAsia="宋体" w:hAnsi="宋体" w:cs="宋体" w:hint="eastAsia"/>
          <w:sz w:val="24"/>
        </w:rPr>
        <w:t>人和承揽人承担侵权责任的，依照民法典第一千一百六十五条、第一千一百九十三条的规定，造成损害的承揽人承担侵权人应承担的全部责任；</w:t>
      </w:r>
      <w:proofErr w:type="gramStart"/>
      <w:r>
        <w:rPr>
          <w:rFonts w:ascii="宋体" w:eastAsia="宋体" w:hAnsi="宋体" w:cs="宋体" w:hint="eastAsia"/>
          <w:sz w:val="24"/>
        </w:rPr>
        <w:t>定作</w:t>
      </w:r>
      <w:proofErr w:type="gramEnd"/>
      <w:r>
        <w:rPr>
          <w:rFonts w:ascii="宋体" w:eastAsia="宋体" w:hAnsi="宋体" w:cs="宋体" w:hint="eastAsia"/>
          <w:sz w:val="24"/>
        </w:rPr>
        <w:t>人在</w:t>
      </w:r>
      <w:proofErr w:type="gramStart"/>
      <w:r>
        <w:rPr>
          <w:rFonts w:ascii="宋体" w:eastAsia="宋体" w:hAnsi="宋体" w:cs="宋体" w:hint="eastAsia"/>
          <w:sz w:val="24"/>
        </w:rPr>
        <w:t>定作</w:t>
      </w:r>
      <w:proofErr w:type="gramEnd"/>
      <w:r>
        <w:rPr>
          <w:rFonts w:ascii="宋体" w:eastAsia="宋体" w:hAnsi="宋体" w:cs="宋体" w:hint="eastAsia"/>
          <w:sz w:val="24"/>
        </w:rPr>
        <w:t>、指示或者选任过错范围内与承揽人共同承担责任，但责任主体实际支付的赔偿费用总和不应超出被侵权人应受偿的损失数额。</w:t>
      </w:r>
    </w:p>
    <w:p w14:paraId="788D83FC"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w:t>
      </w:r>
      <w:proofErr w:type="gramStart"/>
      <w:r>
        <w:rPr>
          <w:rFonts w:ascii="宋体" w:eastAsia="宋体" w:hAnsi="宋体" w:cs="宋体" w:hint="eastAsia"/>
          <w:sz w:val="24"/>
        </w:rPr>
        <w:t>定作</w:t>
      </w:r>
      <w:proofErr w:type="gramEnd"/>
      <w:r>
        <w:rPr>
          <w:rFonts w:ascii="宋体" w:eastAsia="宋体" w:hAnsi="宋体" w:cs="宋体" w:hint="eastAsia"/>
          <w:sz w:val="24"/>
        </w:rPr>
        <w:t>人先行支付赔偿费用后，就超过自己相应责任的部分向承揽人追偿的，人民法院应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持，但双方另有约定的除外。</w:t>
      </w:r>
    </w:p>
    <w:p w14:paraId="680D64F0"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第十九条  因产品存在缺陷造成买受人财产损害，买受人请求产品的生产者或者销售者赔偿缺陷产品本身损害以及其他财产损害的，人民法院依照民法典第一千二百零二条、第一千二百零三条的规定予以支持。</w:t>
      </w:r>
    </w:p>
    <w:p w14:paraId="64E637E8"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lastRenderedPageBreak/>
        <w:t xml:space="preserve">　　第二十条  以买卖或者其他方式转让拼装或者已经达到报废标准的机动车，发生交通事故造成损害，转让人、受让人以其不知道且不应当知道该机动车系拼装或者已经达到报废标准为由，主张不承担侵权责任的，人民法院不予支持。</w:t>
      </w:r>
    </w:p>
    <w:p w14:paraId="6EFBAE9F"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第二十一条  未依法投保强制保险的机动车发生交通事故造成损害，投保义务人和交通事故责任人不是同一人，被侵权人合并请求投保义务人和交通事故责任人承担侵权责任的，交通事故责任人承担侵权人应承担的全部责任；投保义务人在机动车强制保险责任限额范围内与交通事故责任人共同承担责任,但责任主体实际支付的赔偿费用总和不应超出被侵权人应受偿的损失数额。</w:t>
      </w:r>
    </w:p>
    <w:p w14:paraId="486706D1"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投保义务人先行支付赔偿费用后，就超出机动车强制保险责任限额范围部分向交通事故责任人追偿的，人民法院应</w:t>
      </w:r>
      <w:proofErr w:type="gramStart"/>
      <w:r>
        <w:rPr>
          <w:rFonts w:ascii="宋体" w:eastAsia="宋体" w:hAnsi="宋体" w:cs="宋体" w:hint="eastAsia"/>
          <w:sz w:val="24"/>
        </w:rPr>
        <w:t>予支</w:t>
      </w:r>
      <w:proofErr w:type="gramEnd"/>
      <w:r>
        <w:rPr>
          <w:rFonts w:ascii="宋体" w:eastAsia="宋体" w:hAnsi="宋体" w:cs="宋体" w:hint="eastAsia"/>
          <w:sz w:val="24"/>
        </w:rPr>
        <w:t>持。</w:t>
      </w:r>
    </w:p>
    <w:p w14:paraId="337D5FE9"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第二十二条  机动车驾驶人离开本车后，因未采取制动措施等自身过错受到本车碰撞、碾压造成损害，机动车驾驶人请求承保本车机动车强制保险的保险人在强制保险责任限额范围内，以及承保本车机动车商业第三者责任保险的保险人按照保险合同的约定赔偿的，人民法院不予支持，但可以依据机动车车上人员责任保险的有关约定支持相应的赔偿请求。</w:t>
      </w:r>
    </w:p>
    <w:p w14:paraId="6BD53B45"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第二十三条  禁止饲养的烈性犬等危险动物造成他人损害，动物饲养人或者管理人主张不承担责任或者减轻责任的，人民法院不予支持。</w:t>
      </w:r>
    </w:p>
    <w:p w14:paraId="6E4FA6CC"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第二十四条  物业服务企业等建筑物管理人未采取必要的安全保障措施防止从建筑物中抛掷物品或者从建筑物上坠落的物品造成他人损害，具体侵权人、物业服务企业等建筑物管理人作为共同被告的，人民法院应当依照民法典第一千一百九十八条第二款、第一千二百五十四条的规定，在判决中明确，未采取必要安全保障措施的物业服务企业等建筑物管理人在人民法院就具体侵权人的财产依法强制执行后仍不能履行的范围内，承担与其过错相应的补充责任。</w:t>
      </w:r>
    </w:p>
    <w:p w14:paraId="00BECD22"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第二十五条  物业服务企业等建筑物管理人未采取必要的安全保障措施防止从建筑物中抛掷物品或者从建筑物上坠落的物品造成他人损害，经公安等机关调查，在民事案件一审法庭辩论终结前仍难以确定具体侵权人的，未采取必要安全保障措施的物业服务企业等建筑物管理人承担与其过错相应的责任。被侵权人</w:t>
      </w:r>
      <w:r>
        <w:rPr>
          <w:rFonts w:ascii="宋体" w:eastAsia="宋体" w:hAnsi="宋体" w:cs="宋体" w:hint="eastAsia"/>
          <w:sz w:val="24"/>
        </w:rPr>
        <w:lastRenderedPageBreak/>
        <w:t>其余部分的损害，</w:t>
      </w:r>
      <w:proofErr w:type="gramStart"/>
      <w:r>
        <w:rPr>
          <w:rFonts w:ascii="宋体" w:eastAsia="宋体" w:hAnsi="宋体" w:cs="宋体" w:hint="eastAsia"/>
          <w:sz w:val="24"/>
        </w:rPr>
        <w:t>由可能</w:t>
      </w:r>
      <w:proofErr w:type="gramEnd"/>
      <w:r>
        <w:rPr>
          <w:rFonts w:ascii="宋体" w:eastAsia="宋体" w:hAnsi="宋体" w:cs="宋体" w:hint="eastAsia"/>
          <w:sz w:val="24"/>
        </w:rPr>
        <w:t>加害的建筑物使用人给予适当补偿。</w:t>
      </w:r>
    </w:p>
    <w:p w14:paraId="32D04FEB"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具体侵权人确定后，已经承担责任的物业服务企业等建筑物管理人、可能加害的建筑物使用人向具体侵权人追偿的，人民法院依照民法典第一千一百九十八条第二款、第一千二百五十四条第一款的规定予以支持。</w:t>
      </w:r>
    </w:p>
    <w:p w14:paraId="7C96B78C"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第二十六条  本</w:t>
      </w:r>
      <w:proofErr w:type="gramStart"/>
      <w:r>
        <w:rPr>
          <w:rFonts w:ascii="宋体" w:eastAsia="宋体" w:hAnsi="宋体" w:cs="宋体" w:hint="eastAsia"/>
          <w:sz w:val="24"/>
        </w:rPr>
        <w:t>解释自</w:t>
      </w:r>
      <w:proofErr w:type="gramEnd"/>
      <w:r>
        <w:rPr>
          <w:rFonts w:ascii="宋体" w:eastAsia="宋体" w:hAnsi="宋体" w:cs="宋体" w:hint="eastAsia"/>
          <w:sz w:val="24"/>
        </w:rPr>
        <w:t>2024年9月27日起施行。</w:t>
      </w:r>
    </w:p>
    <w:p w14:paraId="3D0C5EA6"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 xml:space="preserve">　　本解释施行后，人民法院尚未审结的一审、二审案件适用本解释。本解释施行前已经终审，当事人申请再审或者按照审判监督程序决定再审的，适用当时的法律、司法解释规定。</w:t>
      </w:r>
    </w:p>
    <w:p w14:paraId="1E97CE03" w14:textId="77777777" w:rsidR="00F50CD8" w:rsidRDefault="00F50CD8">
      <w:pPr>
        <w:spacing w:afterLines="50" w:after="156" w:line="360" w:lineRule="auto"/>
        <w:rPr>
          <w:rFonts w:ascii="宋体" w:eastAsia="宋体" w:hAnsi="宋体" w:cs="宋体" w:hint="eastAsia"/>
          <w:sz w:val="24"/>
        </w:rPr>
      </w:pPr>
    </w:p>
    <w:p w14:paraId="40C71C69"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tab/>
      </w:r>
      <w:r>
        <w:rPr>
          <w:rFonts w:ascii="宋体" w:eastAsia="宋体" w:hAnsi="宋体" w:cs="宋体" w:hint="eastAsia"/>
          <w:sz w:val="24"/>
        </w:rPr>
        <w:tab/>
      </w:r>
    </w:p>
    <w:p w14:paraId="3199C163" w14:textId="77777777" w:rsidR="00F50CD8" w:rsidRDefault="00000000">
      <w:pPr>
        <w:spacing w:afterLines="50" w:after="156" w:line="360" w:lineRule="auto"/>
        <w:rPr>
          <w:rFonts w:ascii="宋体" w:eastAsia="宋体" w:hAnsi="宋体" w:cs="宋体" w:hint="eastAsia"/>
          <w:sz w:val="24"/>
        </w:rPr>
      </w:pPr>
      <w:r>
        <w:rPr>
          <w:rFonts w:ascii="宋体" w:eastAsia="宋体" w:hAnsi="宋体" w:cs="宋体" w:hint="eastAsia"/>
          <w:sz w:val="24"/>
        </w:rPr>
        <w:br w:type="page"/>
      </w:r>
    </w:p>
    <w:p w14:paraId="729CB340"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119.《中国银保监会关于开展银行业保险业市场乱象整治“回头看”工作的通知》</w:t>
      </w:r>
    </w:p>
    <w:p w14:paraId="009598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发文机构：中国银行保险监督管理委员会(已撤销) </w:t>
      </w:r>
    </w:p>
    <w:p w14:paraId="060C63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文号：银保监发〔2020〕27号</w:t>
      </w:r>
      <w:r>
        <w:rPr>
          <w:rFonts w:ascii="宋体" w:eastAsia="宋体" w:hAnsi="宋体" w:cs="宋体" w:hint="eastAsia"/>
          <w:sz w:val="24"/>
        </w:rPr>
        <w:tab/>
      </w:r>
    </w:p>
    <w:p w14:paraId="2464365B"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各银保</w:t>
      </w:r>
      <w:proofErr w:type="gramEnd"/>
      <w:r>
        <w:rPr>
          <w:rFonts w:ascii="宋体" w:eastAsia="宋体" w:hAnsi="宋体" w:cs="宋体" w:hint="eastAsia"/>
          <w:sz w:val="24"/>
        </w:rPr>
        <w:t>监局，机关各部门，各政策性银行、大型银行、股份制银行，外资银行，金融资产管理公司，各保险集团（控股）公司、保险公司、保险资产管理公司：</w:t>
      </w:r>
    </w:p>
    <w:p w14:paraId="3385F9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近几年全国银行业保险业市场乱象整治工作取得了明显成效，经营管理乱象得到有效遏制，资金</w:t>
      </w:r>
      <w:proofErr w:type="gramStart"/>
      <w:r>
        <w:rPr>
          <w:rFonts w:ascii="宋体" w:eastAsia="宋体" w:hAnsi="宋体" w:cs="宋体" w:hint="eastAsia"/>
          <w:sz w:val="24"/>
        </w:rPr>
        <w:t>脱实向虚问题</w:t>
      </w:r>
      <w:proofErr w:type="gramEnd"/>
      <w:r>
        <w:rPr>
          <w:rFonts w:ascii="宋体" w:eastAsia="宋体" w:hAnsi="宋体" w:cs="宋体" w:hint="eastAsia"/>
          <w:sz w:val="24"/>
        </w:rPr>
        <w:t>得到有力纠正，银行业保险业回归本源、合</w:t>
      </w:r>
      <w:proofErr w:type="gramStart"/>
      <w:r>
        <w:rPr>
          <w:rFonts w:ascii="宋体" w:eastAsia="宋体" w:hAnsi="宋体" w:cs="宋体" w:hint="eastAsia"/>
          <w:sz w:val="24"/>
        </w:rPr>
        <w:t>规</w:t>
      </w:r>
      <w:proofErr w:type="gramEnd"/>
      <w:r>
        <w:rPr>
          <w:rFonts w:ascii="宋体" w:eastAsia="宋体" w:hAnsi="宋体" w:cs="宋体" w:hint="eastAsia"/>
          <w:sz w:val="24"/>
        </w:rPr>
        <w:t>审慎运行态势基本形成并有效稳固。但一些银行保险机构公司治理仍不健全，风险管理仍然薄弱，部分领域问题屡查屡犯、屡禁不止，重大案件和风险事件时有发生。为巩固拓展乱象整治成果，坚决打赢防范化解金融风险攻坚战，银保监会决定组织开展银行业保险业市场乱象整治工作“回头看”。现就有关事项通知如下：</w:t>
      </w:r>
    </w:p>
    <w:p w14:paraId="35BF16F7"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一</w:t>
      </w:r>
      <w:proofErr w:type="gramEnd"/>
      <w:r>
        <w:rPr>
          <w:rFonts w:ascii="宋体" w:eastAsia="宋体" w:hAnsi="宋体" w:cs="宋体" w:hint="eastAsia"/>
          <w:sz w:val="24"/>
        </w:rPr>
        <w:t> 、目标任务</w:t>
      </w:r>
    </w:p>
    <w:p w14:paraId="7EE0D8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坚持以习近平新时代中国特色社会主义思想为指导，全面贯彻党的十九大和十九届二中、三中、四中全会以及中央经济工作会议精神，严格落实“六稳”和“六保”要求，以党的政治建设为统领，以依法严查严处为导向，防止乱象反弹回潮，推动金融支持疫情防控和产业链协同复工复产等各项政策落到实处。通过持续集中整治，实现屡查屡犯的违法违规行为明显减少，内控合</w:t>
      </w:r>
      <w:proofErr w:type="gramStart"/>
      <w:r>
        <w:rPr>
          <w:rFonts w:ascii="宋体" w:eastAsia="宋体" w:hAnsi="宋体" w:cs="宋体" w:hint="eastAsia"/>
          <w:sz w:val="24"/>
        </w:rPr>
        <w:t>规</w:t>
      </w:r>
      <w:proofErr w:type="gramEnd"/>
      <w:r>
        <w:rPr>
          <w:rFonts w:ascii="宋体" w:eastAsia="宋体" w:hAnsi="宋体" w:cs="宋体" w:hint="eastAsia"/>
          <w:sz w:val="24"/>
        </w:rPr>
        <w:t>长效机制建设明显进步，金融服务实体经济质效明显提升。</w:t>
      </w:r>
    </w:p>
    <w:p w14:paraId="12E596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、主要内容</w:t>
      </w:r>
    </w:p>
    <w:p w14:paraId="0CD43F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w:t>
      </w:r>
      <w:proofErr w:type="gramStart"/>
      <w:r>
        <w:rPr>
          <w:rFonts w:ascii="宋体" w:eastAsia="宋体" w:hAnsi="宋体" w:cs="宋体" w:hint="eastAsia"/>
          <w:sz w:val="24"/>
        </w:rPr>
        <w:t>看主体</w:t>
      </w:r>
      <w:proofErr w:type="gramEnd"/>
      <w:r>
        <w:rPr>
          <w:rFonts w:ascii="宋体" w:eastAsia="宋体" w:hAnsi="宋体" w:cs="宋体" w:hint="eastAsia"/>
          <w:sz w:val="24"/>
        </w:rPr>
        <w:t>责任是否落实到位。各银行保险机构要切实承担乱象整治和内控合</w:t>
      </w:r>
      <w:proofErr w:type="gramStart"/>
      <w:r>
        <w:rPr>
          <w:rFonts w:ascii="宋体" w:eastAsia="宋体" w:hAnsi="宋体" w:cs="宋体" w:hint="eastAsia"/>
          <w:sz w:val="24"/>
        </w:rPr>
        <w:t>规</w:t>
      </w:r>
      <w:proofErr w:type="gramEnd"/>
      <w:r>
        <w:rPr>
          <w:rFonts w:ascii="宋体" w:eastAsia="宋体" w:hAnsi="宋体" w:cs="宋体" w:hint="eastAsia"/>
          <w:sz w:val="24"/>
        </w:rPr>
        <w:t>建设的主体责任，“两会一层”严格履职尽职，做到深自查、真整改、严问责，将问题隐患整治到位。要注重标本兼治，把治理金融乱象与培育稳健的风险文化深度融合，有效提升依法合</w:t>
      </w:r>
      <w:proofErr w:type="gramStart"/>
      <w:r>
        <w:rPr>
          <w:rFonts w:ascii="宋体" w:eastAsia="宋体" w:hAnsi="宋体" w:cs="宋体" w:hint="eastAsia"/>
          <w:sz w:val="24"/>
        </w:rPr>
        <w:t>规</w:t>
      </w:r>
      <w:proofErr w:type="gramEnd"/>
      <w:r>
        <w:rPr>
          <w:rFonts w:ascii="宋体" w:eastAsia="宋体" w:hAnsi="宋体" w:cs="宋体" w:hint="eastAsia"/>
          <w:sz w:val="24"/>
        </w:rPr>
        <w:t>经营和风险管理水平。</w:t>
      </w:r>
      <w:proofErr w:type="gramStart"/>
      <w:r>
        <w:rPr>
          <w:rFonts w:ascii="宋体" w:eastAsia="宋体" w:hAnsi="宋体" w:cs="宋体" w:hint="eastAsia"/>
          <w:sz w:val="24"/>
        </w:rPr>
        <w:t>各银保</w:t>
      </w:r>
      <w:proofErr w:type="gramEnd"/>
      <w:r>
        <w:rPr>
          <w:rFonts w:ascii="宋体" w:eastAsia="宋体" w:hAnsi="宋体" w:cs="宋体" w:hint="eastAsia"/>
          <w:sz w:val="24"/>
        </w:rPr>
        <w:t>监局要提高政治站位，充分认识开展市场乱象整治“回头看”工作的重要性和紧迫性，实行一</w:t>
      </w:r>
      <w:r>
        <w:rPr>
          <w:rFonts w:ascii="宋体" w:eastAsia="宋体" w:hAnsi="宋体" w:cs="宋体" w:hint="eastAsia"/>
          <w:sz w:val="24"/>
        </w:rPr>
        <w:lastRenderedPageBreak/>
        <w:t>把手负责制，落实属地监管责任。要加强组织领导，明确工作责任，把乱象整治各项工作抓紧抓实抓细，务求取得实效。</w:t>
      </w:r>
    </w:p>
    <w:p w14:paraId="45A07A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（二）看实体经济是否真正受益。各银行保险机构要深刻领会金融支持中小</w:t>
      </w:r>
      <w:proofErr w:type="gramStart"/>
      <w:r>
        <w:rPr>
          <w:rFonts w:ascii="宋体" w:eastAsia="宋体" w:hAnsi="宋体" w:cs="宋体" w:hint="eastAsia"/>
          <w:sz w:val="24"/>
        </w:rPr>
        <w:t>微企业</w:t>
      </w:r>
      <w:proofErr w:type="gramEnd"/>
      <w:r>
        <w:rPr>
          <w:rFonts w:ascii="宋体" w:eastAsia="宋体" w:hAnsi="宋体" w:cs="宋体" w:hint="eastAsia"/>
          <w:sz w:val="24"/>
        </w:rPr>
        <w:t>是做好“六稳”工作、落实“六保”任务的重要内容。要落实好临时性延期还本付息政策，有效满足中小</w:t>
      </w:r>
      <w:proofErr w:type="gramStart"/>
      <w:r>
        <w:rPr>
          <w:rFonts w:ascii="宋体" w:eastAsia="宋体" w:hAnsi="宋体" w:cs="宋体" w:hint="eastAsia"/>
          <w:sz w:val="24"/>
        </w:rPr>
        <w:t>微企业</w:t>
      </w:r>
      <w:proofErr w:type="gramEnd"/>
      <w:r>
        <w:rPr>
          <w:rFonts w:ascii="宋体" w:eastAsia="宋体" w:hAnsi="宋体" w:cs="宋体" w:hint="eastAsia"/>
          <w:sz w:val="24"/>
        </w:rPr>
        <w:t>合理融资需求。要用好普惠金融</w:t>
      </w:r>
      <w:proofErr w:type="gramStart"/>
      <w:r>
        <w:rPr>
          <w:rFonts w:ascii="宋体" w:eastAsia="宋体" w:hAnsi="宋体" w:cs="宋体" w:hint="eastAsia"/>
          <w:sz w:val="24"/>
        </w:rPr>
        <w:t>定向降准政策</w:t>
      </w:r>
      <w:proofErr w:type="gramEnd"/>
      <w:r>
        <w:rPr>
          <w:rFonts w:ascii="宋体" w:eastAsia="宋体" w:hAnsi="宋体" w:cs="宋体" w:hint="eastAsia"/>
          <w:sz w:val="24"/>
        </w:rPr>
        <w:t>，用好人民银行普惠性再贷款再贴现资金和政策性银行转贷款资金，合理确定小</w:t>
      </w:r>
      <w:proofErr w:type="gramStart"/>
      <w:r>
        <w:rPr>
          <w:rFonts w:ascii="宋体" w:eastAsia="宋体" w:hAnsi="宋体" w:cs="宋体" w:hint="eastAsia"/>
          <w:sz w:val="24"/>
        </w:rPr>
        <w:t>微企业</w:t>
      </w:r>
      <w:proofErr w:type="gramEnd"/>
      <w:r>
        <w:rPr>
          <w:rFonts w:ascii="宋体" w:eastAsia="宋体" w:hAnsi="宋体" w:cs="宋体" w:hint="eastAsia"/>
          <w:sz w:val="24"/>
        </w:rPr>
        <w:t>贷款利率，确保资金用于支持小微企业。要在符合商业可持续原则基础上主动向企业和实体经济让利，降低企业融资综合成本，帮助中小</w:t>
      </w:r>
      <w:proofErr w:type="gramStart"/>
      <w:r>
        <w:rPr>
          <w:rFonts w:ascii="宋体" w:eastAsia="宋体" w:hAnsi="宋体" w:cs="宋体" w:hint="eastAsia"/>
          <w:sz w:val="24"/>
        </w:rPr>
        <w:t>微企业</w:t>
      </w:r>
      <w:proofErr w:type="gramEnd"/>
      <w:r>
        <w:rPr>
          <w:rFonts w:ascii="宋体" w:eastAsia="宋体" w:hAnsi="宋体" w:cs="宋体" w:hint="eastAsia"/>
          <w:sz w:val="24"/>
        </w:rPr>
        <w:t>渡过难关。</w:t>
      </w:r>
      <w:proofErr w:type="gramStart"/>
      <w:r>
        <w:rPr>
          <w:rFonts w:ascii="宋体" w:eastAsia="宋体" w:hAnsi="宋体" w:cs="宋体" w:hint="eastAsia"/>
          <w:sz w:val="24"/>
        </w:rPr>
        <w:t>各银保</w:t>
      </w:r>
      <w:proofErr w:type="gramEnd"/>
      <w:r>
        <w:rPr>
          <w:rFonts w:ascii="宋体" w:eastAsia="宋体" w:hAnsi="宋体" w:cs="宋体" w:hint="eastAsia"/>
          <w:sz w:val="24"/>
        </w:rPr>
        <w:t>监局要督促银行保险机构把从监管、货币和财税等方面获得的普惠金融政策红利，切实传导到中小微企业，指导机构持续提升服务质效。要巩固减负清费成果，严查违规收费或附加不合理贷款条件变相抬高企业融资成本。要加强相关资金流向监测，依法严厉打击资金空转和违规套利行为。</w:t>
      </w:r>
    </w:p>
    <w:p w14:paraId="3881E7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看整改措施是否严实有效。各银行保险机构要对2017年以来乱象整治自查和监管检查发现问题逐项检视，严格落实整改。要健全整改工具箱，整改措施要对症恰当，避免简单一刀切，着力解决“违规在基层、根子在总部”的问题。要注重从制度、流程和系统等方面推进根源性整改，将“排查—整改—提升”贯穿于经营管理全过程，坚决杜绝整改之后同质同类问题仍然屡查屡犯现象。要完善内部问责机制，对监管部门责令内部问责的，必须严肃追究，不得“问下不问上”，或简单以经济处罚代替纪律处分。</w:t>
      </w:r>
      <w:proofErr w:type="gramStart"/>
      <w:r>
        <w:rPr>
          <w:rFonts w:ascii="宋体" w:eastAsia="宋体" w:hAnsi="宋体" w:cs="宋体" w:hint="eastAsia"/>
          <w:sz w:val="24"/>
        </w:rPr>
        <w:t>各银保</w:t>
      </w:r>
      <w:proofErr w:type="gramEnd"/>
      <w:r>
        <w:rPr>
          <w:rFonts w:ascii="宋体" w:eastAsia="宋体" w:hAnsi="宋体" w:cs="宋体" w:hint="eastAsia"/>
          <w:sz w:val="24"/>
        </w:rPr>
        <w:t>监局要通过现场检查和非现场监管等方式，对2017年开展市场乱象整治工作以来辖内银行保险机构整改问</w:t>
      </w:r>
      <w:proofErr w:type="gramStart"/>
      <w:r>
        <w:rPr>
          <w:rFonts w:ascii="宋体" w:eastAsia="宋体" w:hAnsi="宋体" w:cs="宋体" w:hint="eastAsia"/>
          <w:sz w:val="24"/>
        </w:rPr>
        <w:t>责情况</w:t>
      </w:r>
      <w:proofErr w:type="gramEnd"/>
      <w:r>
        <w:rPr>
          <w:rFonts w:ascii="宋体" w:eastAsia="宋体" w:hAnsi="宋体" w:cs="宋体" w:hint="eastAsia"/>
          <w:sz w:val="24"/>
        </w:rPr>
        <w:t>进行监管评估。要综合运用监管手段，督促银行保险机构落实整改，消除风险隐患。要加强检查和评估结果在准入、监管评级和采取监管措施等方面的运用。</w:t>
      </w:r>
    </w:p>
    <w:p w14:paraId="6A8A6F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w:t>
      </w:r>
      <w:proofErr w:type="gramStart"/>
      <w:r>
        <w:rPr>
          <w:rFonts w:ascii="宋体" w:eastAsia="宋体" w:hAnsi="宋体" w:cs="宋体" w:hint="eastAsia"/>
          <w:sz w:val="24"/>
        </w:rPr>
        <w:t>看违法</w:t>
      </w:r>
      <w:proofErr w:type="gramEnd"/>
      <w:r>
        <w:rPr>
          <w:rFonts w:ascii="宋体" w:eastAsia="宋体" w:hAnsi="宋体" w:cs="宋体" w:hint="eastAsia"/>
          <w:sz w:val="24"/>
        </w:rPr>
        <w:t>违规是否明显遏制。各银行保险机构要对照2020年市场乱象整治工作要点，持续深入开展股权与公司治理、宏观政策执行、业务经营、影子银行和交叉金融业务等领域违法违规问题排查。要增强发现问题的及时性和暴露问题的主动性，采取积极措施有效解决上述领域屡查屡犯、边查边犯问题，显著压降重大案件和高级管理人员案件的发案率。</w:t>
      </w:r>
      <w:proofErr w:type="gramStart"/>
      <w:r>
        <w:rPr>
          <w:rFonts w:ascii="宋体" w:eastAsia="宋体" w:hAnsi="宋体" w:cs="宋体" w:hint="eastAsia"/>
          <w:sz w:val="24"/>
        </w:rPr>
        <w:t>各银保</w:t>
      </w:r>
      <w:proofErr w:type="gramEnd"/>
      <w:r>
        <w:rPr>
          <w:rFonts w:ascii="宋体" w:eastAsia="宋体" w:hAnsi="宋体" w:cs="宋体" w:hint="eastAsia"/>
          <w:sz w:val="24"/>
        </w:rPr>
        <w:t>监局要以乱象整治工作“回头看”为主线，结合日常监管情况，统筹集成项目和资源，持续深入整治重点领</w:t>
      </w:r>
      <w:r>
        <w:rPr>
          <w:rFonts w:ascii="宋体" w:eastAsia="宋体" w:hAnsi="宋体" w:cs="宋体" w:hint="eastAsia"/>
          <w:sz w:val="24"/>
        </w:rPr>
        <w:lastRenderedPageBreak/>
        <w:t>域重点问题，依法打击违法违规活动。要高度警惕乱象新品种，</w:t>
      </w:r>
      <w:proofErr w:type="gramStart"/>
      <w:r>
        <w:rPr>
          <w:rFonts w:ascii="宋体" w:eastAsia="宋体" w:hAnsi="宋体" w:cs="宋体" w:hint="eastAsia"/>
          <w:sz w:val="24"/>
        </w:rPr>
        <w:t>对打着</w:t>
      </w:r>
      <w:proofErr w:type="gramEnd"/>
      <w:r>
        <w:rPr>
          <w:rFonts w:ascii="宋体" w:eastAsia="宋体" w:hAnsi="宋体" w:cs="宋体" w:hint="eastAsia"/>
          <w:sz w:val="24"/>
        </w:rPr>
        <w:t>“金融创新”幌子花式翻新的违规行为、苗头性趋势性违规问题，必须及时遏止，坚决打击处理。</w:t>
      </w:r>
    </w:p>
    <w:p w14:paraId="5BDF03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（五）看合</w:t>
      </w:r>
      <w:proofErr w:type="gramStart"/>
      <w:r>
        <w:rPr>
          <w:rFonts w:ascii="宋体" w:eastAsia="宋体" w:hAnsi="宋体" w:cs="宋体" w:hint="eastAsia"/>
          <w:sz w:val="24"/>
        </w:rPr>
        <w:t>规</w:t>
      </w:r>
      <w:proofErr w:type="gramEnd"/>
      <w:r>
        <w:rPr>
          <w:rFonts w:ascii="宋体" w:eastAsia="宋体" w:hAnsi="宋体" w:cs="宋体" w:hint="eastAsia"/>
          <w:sz w:val="24"/>
        </w:rPr>
        <w:t>机制是否健全管用。各银行保险机构“两会一层”要牢固树立合</w:t>
      </w:r>
      <w:proofErr w:type="gramStart"/>
      <w:r>
        <w:rPr>
          <w:rFonts w:ascii="宋体" w:eastAsia="宋体" w:hAnsi="宋体" w:cs="宋体" w:hint="eastAsia"/>
          <w:sz w:val="24"/>
        </w:rPr>
        <w:t>规</w:t>
      </w:r>
      <w:proofErr w:type="gramEnd"/>
      <w:r>
        <w:rPr>
          <w:rFonts w:ascii="宋体" w:eastAsia="宋体" w:hAnsi="宋体" w:cs="宋体" w:hint="eastAsia"/>
          <w:sz w:val="24"/>
        </w:rPr>
        <w:t>从高层做起、合</w:t>
      </w:r>
      <w:proofErr w:type="gramStart"/>
      <w:r>
        <w:rPr>
          <w:rFonts w:ascii="宋体" w:eastAsia="宋体" w:hAnsi="宋体" w:cs="宋体" w:hint="eastAsia"/>
          <w:sz w:val="24"/>
        </w:rPr>
        <w:t>规</w:t>
      </w:r>
      <w:proofErr w:type="gramEnd"/>
      <w:r>
        <w:rPr>
          <w:rFonts w:ascii="宋体" w:eastAsia="宋体" w:hAnsi="宋体" w:cs="宋体" w:hint="eastAsia"/>
          <w:sz w:val="24"/>
        </w:rPr>
        <w:t>创造效益的理念，忠实</w:t>
      </w:r>
      <w:proofErr w:type="gramStart"/>
      <w:r>
        <w:rPr>
          <w:rFonts w:ascii="宋体" w:eastAsia="宋体" w:hAnsi="宋体" w:cs="宋体" w:hint="eastAsia"/>
          <w:sz w:val="24"/>
        </w:rPr>
        <w:t>勤勉履行</w:t>
      </w:r>
      <w:proofErr w:type="gramEnd"/>
      <w:r>
        <w:rPr>
          <w:rFonts w:ascii="宋体" w:eastAsia="宋体" w:hAnsi="宋体" w:cs="宋体" w:hint="eastAsia"/>
          <w:sz w:val="24"/>
        </w:rPr>
        <w:t>各自在公司治理方面的职责，推行传导诚信正直的职业操守和价值观念。要建立健全与业务规模、风险状况等相适应的合</w:t>
      </w:r>
      <w:proofErr w:type="gramStart"/>
      <w:r>
        <w:rPr>
          <w:rFonts w:ascii="宋体" w:eastAsia="宋体" w:hAnsi="宋体" w:cs="宋体" w:hint="eastAsia"/>
          <w:sz w:val="24"/>
        </w:rPr>
        <w:t>规</w:t>
      </w:r>
      <w:proofErr w:type="gramEnd"/>
      <w:r>
        <w:rPr>
          <w:rFonts w:ascii="宋体" w:eastAsia="宋体" w:hAnsi="宋体" w:cs="宋体" w:hint="eastAsia"/>
          <w:sz w:val="24"/>
        </w:rPr>
        <w:t>管理体系，配备充足的合</w:t>
      </w:r>
      <w:proofErr w:type="gramStart"/>
      <w:r>
        <w:rPr>
          <w:rFonts w:ascii="宋体" w:eastAsia="宋体" w:hAnsi="宋体" w:cs="宋体" w:hint="eastAsia"/>
          <w:sz w:val="24"/>
        </w:rPr>
        <w:t>规</w:t>
      </w:r>
      <w:proofErr w:type="gramEnd"/>
      <w:r>
        <w:rPr>
          <w:rFonts w:ascii="宋体" w:eastAsia="宋体" w:hAnsi="宋体" w:cs="宋体" w:hint="eastAsia"/>
          <w:sz w:val="24"/>
        </w:rPr>
        <w:t>管理人员，保证其独立履行职责的良好环境。要建立健全覆盖总行（总公司）各部门和各分支及附属机构的全员管理制度，构建并落实清晰有效的问责机制，加强对员工异常行为的监测排查，将问题消除在萌芽状态。</w:t>
      </w:r>
      <w:proofErr w:type="gramStart"/>
      <w:r>
        <w:rPr>
          <w:rFonts w:ascii="宋体" w:eastAsia="宋体" w:hAnsi="宋体" w:cs="宋体" w:hint="eastAsia"/>
          <w:sz w:val="24"/>
        </w:rPr>
        <w:t>各银保</w:t>
      </w:r>
      <w:proofErr w:type="gramEnd"/>
      <w:r>
        <w:rPr>
          <w:rFonts w:ascii="宋体" w:eastAsia="宋体" w:hAnsi="宋体" w:cs="宋体" w:hint="eastAsia"/>
          <w:sz w:val="24"/>
        </w:rPr>
        <w:t>监局要以整治促建制，推动辖内银行保险机构内控合</w:t>
      </w:r>
      <w:proofErr w:type="gramStart"/>
      <w:r>
        <w:rPr>
          <w:rFonts w:ascii="宋体" w:eastAsia="宋体" w:hAnsi="宋体" w:cs="宋体" w:hint="eastAsia"/>
          <w:sz w:val="24"/>
        </w:rPr>
        <w:t>规</w:t>
      </w:r>
      <w:proofErr w:type="gramEnd"/>
      <w:r>
        <w:rPr>
          <w:rFonts w:ascii="宋体" w:eastAsia="宋体" w:hAnsi="宋体" w:cs="宋体" w:hint="eastAsia"/>
          <w:sz w:val="24"/>
        </w:rPr>
        <w:t>长效机制建设，厚植稳健审慎的风险文化。</w:t>
      </w:r>
    </w:p>
    <w:p w14:paraId="159FA2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、工作要求</w:t>
      </w:r>
    </w:p>
    <w:p w14:paraId="2832D2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（一）严格自查自纠。各银行保险机构要对照2017年以来自查和监管检查发现问题的</w:t>
      </w:r>
      <w:proofErr w:type="gramStart"/>
      <w:r>
        <w:rPr>
          <w:rFonts w:ascii="宋体" w:eastAsia="宋体" w:hAnsi="宋体" w:cs="宋体" w:hint="eastAsia"/>
          <w:sz w:val="24"/>
        </w:rPr>
        <w:t>整改台</w:t>
      </w:r>
      <w:proofErr w:type="gramEnd"/>
      <w:r>
        <w:rPr>
          <w:rFonts w:ascii="宋体" w:eastAsia="宋体" w:hAnsi="宋体" w:cs="宋体" w:hint="eastAsia"/>
          <w:sz w:val="24"/>
        </w:rPr>
        <w:t>账，查看当时制定的整改措施是否落实、责任人是否追究、是否按时完成整改。要对照2020年乱象整治工作要点，全面深入开展自查，深挖彻查经营管理中存在的问题和风险隐患，对自查和监管检查发现的问题，必须即查即纠、立查立改，强化责任追究。</w:t>
      </w:r>
    </w:p>
    <w:p w14:paraId="40CDC76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w:t>
      </w:r>
      <w:proofErr w:type="gramStart"/>
      <w:r>
        <w:rPr>
          <w:rFonts w:ascii="宋体" w:eastAsia="宋体" w:hAnsi="宋体" w:cs="宋体" w:hint="eastAsia"/>
          <w:sz w:val="24"/>
        </w:rPr>
        <w:t>依法问</w:t>
      </w:r>
      <w:proofErr w:type="gramEnd"/>
      <w:r>
        <w:rPr>
          <w:rFonts w:ascii="宋体" w:eastAsia="宋体" w:hAnsi="宋体" w:cs="宋体" w:hint="eastAsia"/>
          <w:sz w:val="24"/>
        </w:rPr>
        <w:t>责处理。各级监管机构要对违法违规行为持续保持高压态势，对整改问</w:t>
      </w:r>
      <w:proofErr w:type="gramStart"/>
      <w:r>
        <w:rPr>
          <w:rFonts w:ascii="宋体" w:eastAsia="宋体" w:hAnsi="宋体" w:cs="宋体" w:hint="eastAsia"/>
          <w:sz w:val="24"/>
        </w:rPr>
        <w:t>责工作</w:t>
      </w:r>
      <w:proofErr w:type="gramEnd"/>
      <w:r>
        <w:rPr>
          <w:rFonts w:ascii="宋体" w:eastAsia="宋体" w:hAnsi="宋体" w:cs="宋体" w:hint="eastAsia"/>
          <w:sz w:val="24"/>
        </w:rPr>
        <w:t>推进不力的要责令限期完成，对整改工作存在弄虚作假的要严肃查处，对违反宏观调控政策、侵害金融消费者合法权益以及屡查屡犯等违规问题要加大查处力度，对因金融腐败和违法犯罪破坏市场秩序、造成重大损失甚至诱发风险事件的一律严惩不贷。</w:t>
      </w:r>
    </w:p>
    <w:p w14:paraId="3167BE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（三）构筑监管合力。银保监</w:t>
      </w:r>
      <w:proofErr w:type="gramStart"/>
      <w:r>
        <w:rPr>
          <w:rFonts w:ascii="宋体" w:eastAsia="宋体" w:hAnsi="宋体" w:cs="宋体" w:hint="eastAsia"/>
          <w:sz w:val="24"/>
        </w:rPr>
        <w:t>会银行</w:t>
      </w:r>
      <w:proofErr w:type="gramEnd"/>
      <w:r>
        <w:rPr>
          <w:rFonts w:ascii="宋体" w:eastAsia="宋体" w:hAnsi="宋体" w:cs="宋体" w:hint="eastAsia"/>
          <w:sz w:val="24"/>
        </w:rPr>
        <w:t>检查局、非</w:t>
      </w:r>
      <w:proofErr w:type="gramStart"/>
      <w:r>
        <w:rPr>
          <w:rFonts w:ascii="宋体" w:eastAsia="宋体" w:hAnsi="宋体" w:cs="宋体" w:hint="eastAsia"/>
          <w:sz w:val="24"/>
        </w:rPr>
        <w:t>银检查</w:t>
      </w:r>
      <w:proofErr w:type="gramEnd"/>
      <w:r>
        <w:rPr>
          <w:rFonts w:ascii="宋体" w:eastAsia="宋体" w:hAnsi="宋体" w:cs="宋体" w:hint="eastAsia"/>
          <w:sz w:val="24"/>
        </w:rPr>
        <w:t>局分别负责统筹推进银行和非银行机构的整治工作。各机构监管、规制监管和功能监管部门负责指导推动本条线、本领域的乱象整治工作，督促本条</w:t>
      </w:r>
      <w:proofErr w:type="gramStart"/>
      <w:r>
        <w:rPr>
          <w:rFonts w:ascii="宋体" w:eastAsia="宋体" w:hAnsi="宋体" w:cs="宋体" w:hint="eastAsia"/>
          <w:sz w:val="24"/>
        </w:rPr>
        <w:t>线机构</w:t>
      </w:r>
      <w:proofErr w:type="gramEnd"/>
      <w:r>
        <w:rPr>
          <w:rFonts w:ascii="宋体" w:eastAsia="宋体" w:hAnsi="宋体" w:cs="宋体" w:hint="eastAsia"/>
          <w:sz w:val="24"/>
        </w:rPr>
        <w:t>落实乱象整治主体责任，完善监管制度，补齐监管短板。</w:t>
      </w:r>
      <w:proofErr w:type="gramStart"/>
      <w:r>
        <w:rPr>
          <w:rFonts w:ascii="宋体" w:eastAsia="宋体" w:hAnsi="宋体" w:cs="宋体" w:hint="eastAsia"/>
          <w:sz w:val="24"/>
        </w:rPr>
        <w:t>各银保</w:t>
      </w:r>
      <w:proofErr w:type="gramEnd"/>
      <w:r>
        <w:rPr>
          <w:rFonts w:ascii="宋体" w:eastAsia="宋体" w:hAnsi="宋体" w:cs="宋体" w:hint="eastAsia"/>
          <w:sz w:val="24"/>
        </w:rPr>
        <w:t>监局负责属地监管的银行保险机构乱象整治，制定细化方案，根据当地疫情防控情况灵活采取多种方式开展工作。各级监管机构和各银行保险机构要加强沟通和信息共享，对整治工作期间发现的重大风</w:t>
      </w:r>
      <w:r>
        <w:rPr>
          <w:rFonts w:ascii="宋体" w:eastAsia="宋体" w:hAnsi="宋体" w:cs="宋体" w:hint="eastAsia"/>
          <w:sz w:val="24"/>
        </w:rPr>
        <w:lastRenderedPageBreak/>
        <w:t>险和重大问题要及时反馈。</w:t>
      </w:r>
    </w:p>
    <w:p w14:paraId="741030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（四）营造良好氛围。各级监管机构和各银行保险机构要及时</w:t>
      </w:r>
      <w:proofErr w:type="gramStart"/>
      <w:r>
        <w:rPr>
          <w:rFonts w:ascii="宋体" w:eastAsia="宋体" w:hAnsi="宋体" w:cs="宋体" w:hint="eastAsia"/>
          <w:sz w:val="24"/>
        </w:rPr>
        <w:t>总结整治</w:t>
      </w:r>
      <w:proofErr w:type="gramEnd"/>
      <w:r>
        <w:rPr>
          <w:rFonts w:ascii="宋体" w:eastAsia="宋体" w:hAnsi="宋体" w:cs="宋体" w:hint="eastAsia"/>
          <w:sz w:val="24"/>
        </w:rPr>
        <w:t>工作的良好做法和鲜活经验，充分利用各类平台载体进行宣传和舆论引导，展示乱象整治工作在推动银行业保险业高质量发展和提升金融服务实体经济质</w:t>
      </w:r>
      <w:proofErr w:type="gramStart"/>
      <w:r>
        <w:rPr>
          <w:rFonts w:ascii="宋体" w:eastAsia="宋体" w:hAnsi="宋体" w:cs="宋体" w:hint="eastAsia"/>
          <w:sz w:val="24"/>
        </w:rPr>
        <w:t>效方面</w:t>
      </w:r>
      <w:proofErr w:type="gramEnd"/>
      <w:r>
        <w:rPr>
          <w:rFonts w:ascii="宋体" w:eastAsia="宋体" w:hAnsi="宋体" w:cs="宋体" w:hint="eastAsia"/>
          <w:sz w:val="24"/>
        </w:rPr>
        <w:t>的显著成效，向社会公众传递决心和信心，营造乱象整治协同有序推进的良好氛围。</w:t>
      </w:r>
    </w:p>
    <w:p w14:paraId="2C15A0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、报告要求</w:t>
      </w:r>
    </w:p>
    <w:p w14:paraId="54BEA4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报告内容。工作报告应重点突出、内容详实，包括但不限于：组织实施和主体责任落实情况；整改问责的监管评估情况；发现的主要问题、风险隐患；采取的工作措施（包括但不限于处罚问责、制度机制建立与执行情况等）；2017年以来整治工作取得的成效和经验；下一步工作计划和意见建议等。</w:t>
      </w:r>
    </w:p>
    <w:p w14:paraId="30ABA0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（二）报送路径。各银行保险法人机构要在汇总分支机构情况基础上，分别于2020年7月30日前和12月10日前将半年、年度工作报告及附表报送监管部门。其中，银保监会直接监管的银行保险机构分别报送至银保监</w:t>
      </w:r>
      <w:proofErr w:type="gramStart"/>
      <w:r>
        <w:rPr>
          <w:rFonts w:ascii="宋体" w:eastAsia="宋体" w:hAnsi="宋体" w:cs="宋体" w:hint="eastAsia"/>
          <w:sz w:val="24"/>
        </w:rPr>
        <w:t>会银行</w:t>
      </w:r>
      <w:proofErr w:type="gramEnd"/>
      <w:r>
        <w:rPr>
          <w:rFonts w:ascii="宋体" w:eastAsia="宋体" w:hAnsi="宋体" w:cs="宋体" w:hint="eastAsia"/>
          <w:sz w:val="24"/>
        </w:rPr>
        <w:t>机构检查局、非银行机构检查局，同时抄送对口的机构监管部门；</w:t>
      </w:r>
      <w:proofErr w:type="gramStart"/>
      <w:r>
        <w:rPr>
          <w:rFonts w:ascii="宋体" w:eastAsia="宋体" w:hAnsi="宋体" w:cs="宋体" w:hint="eastAsia"/>
          <w:sz w:val="24"/>
        </w:rPr>
        <w:t>各银保</w:t>
      </w:r>
      <w:proofErr w:type="gramEnd"/>
      <w:r>
        <w:rPr>
          <w:rFonts w:ascii="宋体" w:eastAsia="宋体" w:hAnsi="宋体" w:cs="宋体" w:hint="eastAsia"/>
          <w:sz w:val="24"/>
        </w:rPr>
        <w:t>监局监管的银行保险机构（含分支机构、外国银行分行）报送至属地银保监局。</w:t>
      </w:r>
    </w:p>
    <w:p w14:paraId="43278ADB"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各银保</w:t>
      </w:r>
      <w:proofErr w:type="gramEnd"/>
      <w:r>
        <w:rPr>
          <w:rFonts w:ascii="宋体" w:eastAsia="宋体" w:hAnsi="宋体" w:cs="宋体" w:hint="eastAsia"/>
          <w:sz w:val="24"/>
        </w:rPr>
        <w:t>监局应汇总辖内机构情况和监管工作情况，于2020年12月20日前将年度工作报告（含附表及1—2个典型案例），报送至银行检查局和非银行检查局；同时，按机构类别汇总条</w:t>
      </w:r>
      <w:proofErr w:type="gramStart"/>
      <w:r>
        <w:rPr>
          <w:rFonts w:ascii="宋体" w:eastAsia="宋体" w:hAnsi="宋体" w:cs="宋体" w:hint="eastAsia"/>
          <w:sz w:val="24"/>
        </w:rPr>
        <w:t>线报告</w:t>
      </w:r>
      <w:proofErr w:type="gramEnd"/>
      <w:r>
        <w:rPr>
          <w:rFonts w:ascii="宋体" w:eastAsia="宋体" w:hAnsi="宋体" w:cs="宋体" w:hint="eastAsia"/>
          <w:sz w:val="24"/>
        </w:rPr>
        <w:t>及附表，报送至对口的机构监管部门。</w:t>
      </w:r>
    </w:p>
    <w:p w14:paraId="5F06CA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w:t>
      </w:r>
    </w:p>
    <w:p w14:paraId="229838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1.2020年银行机构市场乱象整治“回头看”工作要点</w:t>
      </w:r>
    </w:p>
    <w:p w14:paraId="44BCD2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2.2020年非银行机构市场乱象整治“回头看”工作要点</w:t>
      </w:r>
    </w:p>
    <w:p w14:paraId="1AD157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2020年6月23日</w:t>
      </w:r>
    </w:p>
    <w:p w14:paraId="6C06E8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附件1</w:t>
      </w:r>
    </w:p>
    <w:p w14:paraId="600B58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2020年银行机构市场乱象整治“回头看”工作要点</w:t>
      </w:r>
    </w:p>
    <w:p w14:paraId="2E5E3191"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一</w:t>
      </w:r>
      <w:proofErr w:type="gramEnd"/>
      <w:r>
        <w:rPr>
          <w:rFonts w:ascii="宋体" w:eastAsia="宋体" w:hAnsi="宋体" w:cs="宋体" w:hint="eastAsia"/>
          <w:sz w:val="24"/>
        </w:rPr>
        <w:t> 、宏观政策执行</w:t>
      </w:r>
    </w:p>
    <w:p w14:paraId="6EA062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1.民营和小</w:t>
      </w:r>
      <w:proofErr w:type="gramStart"/>
      <w:r>
        <w:rPr>
          <w:rFonts w:ascii="宋体" w:eastAsia="宋体" w:hAnsi="宋体" w:cs="宋体" w:hint="eastAsia"/>
          <w:sz w:val="24"/>
        </w:rPr>
        <w:t>微企业</w:t>
      </w:r>
      <w:proofErr w:type="gramEnd"/>
      <w:r>
        <w:rPr>
          <w:rFonts w:ascii="宋体" w:eastAsia="宋体" w:hAnsi="宋体" w:cs="宋体" w:hint="eastAsia"/>
          <w:sz w:val="24"/>
        </w:rPr>
        <w:t>服务政策。未按监管要求建立落实民营和小</w:t>
      </w:r>
      <w:proofErr w:type="gramStart"/>
      <w:r>
        <w:rPr>
          <w:rFonts w:ascii="宋体" w:eastAsia="宋体" w:hAnsi="宋体" w:cs="宋体" w:hint="eastAsia"/>
          <w:sz w:val="24"/>
        </w:rPr>
        <w:t>微企业</w:t>
      </w:r>
      <w:proofErr w:type="gramEnd"/>
      <w:r>
        <w:rPr>
          <w:rFonts w:ascii="宋体" w:eastAsia="宋体" w:hAnsi="宋体" w:cs="宋体" w:hint="eastAsia"/>
          <w:sz w:val="24"/>
        </w:rPr>
        <w:t>业务绩效考核机制、尽职免责制度和容错纠错机制；使用人民银行普惠性再贷款再贴现资金和政策性银行转贷资金的小</w:t>
      </w:r>
      <w:proofErr w:type="gramStart"/>
      <w:r>
        <w:rPr>
          <w:rFonts w:ascii="宋体" w:eastAsia="宋体" w:hAnsi="宋体" w:cs="宋体" w:hint="eastAsia"/>
          <w:sz w:val="24"/>
        </w:rPr>
        <w:t>微企业</w:t>
      </w:r>
      <w:proofErr w:type="gramEnd"/>
      <w:r>
        <w:rPr>
          <w:rFonts w:ascii="宋体" w:eastAsia="宋体" w:hAnsi="宋体" w:cs="宋体" w:hint="eastAsia"/>
          <w:sz w:val="24"/>
        </w:rPr>
        <w:t>贷款，未合理确定其利率定价水平，资金未真实投向小微企业；临时性延期还本付息政策和续贷政策落实不力，未能有效满足中小</w:t>
      </w:r>
      <w:proofErr w:type="gramStart"/>
      <w:r>
        <w:rPr>
          <w:rFonts w:ascii="宋体" w:eastAsia="宋体" w:hAnsi="宋体" w:cs="宋体" w:hint="eastAsia"/>
          <w:sz w:val="24"/>
        </w:rPr>
        <w:t>微企业</w:t>
      </w:r>
      <w:proofErr w:type="gramEnd"/>
      <w:r>
        <w:rPr>
          <w:rFonts w:ascii="宋体" w:eastAsia="宋体" w:hAnsi="宋体" w:cs="宋体" w:hint="eastAsia"/>
          <w:sz w:val="24"/>
        </w:rPr>
        <w:t>合理融资需求；对受疫情影响较大行业以及有发展前景但暂时受困的企业，盲目抽贷、断贷、压贷；不合理收费或附加不合理贷款条件提高企业融资综合成本；以通过融资政策便利获得的贷款购买银行理财产品、结构性存款、大额存单和发放委托贷款等进行资金“空转”套利。</w:t>
      </w:r>
    </w:p>
    <w:p w14:paraId="19EF34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房住不炒”政策。表内外资金直接或变相用于土地出让金或土地储备融资；未严格审查房地产开发企业资质，违规向“四证”不全的房地产开发项目提供融资；个人综合消费贷款、经营性贷款、信用卡透支等资金挪用于购房；流动性贷款、并购贷款、经营性物业贷款等资金被挪用于房地产开发；代销违反房地产融资政策及规定的信托产品</w:t>
      </w:r>
      <w:proofErr w:type="gramStart"/>
      <w:r>
        <w:rPr>
          <w:rFonts w:ascii="宋体" w:eastAsia="宋体" w:hAnsi="宋体" w:cs="宋体" w:hint="eastAsia"/>
          <w:sz w:val="24"/>
        </w:rPr>
        <w:t>等资管</w:t>
      </w:r>
      <w:proofErr w:type="gramEnd"/>
      <w:r>
        <w:rPr>
          <w:rFonts w:ascii="宋体" w:eastAsia="宋体" w:hAnsi="宋体" w:cs="宋体" w:hint="eastAsia"/>
          <w:sz w:val="24"/>
        </w:rPr>
        <w:t>产品。</w:t>
      </w:r>
    </w:p>
    <w:p w14:paraId="08CEF2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3.金融扶贫政策。精准扶贫政策执行不力，扶贫贷款服务对象不符合要求；发放扶贫贷款附加不合理条件；违规上浮扶贫贷款利率；扶贫信贷资金被挪用等。</w:t>
      </w:r>
    </w:p>
    <w:p w14:paraId="062D35B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4.其他重点领域宏观调控政策。违规为环保排放不达标、严重污染环境且整改无望的企业提供融资；违规为固定资产投资项目提供资本金融资；违规新增地方政府隐性债务。</w:t>
      </w:r>
    </w:p>
    <w:p w14:paraId="0F7161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、股权与公司治理</w:t>
      </w:r>
    </w:p>
    <w:p w14:paraId="0BA8E2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5.股东和股权管理。股东资质不符合监管要求；虚假注资、循环注资、</w:t>
      </w:r>
      <w:proofErr w:type="gramStart"/>
      <w:r>
        <w:rPr>
          <w:rFonts w:ascii="宋体" w:eastAsia="宋体" w:hAnsi="宋体" w:cs="宋体" w:hint="eastAsia"/>
          <w:sz w:val="24"/>
        </w:rPr>
        <w:t>抽逃股本</w:t>
      </w:r>
      <w:proofErr w:type="gramEnd"/>
      <w:r>
        <w:rPr>
          <w:rFonts w:ascii="宋体" w:eastAsia="宋体" w:hAnsi="宋体" w:cs="宋体" w:hint="eastAsia"/>
          <w:sz w:val="24"/>
        </w:rPr>
        <w:t>等“资本造假”行为；以非自有资金违规入股银行；存在股权代持、超比例或超家数持有银行股权等情形；公司章程未按监管要求载明银行股东权利义务；股权登记、质押和股东资质审查等股权事务管理不符合监管要求；未按监管要求或章程规定对滥用权利的股东采取限制措施；虚增利润向股东分红。</w:t>
      </w:r>
    </w:p>
    <w:p w14:paraId="68FA67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6.“两会一层”履职和考评机制。董事会、监事会、高级管理层及其专门委员会未依法依规充分履职；未建立对董事的履职评价体系；未落实绩效考核和薪酬管理等监管要求。</w:t>
      </w:r>
    </w:p>
    <w:p w14:paraId="6961F4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7.关联交易和</w:t>
      </w:r>
      <w:proofErr w:type="gramStart"/>
      <w:r>
        <w:rPr>
          <w:rFonts w:ascii="宋体" w:eastAsia="宋体" w:hAnsi="宋体" w:cs="宋体" w:hint="eastAsia"/>
          <w:sz w:val="24"/>
        </w:rPr>
        <w:t>并</w:t>
      </w:r>
      <w:proofErr w:type="gramEnd"/>
      <w:r>
        <w:rPr>
          <w:rFonts w:ascii="宋体" w:eastAsia="宋体" w:hAnsi="宋体" w:cs="宋体" w:hint="eastAsia"/>
          <w:sz w:val="24"/>
        </w:rPr>
        <w:t>表管理。未按照穿透原则尽职认定关联方；通过关联交易向股东和其他关系人进行利益输送；银行集团并表管理不符合监管要求，通过内部交易隐匿风险、利益输送、进行监管套利。</w:t>
      </w:r>
    </w:p>
    <w:p w14:paraId="6DDFE3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、信贷管理</w:t>
      </w:r>
    </w:p>
    <w:p w14:paraId="413961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8.授信管理。贷款“三查”</w:t>
      </w:r>
      <w:proofErr w:type="gramStart"/>
      <w:r>
        <w:rPr>
          <w:rFonts w:ascii="宋体" w:eastAsia="宋体" w:hAnsi="宋体" w:cs="宋体" w:hint="eastAsia"/>
          <w:sz w:val="24"/>
        </w:rPr>
        <w:t>不</w:t>
      </w:r>
      <w:proofErr w:type="gramEnd"/>
      <w:r>
        <w:rPr>
          <w:rFonts w:ascii="宋体" w:eastAsia="宋体" w:hAnsi="宋体" w:cs="宋体" w:hint="eastAsia"/>
          <w:sz w:val="24"/>
        </w:rPr>
        <w:t>尽职；集团客户统一授信管理和联合授信管理不力，大额风险暴露指标突破监管要求；票据业务贸易背景尽职调查不到位，保证金来源不符合监管要求。</w:t>
      </w:r>
    </w:p>
    <w:p w14:paraId="515400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9.资产质量真实性。人为操纵风险分类结果，隐匿资产质量；违规通过以贷还贷、以贷收息、虚假盘活等方式延缓风险暴露，掩盖不良贷款；违规通过第三方代持、为不良资产受让人提供融资等方式实现不良资产的非洁净出表；直接或借道各</w:t>
      </w:r>
      <w:proofErr w:type="gramStart"/>
      <w:r>
        <w:rPr>
          <w:rFonts w:ascii="宋体" w:eastAsia="宋体" w:hAnsi="宋体" w:cs="宋体" w:hint="eastAsia"/>
          <w:sz w:val="24"/>
        </w:rPr>
        <w:t>类资管计划</w:t>
      </w:r>
      <w:proofErr w:type="gramEnd"/>
      <w:r>
        <w:rPr>
          <w:rFonts w:ascii="宋体" w:eastAsia="宋体" w:hAnsi="宋体" w:cs="宋体" w:hint="eastAsia"/>
          <w:sz w:val="24"/>
        </w:rPr>
        <w:t>在信用风险等未转移或未完全转移的情况下将不良资产移出资产负债表。</w:t>
      </w:r>
    </w:p>
    <w:p w14:paraId="1EB1A5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、影子银行和交叉金融业务</w:t>
      </w:r>
    </w:p>
    <w:p w14:paraId="2014E4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10.理财业务。理财业务过渡期整改不到位，未严格执行整改计划，理财老产品、同业理财、保本理财产品规模反弹，存量资产整改进展缓慢；母公司向理财子公司划转理财产品存在产品不合</w:t>
      </w:r>
      <w:proofErr w:type="gramStart"/>
      <w:r>
        <w:rPr>
          <w:rFonts w:ascii="宋体" w:eastAsia="宋体" w:hAnsi="宋体" w:cs="宋体" w:hint="eastAsia"/>
          <w:sz w:val="24"/>
        </w:rPr>
        <w:t>规</w:t>
      </w:r>
      <w:proofErr w:type="gramEnd"/>
      <w:r>
        <w:rPr>
          <w:rFonts w:ascii="宋体" w:eastAsia="宋体" w:hAnsi="宋体" w:cs="宋体" w:hint="eastAsia"/>
          <w:sz w:val="24"/>
        </w:rPr>
        <w:t>、程序不规范、利益输送、调节风险指标等问题；理财新产品存在池化运作、投资非标资产出现期限错配、相互调节收益、刚性兑付、投向限制性领域、净值计量不准确、信息披露不到位、违背投资者适当性原则或违规销售等问题；结构性存款不真实，通过设置“假结构”变相高息揽储或进行套利。</w:t>
      </w:r>
    </w:p>
    <w:p w14:paraId="5C9745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11.同业业务。同业融入和</w:t>
      </w:r>
      <w:proofErr w:type="gramStart"/>
      <w:r>
        <w:rPr>
          <w:rFonts w:ascii="宋体" w:eastAsia="宋体" w:hAnsi="宋体" w:cs="宋体" w:hint="eastAsia"/>
          <w:sz w:val="24"/>
        </w:rPr>
        <w:t>融出</w:t>
      </w:r>
      <w:proofErr w:type="gramEnd"/>
      <w:r>
        <w:rPr>
          <w:rFonts w:ascii="宋体" w:eastAsia="宋体" w:hAnsi="宋体" w:cs="宋体" w:hint="eastAsia"/>
          <w:sz w:val="24"/>
        </w:rPr>
        <w:t>资金规模超过监管规定比例；同业业务交易对手选择及授信管理不审慎；同业代持、</w:t>
      </w:r>
      <w:proofErr w:type="gramStart"/>
      <w:r>
        <w:rPr>
          <w:rFonts w:ascii="宋体" w:eastAsia="宋体" w:hAnsi="宋体" w:cs="宋体" w:hint="eastAsia"/>
          <w:sz w:val="24"/>
        </w:rPr>
        <w:t>互持或</w:t>
      </w:r>
      <w:proofErr w:type="gramEnd"/>
      <w:r>
        <w:rPr>
          <w:rFonts w:ascii="宋体" w:eastAsia="宋体" w:hAnsi="宋体" w:cs="宋体" w:hint="eastAsia"/>
          <w:sz w:val="24"/>
        </w:rPr>
        <w:t>充当资金通道导致资金空转；同业资金通过多层嵌套等方式违规投向限制性领域；同业业务违规接受或提供第三方担保。</w:t>
      </w:r>
    </w:p>
    <w:p w14:paraId="3248A3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12.表外业务。委托贷款资金来源、用途不合</w:t>
      </w:r>
      <w:proofErr w:type="gramStart"/>
      <w:r>
        <w:rPr>
          <w:rFonts w:ascii="宋体" w:eastAsia="宋体" w:hAnsi="宋体" w:cs="宋体" w:hint="eastAsia"/>
          <w:sz w:val="24"/>
        </w:rPr>
        <w:t>规</w:t>
      </w:r>
      <w:proofErr w:type="gramEnd"/>
      <w:r>
        <w:rPr>
          <w:rFonts w:ascii="宋体" w:eastAsia="宋体" w:hAnsi="宋体" w:cs="宋体" w:hint="eastAsia"/>
          <w:sz w:val="24"/>
        </w:rPr>
        <w:t>；违规销售代销产品，代销不合</w:t>
      </w:r>
      <w:proofErr w:type="gramStart"/>
      <w:r>
        <w:rPr>
          <w:rFonts w:ascii="宋体" w:eastAsia="宋体" w:hAnsi="宋体" w:cs="宋体" w:hint="eastAsia"/>
          <w:sz w:val="24"/>
        </w:rPr>
        <w:t>规</w:t>
      </w:r>
      <w:proofErr w:type="gramEnd"/>
      <w:r>
        <w:rPr>
          <w:rFonts w:ascii="宋体" w:eastAsia="宋体" w:hAnsi="宋体" w:cs="宋体" w:hint="eastAsia"/>
          <w:sz w:val="24"/>
        </w:rPr>
        <w:t>的金融产品，违规开展为本行授信项目提供融资或承接本行表内外资产的“假代销”业务。</w:t>
      </w:r>
    </w:p>
    <w:p w14:paraId="27AFC4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五 、创新业务</w:t>
      </w:r>
    </w:p>
    <w:p w14:paraId="1D16536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13.线</w:t>
      </w:r>
      <w:proofErr w:type="gramStart"/>
      <w:r>
        <w:rPr>
          <w:rFonts w:ascii="宋体" w:eastAsia="宋体" w:hAnsi="宋体" w:cs="宋体" w:hint="eastAsia"/>
          <w:sz w:val="24"/>
        </w:rPr>
        <w:t>上贷</w:t>
      </w:r>
      <w:proofErr w:type="gramEnd"/>
      <w:r>
        <w:rPr>
          <w:rFonts w:ascii="宋体" w:eastAsia="宋体" w:hAnsi="宋体" w:cs="宋体" w:hint="eastAsia"/>
          <w:sz w:val="24"/>
        </w:rPr>
        <w:t>款业务。线上线</w:t>
      </w:r>
      <w:proofErr w:type="gramStart"/>
      <w:r>
        <w:rPr>
          <w:rFonts w:ascii="宋体" w:eastAsia="宋体" w:hAnsi="宋体" w:cs="宋体" w:hint="eastAsia"/>
          <w:sz w:val="24"/>
        </w:rPr>
        <w:t>下业务</w:t>
      </w:r>
      <w:proofErr w:type="gramEnd"/>
      <w:r>
        <w:rPr>
          <w:rFonts w:ascii="宋体" w:eastAsia="宋体" w:hAnsi="宋体" w:cs="宋体" w:hint="eastAsia"/>
          <w:sz w:val="24"/>
        </w:rPr>
        <w:t>统一授信管理不到位；线</w:t>
      </w:r>
      <w:proofErr w:type="gramStart"/>
      <w:r>
        <w:rPr>
          <w:rFonts w:ascii="宋体" w:eastAsia="宋体" w:hAnsi="宋体" w:cs="宋体" w:hint="eastAsia"/>
          <w:sz w:val="24"/>
        </w:rPr>
        <w:t>上贷</w:t>
      </w:r>
      <w:proofErr w:type="gramEnd"/>
      <w:r>
        <w:rPr>
          <w:rFonts w:ascii="宋体" w:eastAsia="宋体" w:hAnsi="宋体" w:cs="宋体" w:hint="eastAsia"/>
          <w:sz w:val="24"/>
        </w:rPr>
        <w:t>款用途违规或被挪用于限制性领域；与合作机构共同出资发放贷款过度依赖合作机构，信贷管理等核心职能实质性外包，风险管控流于形式，贷款用途违规或被挪用于限制性领域；与无放贷业务资质的合作机构共同出资发放贷款；接受无担保资质合作机构提供的担保增信；银行资金借道互联网平台进行监管套利。</w:t>
      </w:r>
    </w:p>
    <w:p w14:paraId="7C89D8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14.信用卡业务。未按监管要求对受疫情影响暂时失去收入来源人群的住房按揭、信用卡等个人信贷作合理调整；信用卡业务虚</w:t>
      </w:r>
      <w:proofErr w:type="gramStart"/>
      <w:r>
        <w:rPr>
          <w:rFonts w:ascii="宋体" w:eastAsia="宋体" w:hAnsi="宋体" w:cs="宋体" w:hint="eastAsia"/>
          <w:sz w:val="24"/>
        </w:rPr>
        <w:t>增客户</w:t>
      </w:r>
      <w:proofErr w:type="gramEnd"/>
      <w:r>
        <w:rPr>
          <w:rFonts w:ascii="宋体" w:eastAsia="宋体" w:hAnsi="宋体" w:cs="宋体" w:hint="eastAsia"/>
          <w:sz w:val="24"/>
        </w:rPr>
        <w:t>偿债能力或违反“刚性扣减”规定，</w:t>
      </w:r>
      <w:proofErr w:type="gramStart"/>
      <w:r>
        <w:rPr>
          <w:rFonts w:ascii="宋体" w:eastAsia="宋体" w:hAnsi="宋体" w:cs="宋体" w:hint="eastAsia"/>
          <w:sz w:val="24"/>
        </w:rPr>
        <w:t>突破总授信</w:t>
      </w:r>
      <w:proofErr w:type="gramEnd"/>
      <w:r>
        <w:rPr>
          <w:rFonts w:ascii="宋体" w:eastAsia="宋体" w:hAnsi="宋体" w:cs="宋体" w:hint="eastAsia"/>
          <w:sz w:val="24"/>
        </w:rPr>
        <w:t>额度上限管控；预借现金业务额度设置过高，不符合审慎管理要求，资金用途管控不力，违规流向非消费领域；分期业务收费不透明、质价不符，侵犯消费者合法权益；未采取有效措施保护客户信息安全，违规泄露、滥用客户信息；对债务人或担保人违规不当催收。</w:t>
      </w:r>
    </w:p>
    <w:p w14:paraId="4F334C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15.衍生产品业务。未经批准擅自开办衍生产品交易业务；未有效执行衍生产品交易业务风险管理的监管要求；衍生产品营销与后续服务不符合监管规定。</w:t>
      </w:r>
    </w:p>
    <w:p w14:paraId="7E0352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 、整改问责</w:t>
      </w:r>
    </w:p>
    <w:p w14:paraId="608D90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16.整改落实与机制建设。未对自查和监管检查发现问题逐项建立台账，未明确整改措施、责任人和完成时限；未按照报送给监管部门的整改问</w:t>
      </w:r>
      <w:proofErr w:type="gramStart"/>
      <w:r>
        <w:rPr>
          <w:rFonts w:ascii="宋体" w:eastAsia="宋体" w:hAnsi="宋体" w:cs="宋体" w:hint="eastAsia"/>
          <w:sz w:val="24"/>
        </w:rPr>
        <w:t>责方案</w:t>
      </w:r>
      <w:proofErr w:type="gramEnd"/>
      <w:r>
        <w:rPr>
          <w:rFonts w:ascii="宋体" w:eastAsia="宋体" w:hAnsi="宋体" w:cs="宋体" w:hint="eastAsia"/>
          <w:sz w:val="24"/>
        </w:rPr>
        <w:t>及时、全面完成整改；整改措施</w:t>
      </w:r>
      <w:proofErr w:type="gramStart"/>
      <w:r>
        <w:rPr>
          <w:rFonts w:ascii="宋体" w:eastAsia="宋体" w:hAnsi="宋体" w:cs="宋体" w:hint="eastAsia"/>
          <w:sz w:val="24"/>
        </w:rPr>
        <w:t>不</w:t>
      </w:r>
      <w:proofErr w:type="gramEnd"/>
      <w:r>
        <w:rPr>
          <w:rFonts w:ascii="宋体" w:eastAsia="宋体" w:hAnsi="宋体" w:cs="宋体" w:hint="eastAsia"/>
          <w:sz w:val="24"/>
        </w:rPr>
        <w:t>对症；未从制度、流程和系统等方面推进根源性整改和机制建设；同质同类案件反复发生。</w:t>
      </w:r>
    </w:p>
    <w:p w14:paraId="31FE46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17.员工行为管理与问责。对员工异常行为检测排查不力；员工参与民间借贷或非法集资、充当资金掮客、与客户</w:t>
      </w:r>
      <w:proofErr w:type="gramStart"/>
      <w:r>
        <w:rPr>
          <w:rFonts w:ascii="宋体" w:eastAsia="宋体" w:hAnsi="宋体" w:cs="宋体" w:hint="eastAsia"/>
          <w:sz w:val="24"/>
        </w:rPr>
        <w:t>不当资金</w:t>
      </w:r>
      <w:proofErr w:type="gramEnd"/>
      <w:r>
        <w:rPr>
          <w:rFonts w:ascii="宋体" w:eastAsia="宋体" w:hAnsi="宋体" w:cs="宋体" w:hint="eastAsia"/>
          <w:sz w:val="24"/>
        </w:rPr>
        <w:t>往来等；监管部门责令内部问责的，未严肃追究；内部问责机制不健全，内部问责偏松偏软、“问下不问上”、简单以经济处罚代替纪律处分。</w:t>
      </w:r>
    </w:p>
    <w:p w14:paraId="02D79B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附件2</w:t>
      </w:r>
    </w:p>
    <w:p w14:paraId="2464D0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2020年非银行机构市场乱象整治“回头看”工作要点</w:t>
      </w:r>
    </w:p>
    <w:p w14:paraId="4A91BD50"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一</w:t>
      </w:r>
      <w:proofErr w:type="gramEnd"/>
      <w:r>
        <w:rPr>
          <w:rFonts w:ascii="宋体" w:eastAsia="宋体" w:hAnsi="宋体" w:cs="宋体" w:hint="eastAsia"/>
          <w:sz w:val="24"/>
        </w:rPr>
        <w:t> 、保险机构</w:t>
      </w:r>
    </w:p>
    <w:p w14:paraId="541874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（一）宏观政策执行</w:t>
      </w:r>
    </w:p>
    <w:p w14:paraId="4937C66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保险资金违规投向国家及监管禁止的行业或产业；通过股权投资、不动产投资等方式违规向不符合政策要求的房地产公司、房地产项目提供融资；违规向地方政府提供融资或通过融资平台违规新增地方政府债务；保险产品开发设计和业务发展偏离保障本源；精准扶贫政策执行不到位，扶贫专属农业保险产品与普通商业保险产品无实质差异，“三区三州”深度贫困地区农业保险费率未按要求降低等。</w:t>
      </w:r>
    </w:p>
    <w:p w14:paraId="7BC23A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（二）公司治理</w:t>
      </w:r>
    </w:p>
    <w:p w14:paraId="655D44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股东虚假出资、循环注资、抽逃股本；股东资质不符合要求，入股资金来源不合法；股权关系不透明、不清晰，违规股权代持，隐藏实际控制人，隐瞒关联关系；股权质押和解质押不规范；股东质押股权损害其他股东和保险公司的利益；股东利用股权质押形式，</w:t>
      </w:r>
      <w:proofErr w:type="gramStart"/>
      <w:r>
        <w:rPr>
          <w:rFonts w:ascii="宋体" w:eastAsia="宋体" w:hAnsi="宋体" w:cs="宋体" w:hint="eastAsia"/>
          <w:sz w:val="24"/>
        </w:rPr>
        <w:t>代持保险公司</w:t>
      </w:r>
      <w:proofErr w:type="gramEnd"/>
      <w:r>
        <w:rPr>
          <w:rFonts w:ascii="宋体" w:eastAsia="宋体" w:hAnsi="宋体" w:cs="宋体" w:hint="eastAsia"/>
          <w:sz w:val="24"/>
        </w:rPr>
        <w:t>股权、违规关联持股以及变相转移股权；控股股东利用其控制地位损害保险公司及其他利益相关方的合法权益；公司章程不完善；公司治理机制失灵，股东（大）会、董事会长期无法正常召开或</w:t>
      </w:r>
      <w:proofErr w:type="gramStart"/>
      <w:r>
        <w:rPr>
          <w:rFonts w:ascii="宋体" w:eastAsia="宋体" w:hAnsi="宋体" w:cs="宋体" w:hint="eastAsia"/>
          <w:sz w:val="24"/>
        </w:rPr>
        <w:t>作出</w:t>
      </w:r>
      <w:proofErr w:type="gramEnd"/>
      <w:r>
        <w:rPr>
          <w:rFonts w:ascii="宋体" w:eastAsia="宋体" w:hAnsi="宋体" w:cs="宋体" w:hint="eastAsia"/>
          <w:sz w:val="24"/>
        </w:rPr>
        <w:t>决策；董事会授权笼统，重要事项未经董事会审议；发展规划实施情况等事项未经监事会审议；</w:t>
      </w:r>
      <w:proofErr w:type="gramStart"/>
      <w:r>
        <w:rPr>
          <w:rFonts w:ascii="宋体" w:eastAsia="宋体" w:hAnsi="宋体" w:cs="宋体" w:hint="eastAsia"/>
          <w:sz w:val="24"/>
        </w:rPr>
        <w:t>董监高履职</w:t>
      </w:r>
      <w:proofErr w:type="gramEnd"/>
      <w:r>
        <w:rPr>
          <w:rFonts w:ascii="宋体" w:eastAsia="宋体" w:hAnsi="宋体" w:cs="宋体" w:hint="eastAsia"/>
          <w:sz w:val="24"/>
        </w:rPr>
        <w:t>前未取得任职资格，兼任不相容职务，关键岗位长期空缺；激励约束机制和责任追究机制不完善，考核评价体系中不包含风险合</w:t>
      </w:r>
      <w:proofErr w:type="gramStart"/>
      <w:r>
        <w:rPr>
          <w:rFonts w:ascii="宋体" w:eastAsia="宋体" w:hAnsi="宋体" w:cs="宋体" w:hint="eastAsia"/>
          <w:sz w:val="24"/>
        </w:rPr>
        <w:t>规</w:t>
      </w:r>
      <w:proofErr w:type="gramEnd"/>
      <w:r>
        <w:rPr>
          <w:rFonts w:ascii="宋体" w:eastAsia="宋体" w:hAnsi="宋体" w:cs="宋体" w:hint="eastAsia"/>
          <w:sz w:val="24"/>
        </w:rPr>
        <w:t>指标；未按监管规定进行关联交易管理，关联交易审查不合</w:t>
      </w:r>
      <w:proofErr w:type="gramStart"/>
      <w:r>
        <w:rPr>
          <w:rFonts w:ascii="宋体" w:eastAsia="宋体" w:hAnsi="宋体" w:cs="宋体" w:hint="eastAsia"/>
          <w:sz w:val="24"/>
        </w:rPr>
        <w:t>规</w:t>
      </w:r>
      <w:proofErr w:type="gramEnd"/>
      <w:r>
        <w:rPr>
          <w:rFonts w:ascii="宋体" w:eastAsia="宋体" w:hAnsi="宋体" w:cs="宋体" w:hint="eastAsia"/>
          <w:sz w:val="24"/>
        </w:rPr>
        <w:t>，通过关联交易向股东和其他关系人输送利益，关联交易报告和信息披露不合</w:t>
      </w:r>
      <w:proofErr w:type="gramStart"/>
      <w:r>
        <w:rPr>
          <w:rFonts w:ascii="宋体" w:eastAsia="宋体" w:hAnsi="宋体" w:cs="宋体" w:hint="eastAsia"/>
          <w:sz w:val="24"/>
        </w:rPr>
        <w:t>规</w:t>
      </w:r>
      <w:proofErr w:type="gramEnd"/>
      <w:r>
        <w:rPr>
          <w:rFonts w:ascii="宋体" w:eastAsia="宋体" w:hAnsi="宋体" w:cs="宋体" w:hint="eastAsia"/>
          <w:sz w:val="24"/>
        </w:rPr>
        <w:t>；内部审计制度不完善，内部审计人员不足，未按照监管规定开展董事及高级管理人员离任审计；并表管理不符合监管规定，通过内部交易输送利益、隐匿风险、进行监管套利等。</w:t>
      </w:r>
    </w:p>
    <w:p w14:paraId="4609F3E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（三）保险资金运用</w:t>
      </w:r>
    </w:p>
    <w:p w14:paraId="06DEE5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未坚持稳健审慎和安全性原则；利用未上市股权和不动产投资等方式设立平台公司，通过平台公司截留、挪用、转移保险资金，向关联方输送利益，违规用于增资；投资单一资产和单一交易</w:t>
      </w:r>
      <w:proofErr w:type="gramStart"/>
      <w:r>
        <w:rPr>
          <w:rFonts w:ascii="宋体" w:eastAsia="宋体" w:hAnsi="宋体" w:cs="宋体" w:hint="eastAsia"/>
          <w:sz w:val="24"/>
        </w:rPr>
        <w:t>对手超集中</w:t>
      </w:r>
      <w:proofErr w:type="gramEnd"/>
      <w:r>
        <w:rPr>
          <w:rFonts w:ascii="宋体" w:eastAsia="宋体" w:hAnsi="宋体" w:cs="宋体" w:hint="eastAsia"/>
          <w:sz w:val="24"/>
        </w:rPr>
        <w:t>度上限比例；发行通道性质的组合类</w:t>
      </w:r>
      <w:proofErr w:type="gramStart"/>
      <w:r>
        <w:rPr>
          <w:rFonts w:ascii="宋体" w:eastAsia="宋体" w:hAnsi="宋体" w:cs="宋体" w:hint="eastAsia"/>
          <w:sz w:val="24"/>
        </w:rPr>
        <w:t>保险资管产品</w:t>
      </w:r>
      <w:proofErr w:type="gramEnd"/>
      <w:r>
        <w:rPr>
          <w:rFonts w:ascii="宋体" w:eastAsia="宋体" w:hAnsi="宋体" w:cs="宋体" w:hint="eastAsia"/>
          <w:sz w:val="24"/>
        </w:rPr>
        <w:t>，为其他机构违规开展关联交易或规避监管提供通道；组合</w:t>
      </w:r>
      <w:proofErr w:type="gramStart"/>
      <w:r>
        <w:rPr>
          <w:rFonts w:ascii="宋体" w:eastAsia="宋体" w:hAnsi="宋体" w:cs="宋体" w:hint="eastAsia"/>
          <w:sz w:val="24"/>
        </w:rPr>
        <w:t>类资管</w:t>
      </w:r>
      <w:proofErr w:type="gramEnd"/>
      <w:r>
        <w:rPr>
          <w:rFonts w:ascii="宋体" w:eastAsia="宋体" w:hAnsi="宋体" w:cs="宋体" w:hint="eastAsia"/>
          <w:sz w:val="24"/>
        </w:rPr>
        <w:t>产品开展违反</w:t>
      </w:r>
      <w:proofErr w:type="gramStart"/>
      <w:r>
        <w:rPr>
          <w:rFonts w:ascii="宋体" w:eastAsia="宋体" w:hAnsi="宋体" w:cs="宋体" w:hint="eastAsia"/>
          <w:sz w:val="24"/>
        </w:rPr>
        <w:t>资管新规</w:t>
      </w:r>
      <w:proofErr w:type="gramEnd"/>
      <w:r>
        <w:rPr>
          <w:rFonts w:ascii="宋体" w:eastAsia="宋体" w:hAnsi="宋体" w:cs="宋体" w:hint="eastAsia"/>
          <w:sz w:val="24"/>
        </w:rPr>
        <w:t>要求的多层嵌套投资业务；通过多层嵌套等方式开展集合资金信托计划投资规避监管规定；在不具备投资管理能力情况下，借用受托通</w:t>
      </w:r>
      <w:r>
        <w:rPr>
          <w:rFonts w:ascii="宋体" w:eastAsia="宋体" w:hAnsi="宋体" w:cs="宋体" w:hint="eastAsia"/>
          <w:sz w:val="24"/>
        </w:rPr>
        <w:lastRenderedPageBreak/>
        <w:t>道变相自行开展股票等高风险领域投资，妨碍干预受托人正常履行职责；投后管理不到位等。</w:t>
      </w:r>
    </w:p>
    <w:p w14:paraId="3005C8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（四）销售理赔</w:t>
      </w:r>
    </w:p>
    <w:p w14:paraId="68D8EB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销售未经相关金融监管部门审批的非保险金融产品；违规开展或协助相关企业和个人开展非法集资活动等。</w:t>
      </w:r>
    </w:p>
    <w:p w14:paraId="64C89D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银行理财产品、银行存款、证券投资基金份额等其他金融产品的名义宣传销售保险产品；对投保人隐瞒与保险合同有关的重要情况，夸大保险责任或保险产品收益，对保险公司的股东情况、经营状况以及过往经营成果作虚假宣传；对与保险业务相关的法律、法规、政策作虚假宣传；以保险产品即将停售或费率即将调整为由进行虚假宣传，诱导消费者购买保险产品；恶意误导或怂恿客户退保致使消费者承受不必要的合同权益损失；违规泄露客户信息；电话扰民；在帮助借款人获得贷款时，通过隐瞒的方式，使借款人在不知情的情况下购买保证保险产品；未按照规定使用经批准或者备案的保险条款、费率；在未经投保人或被保险人同意的情况下，通过特别约定，单方加重消费者合同义务；未按规定开展电子化回访侵害投保人犹豫期合法权利；给予投保人、被保险人、受益人保险合同约定之外的利益等。</w:t>
      </w:r>
    </w:p>
    <w:p w14:paraId="7F3BFE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未按照法定或者保险合同约定的时限开展理赔；未一次性告知需要补充的理赔资料；要求保险消费者提供超出保险合同约定的理赔资料；保险机构、保险从业人员参与虚假理赔等。</w:t>
      </w:r>
    </w:p>
    <w:p w14:paraId="3BA493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（五）财务业务数据</w:t>
      </w:r>
    </w:p>
    <w:p w14:paraId="33C6D8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偿付能力数据不真实，偿付能力信息披露不及时、不完整、不真实；财务数据不真实，会计信息偏离经济实质和风险实质，不符合稳健性原则；客户信息不真实、不完整；通过虚假中介业务、虚列费用等方式套取资金；人为延迟或调整费用入账时间，违规计提责任准备金调整经营结果等。</w:t>
      </w:r>
    </w:p>
    <w:p w14:paraId="6E60BC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（六）万能险业务</w:t>
      </w:r>
    </w:p>
    <w:p w14:paraId="103B89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万能单独账户的资产未单独管理；在同一万能单独账户管理的保单未采用同一结算利率；万能账户实际结算利率未根据万能账户单独资产的实际投资状况科</w:t>
      </w:r>
      <w:r>
        <w:rPr>
          <w:rFonts w:ascii="宋体" w:eastAsia="宋体" w:hAnsi="宋体" w:cs="宋体" w:hint="eastAsia"/>
          <w:sz w:val="24"/>
        </w:rPr>
        <w:lastRenderedPageBreak/>
        <w:t>学合理地确定，存在刚性兑付的情形；万能单独账户资产负债严重错配，对可能存在的利差损风险和流动性风险未制定可行的应对措施等。</w:t>
      </w:r>
    </w:p>
    <w:p w14:paraId="570420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（七）创新业务</w:t>
      </w:r>
    </w:p>
    <w:p w14:paraId="54640F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以“产品升级”为噱头推动产品销售，“产品升级”后新老产品无实质变化；未经客户同意对停售险种进行自动转换，默认客户同意转换为替代产品，对新产品未尽说明告知义务，未履行新产品的投保手续等。</w:t>
      </w:r>
    </w:p>
    <w:p w14:paraId="1DBE69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委托未取得保险销售资格的第三方网络平台从事保险销售活动；开展互联网保险业务信息披露和风险提示不充分，对投保人隐瞒与保险合同有关的重要情况，对保额、保费、保险责任、保险人等投保信息告知不足，投保单未经投保人签署确认，并按规定保存投保业务档案；互联网保险业务投保过程中和投保后，未向客户提供完整的保险条款和保单信息查询渠道等。</w:t>
      </w:r>
    </w:p>
    <w:p w14:paraId="2CDAECF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、信托公司</w:t>
      </w:r>
    </w:p>
    <w:p w14:paraId="65C298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（一）宏观政策执行</w:t>
      </w:r>
    </w:p>
    <w:p w14:paraId="755A90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未严格执行房地产信托贷款监管政策，向不满足“四三二”要求的房地产开发项目提供贷款；直接或变相为房地产企业提供土地储备贷款或流动资金贷款；以向开发商上下游企业、关联方或施工方发放贷款等名义将资金实际用于房地产开发，规避房地产信托贷款相关监管要求；对委托方信托目的合法合</w:t>
      </w:r>
      <w:proofErr w:type="gramStart"/>
      <w:r>
        <w:rPr>
          <w:rFonts w:ascii="宋体" w:eastAsia="宋体" w:hAnsi="宋体" w:cs="宋体" w:hint="eastAsia"/>
          <w:sz w:val="24"/>
        </w:rPr>
        <w:t>规</w:t>
      </w:r>
      <w:proofErr w:type="gramEnd"/>
      <w:r>
        <w:rPr>
          <w:rFonts w:ascii="宋体" w:eastAsia="宋体" w:hAnsi="宋体" w:cs="宋体" w:hint="eastAsia"/>
          <w:sz w:val="24"/>
        </w:rPr>
        <w:t>性审核不严，为各类资金违规流入房地产市场提供便利；人为调整房地产业</w:t>
      </w:r>
      <w:proofErr w:type="gramStart"/>
      <w:r>
        <w:rPr>
          <w:rFonts w:ascii="宋体" w:eastAsia="宋体" w:hAnsi="宋体" w:cs="宋体" w:hint="eastAsia"/>
          <w:sz w:val="24"/>
        </w:rPr>
        <w:t>务</w:t>
      </w:r>
      <w:proofErr w:type="gramEnd"/>
      <w:r>
        <w:rPr>
          <w:rFonts w:ascii="宋体" w:eastAsia="宋体" w:hAnsi="宋体" w:cs="宋体" w:hint="eastAsia"/>
          <w:sz w:val="24"/>
        </w:rPr>
        <w:t>分类、规避合</w:t>
      </w:r>
      <w:proofErr w:type="gramStart"/>
      <w:r>
        <w:rPr>
          <w:rFonts w:ascii="宋体" w:eastAsia="宋体" w:hAnsi="宋体" w:cs="宋体" w:hint="eastAsia"/>
          <w:sz w:val="24"/>
        </w:rPr>
        <w:t>规</w:t>
      </w:r>
      <w:proofErr w:type="gramEnd"/>
      <w:r>
        <w:rPr>
          <w:rFonts w:ascii="宋体" w:eastAsia="宋体" w:hAnsi="宋体" w:cs="宋体" w:hint="eastAsia"/>
          <w:sz w:val="24"/>
        </w:rPr>
        <w:t>要求或规模管控要求；违法违规向地方政府融资平台提供融资；违规要求或接受地方政府及其所属部门提供各种形式的担保等。</w:t>
      </w:r>
    </w:p>
    <w:p w14:paraId="2E5346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（二）公司治理</w:t>
      </w:r>
    </w:p>
    <w:p w14:paraId="4BCE7C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股东资质不合</w:t>
      </w:r>
      <w:proofErr w:type="gramStart"/>
      <w:r>
        <w:rPr>
          <w:rFonts w:ascii="宋体" w:eastAsia="宋体" w:hAnsi="宋体" w:cs="宋体" w:hint="eastAsia"/>
          <w:sz w:val="24"/>
        </w:rPr>
        <w:t>规</w:t>
      </w:r>
      <w:proofErr w:type="gramEnd"/>
      <w:r>
        <w:rPr>
          <w:rFonts w:ascii="宋体" w:eastAsia="宋体" w:hAnsi="宋体" w:cs="宋体" w:hint="eastAsia"/>
          <w:sz w:val="24"/>
        </w:rPr>
        <w:t>；股东存在虚假出资、循环注资、抽逃股本、</w:t>
      </w:r>
      <w:proofErr w:type="gramStart"/>
      <w:r>
        <w:rPr>
          <w:rFonts w:ascii="宋体" w:eastAsia="宋体" w:hAnsi="宋体" w:cs="宋体" w:hint="eastAsia"/>
          <w:sz w:val="24"/>
        </w:rPr>
        <w:t>代持股权</w:t>
      </w:r>
      <w:proofErr w:type="gramEnd"/>
      <w:r>
        <w:rPr>
          <w:rFonts w:ascii="宋体" w:eastAsia="宋体" w:hAnsi="宋体" w:cs="宋体" w:hint="eastAsia"/>
          <w:sz w:val="24"/>
        </w:rPr>
        <w:t>等行为；股东信息不透明；股东违规持有多家信托公司股权；股东违规质押信托公司股权；通过变更股东公司股权间接转让所持有信托公司股权，规避股权变更审批；股东滥用股东权利或不履行股东义务，损害信托公司、信托当事人、其他股东利益；通过关联交易向股东或实际控制人进行利益输送；公司章程不完善；董事、高级管理人员履职前未取得任职资格，</w:t>
      </w:r>
      <w:proofErr w:type="gramStart"/>
      <w:r>
        <w:rPr>
          <w:rFonts w:ascii="宋体" w:eastAsia="宋体" w:hAnsi="宋体" w:cs="宋体" w:hint="eastAsia"/>
          <w:sz w:val="24"/>
        </w:rPr>
        <w:t>董监高兼任</w:t>
      </w:r>
      <w:proofErr w:type="gramEnd"/>
      <w:r>
        <w:rPr>
          <w:rFonts w:ascii="宋体" w:eastAsia="宋体" w:hAnsi="宋体" w:cs="宋体" w:hint="eastAsia"/>
          <w:sz w:val="24"/>
        </w:rPr>
        <w:t>不相容职务，关键岗位长期空</w:t>
      </w:r>
      <w:r>
        <w:rPr>
          <w:rFonts w:ascii="宋体" w:eastAsia="宋体" w:hAnsi="宋体" w:cs="宋体" w:hint="eastAsia"/>
          <w:sz w:val="24"/>
        </w:rPr>
        <w:lastRenderedPageBreak/>
        <w:t>缺，董事长或总经理代为履职时间超期；未按监管要求准确识别关联方、及时更新并报送关联方名单；关联交易控制委员会未按要求设立或未有效发挥职能；公司激励约束机制不合理，薪酬延期支付和追索扣回机制不健全等。</w:t>
      </w:r>
    </w:p>
    <w:p w14:paraId="4B9BAB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（三）影子银行和交叉金融业务</w:t>
      </w:r>
    </w:p>
    <w:p w14:paraId="2E095C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信托公司非标资金</w:t>
      </w:r>
      <w:proofErr w:type="gramStart"/>
      <w:r>
        <w:rPr>
          <w:rFonts w:ascii="宋体" w:eastAsia="宋体" w:hAnsi="宋体" w:cs="宋体" w:hint="eastAsia"/>
          <w:sz w:val="24"/>
        </w:rPr>
        <w:t>池业务</w:t>
      </w:r>
      <w:proofErr w:type="gramEnd"/>
      <w:r>
        <w:rPr>
          <w:rFonts w:ascii="宋体" w:eastAsia="宋体" w:hAnsi="宋体" w:cs="宋体" w:hint="eastAsia"/>
          <w:sz w:val="24"/>
        </w:rPr>
        <w:t>清理进展缓慢；存量非标资金</w:t>
      </w:r>
      <w:proofErr w:type="gramStart"/>
      <w:r>
        <w:rPr>
          <w:rFonts w:ascii="宋体" w:eastAsia="宋体" w:hAnsi="宋体" w:cs="宋体" w:hint="eastAsia"/>
          <w:sz w:val="24"/>
        </w:rPr>
        <w:t>池业务</w:t>
      </w:r>
      <w:proofErr w:type="gramEnd"/>
      <w:r>
        <w:rPr>
          <w:rFonts w:ascii="宋体" w:eastAsia="宋体" w:hAnsi="宋体" w:cs="宋体" w:hint="eastAsia"/>
          <w:sz w:val="24"/>
        </w:rPr>
        <w:t>底层资产到期后继续滚动发行；直接或通过分期发行、开放式、多层嵌套等方式变相新增非标资金池业务；通过非标资金池承接不良资产，隐匿风险；对非标资金</w:t>
      </w:r>
      <w:proofErr w:type="gramStart"/>
      <w:r>
        <w:rPr>
          <w:rFonts w:ascii="宋体" w:eastAsia="宋体" w:hAnsi="宋体" w:cs="宋体" w:hint="eastAsia"/>
          <w:sz w:val="24"/>
        </w:rPr>
        <w:t>池业务</w:t>
      </w:r>
      <w:proofErr w:type="gramEnd"/>
      <w:r>
        <w:rPr>
          <w:rFonts w:ascii="宋体" w:eastAsia="宋体" w:hAnsi="宋体" w:cs="宋体" w:hint="eastAsia"/>
          <w:sz w:val="24"/>
        </w:rPr>
        <w:t>资金来源、底层资产、实际资金用途和实际风险承担情况未进行有效穿透管理等。</w:t>
      </w:r>
    </w:p>
    <w:p w14:paraId="384004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协助银行等其他金融机构规避宏观调控政策和监管规定，隐匿风险、调节数据；合作机构准入管理不健全，合作相关方权责界定不清晰；为不具有金融业务许可资质的第三方机构变相开展金融业务提供通道服务；未制定年度去通道、去嵌套整改计划并按期落实；同业通道业务未按“穿透”原则向上识别最终投资者和资金来源、向下识别底层资产等。</w:t>
      </w:r>
    </w:p>
    <w:p w14:paraId="0B074E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（四）融资类信托业务</w:t>
      </w:r>
    </w:p>
    <w:p w14:paraId="3253CC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尽职调查不审慎、不细致、不深入；贷后管理不到位；对于可能的风险损失，未充分计提信托资产减值准备或未根据信托公司履职不当责任计提预计负债；未按监管要求制定融资类信托业务压缩计划并有效落实等。</w:t>
      </w:r>
    </w:p>
    <w:p w14:paraId="53E371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（五）非金融子公司管理</w:t>
      </w:r>
    </w:p>
    <w:p w14:paraId="5786A7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未经批准违规设立非金融子公司；未按监管要求组织开展非金融子公司清理工作，或清理进度滞后；非金融子公司开展类信托或监管套利、隐匿风险的通道业务；非金融子公司开展具有非标资金</w:t>
      </w:r>
      <w:proofErr w:type="gramStart"/>
      <w:r>
        <w:rPr>
          <w:rFonts w:ascii="宋体" w:eastAsia="宋体" w:hAnsi="宋体" w:cs="宋体" w:hint="eastAsia"/>
          <w:sz w:val="24"/>
        </w:rPr>
        <w:t>池特征</w:t>
      </w:r>
      <w:proofErr w:type="gramEnd"/>
      <w:r>
        <w:rPr>
          <w:rFonts w:ascii="宋体" w:eastAsia="宋体" w:hAnsi="宋体" w:cs="宋体" w:hint="eastAsia"/>
          <w:sz w:val="24"/>
        </w:rPr>
        <w:t>的业务，存在较大流动性风险；信托公司与非金融子公司违规开展关联交易，融出资金、转移财产、输送利益；非金融子公司层级过多，组织架构复杂，超出信托公司管理能力等。</w:t>
      </w:r>
    </w:p>
    <w:p w14:paraId="63D59F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（六）经营管理</w:t>
      </w:r>
    </w:p>
    <w:p w14:paraId="156689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通过互联网引流或聘请第三方非金融机构违规推介销售产品；未严格执行“双录”制度或违规承诺保本保收益；以提供流动性支持函、回购承诺函等方式</w:t>
      </w:r>
      <w:r>
        <w:rPr>
          <w:rFonts w:ascii="宋体" w:eastAsia="宋体" w:hAnsi="宋体" w:cs="宋体" w:hint="eastAsia"/>
          <w:sz w:val="24"/>
        </w:rPr>
        <w:lastRenderedPageBreak/>
        <w:t>向投资者提供隐性担保；信息披露不及时、不准确、不完整，未真实反映资产质量；将风险资产虚假出表，风险未真实转移等。</w:t>
      </w:r>
    </w:p>
    <w:p w14:paraId="19C3D9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（七）创新业务</w:t>
      </w:r>
    </w:p>
    <w:p w14:paraId="098B14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以各类“明股实债”、收（受）益权或其他“伪创新”规避监管规定；通过信托受益权流转等方式规避监管要求；违规直接或变相新增“多层嵌套”业务；变相突破创新业务资格要求开展创新业务；其他通过“伪创新”进行监管套利或隐匿风险的行为等。</w:t>
      </w:r>
    </w:p>
    <w:p w14:paraId="37A381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、其他非银机构</w:t>
      </w:r>
    </w:p>
    <w:p w14:paraId="16993B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（一）金融资产管理公司</w:t>
      </w:r>
    </w:p>
    <w:p w14:paraId="0F7CA3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1.宏观政策执行。违规开展房地产业</w:t>
      </w:r>
      <w:proofErr w:type="gramStart"/>
      <w:r>
        <w:rPr>
          <w:rFonts w:ascii="宋体" w:eastAsia="宋体" w:hAnsi="宋体" w:cs="宋体" w:hint="eastAsia"/>
          <w:sz w:val="24"/>
        </w:rPr>
        <w:t>务</w:t>
      </w:r>
      <w:proofErr w:type="gramEnd"/>
      <w:r>
        <w:rPr>
          <w:rFonts w:ascii="宋体" w:eastAsia="宋体" w:hAnsi="宋体" w:cs="宋体" w:hint="eastAsia"/>
          <w:sz w:val="24"/>
        </w:rPr>
        <w:t>；违规向地方政府及融资平台提供融资等。</w:t>
      </w:r>
    </w:p>
    <w:p w14:paraId="3B99E7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2.公司治理。董事和高级管理人员履职前未取得任职资格，兼任不相容职务，关键岗位长期空缺；董监事未勤勉履职尽职；关联方清单管理不完善，通过关联交易输送利益、掩盖风险等。</w:t>
      </w:r>
    </w:p>
    <w:p w14:paraId="1A5ABB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3.附属机构管理。非金融子公司战略定位不清晰，内部治理失效，业务开展不合</w:t>
      </w:r>
      <w:proofErr w:type="gramStart"/>
      <w:r>
        <w:rPr>
          <w:rFonts w:ascii="宋体" w:eastAsia="宋体" w:hAnsi="宋体" w:cs="宋体" w:hint="eastAsia"/>
          <w:sz w:val="24"/>
        </w:rPr>
        <w:t>规</w:t>
      </w:r>
      <w:proofErr w:type="gramEnd"/>
      <w:r>
        <w:rPr>
          <w:rFonts w:ascii="宋体" w:eastAsia="宋体" w:hAnsi="宋体" w:cs="宋体" w:hint="eastAsia"/>
          <w:sz w:val="24"/>
        </w:rPr>
        <w:t>，审批授权不合理；未按规定压缩集团层级并清理子公司；子公司清理过程中资产转让、处置不合</w:t>
      </w:r>
      <w:proofErr w:type="gramStart"/>
      <w:r>
        <w:rPr>
          <w:rFonts w:ascii="宋体" w:eastAsia="宋体" w:hAnsi="宋体" w:cs="宋体" w:hint="eastAsia"/>
          <w:sz w:val="24"/>
        </w:rPr>
        <w:t>规</w:t>
      </w:r>
      <w:proofErr w:type="gramEnd"/>
      <w:r>
        <w:rPr>
          <w:rFonts w:ascii="宋体" w:eastAsia="宋体" w:hAnsi="宋体" w:cs="宋体" w:hint="eastAsia"/>
          <w:sz w:val="24"/>
        </w:rPr>
        <w:t>等。</w:t>
      </w:r>
    </w:p>
    <w:p w14:paraId="25DEF38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4.资产质量。未按规定做实资产质量；通过分公司之间、分公司与子公司之间内部交易掩盖风险；风险资产处置化解不力，未有效执行集中度风险和限额管控等。</w:t>
      </w:r>
    </w:p>
    <w:p w14:paraId="753067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5.业务经营。业务开展不合</w:t>
      </w:r>
      <w:proofErr w:type="gramStart"/>
      <w:r>
        <w:rPr>
          <w:rFonts w:ascii="宋体" w:eastAsia="宋体" w:hAnsi="宋体" w:cs="宋体" w:hint="eastAsia"/>
          <w:sz w:val="24"/>
        </w:rPr>
        <w:t>规</w:t>
      </w:r>
      <w:proofErr w:type="gramEnd"/>
      <w:r>
        <w:rPr>
          <w:rFonts w:ascii="宋体" w:eastAsia="宋体" w:hAnsi="宋体" w:cs="宋体" w:hint="eastAsia"/>
          <w:sz w:val="24"/>
        </w:rPr>
        <w:t>、不审慎，为银行业金融机构规避资产质量监管提供通道，以收购金融或非金融不良资产名义变相提供融资等。</w:t>
      </w:r>
    </w:p>
    <w:p w14:paraId="5D0F63D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（二）金融租赁公司</w:t>
      </w:r>
    </w:p>
    <w:p w14:paraId="3276BF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1.宏观政策执行。违规开展房地产业</w:t>
      </w:r>
      <w:proofErr w:type="gramStart"/>
      <w:r>
        <w:rPr>
          <w:rFonts w:ascii="宋体" w:eastAsia="宋体" w:hAnsi="宋体" w:cs="宋体" w:hint="eastAsia"/>
          <w:sz w:val="24"/>
        </w:rPr>
        <w:t>务</w:t>
      </w:r>
      <w:proofErr w:type="gramEnd"/>
      <w:r>
        <w:rPr>
          <w:rFonts w:ascii="宋体" w:eastAsia="宋体" w:hAnsi="宋体" w:cs="宋体" w:hint="eastAsia"/>
          <w:sz w:val="24"/>
        </w:rPr>
        <w:t>；违规向地方政府及融资平台提供融资等。</w:t>
      </w:r>
    </w:p>
    <w:p w14:paraId="109C42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2.公司治理。股权管理不合</w:t>
      </w:r>
      <w:proofErr w:type="gramStart"/>
      <w:r>
        <w:rPr>
          <w:rFonts w:ascii="宋体" w:eastAsia="宋体" w:hAnsi="宋体" w:cs="宋体" w:hint="eastAsia"/>
          <w:sz w:val="24"/>
        </w:rPr>
        <w:t>规</w:t>
      </w:r>
      <w:proofErr w:type="gramEnd"/>
      <w:r>
        <w:rPr>
          <w:rFonts w:ascii="宋体" w:eastAsia="宋体" w:hAnsi="宋体" w:cs="宋体" w:hint="eastAsia"/>
          <w:sz w:val="24"/>
        </w:rPr>
        <w:t>，存在隐形股东、虚假出资、循环注资、违规股权质押等情况；董事会及下设专业委员会、监事会履职有效性不足；关联方识别不到位，重大关联交易审批程序不合</w:t>
      </w:r>
      <w:proofErr w:type="gramStart"/>
      <w:r>
        <w:rPr>
          <w:rFonts w:ascii="宋体" w:eastAsia="宋体" w:hAnsi="宋体" w:cs="宋体" w:hint="eastAsia"/>
          <w:sz w:val="24"/>
        </w:rPr>
        <w:t>规</w:t>
      </w:r>
      <w:proofErr w:type="gramEnd"/>
      <w:r>
        <w:rPr>
          <w:rFonts w:ascii="宋体" w:eastAsia="宋体" w:hAnsi="宋体" w:cs="宋体" w:hint="eastAsia"/>
          <w:sz w:val="24"/>
        </w:rPr>
        <w:t>，关联度指标超标；隐匿关联交易，违规通过关联交易输送利益等。</w:t>
      </w:r>
    </w:p>
    <w:p w14:paraId="55B1DA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3.资产质量。未按规定做实资产质量，掩藏或虚假处置不良资产，未按规定计</w:t>
      </w:r>
      <w:proofErr w:type="gramStart"/>
      <w:r>
        <w:rPr>
          <w:rFonts w:ascii="宋体" w:eastAsia="宋体" w:hAnsi="宋体" w:cs="宋体" w:hint="eastAsia"/>
          <w:sz w:val="24"/>
        </w:rPr>
        <w:t>提拨</w:t>
      </w:r>
      <w:proofErr w:type="gramEnd"/>
      <w:r>
        <w:rPr>
          <w:rFonts w:ascii="宋体" w:eastAsia="宋体" w:hAnsi="宋体" w:cs="宋体" w:hint="eastAsia"/>
          <w:sz w:val="24"/>
        </w:rPr>
        <w:t>备等。</w:t>
      </w:r>
    </w:p>
    <w:p w14:paraId="2319A6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业务经营。租赁业务“三查”不到位，未严格进行客户资质审核，放款或担保审批不到位，违规以未取得所有权或所有权存在瑕疵的财产作为租赁物；授信集中度超出监管指标；未真实洁净转让或受让租赁资产等。</w:t>
      </w:r>
    </w:p>
    <w:p w14:paraId="2A0C592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（三）财务公司</w:t>
      </w:r>
    </w:p>
    <w:p w14:paraId="36C49D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1.公司治理。股东股权管理不合</w:t>
      </w:r>
      <w:proofErr w:type="gramStart"/>
      <w:r>
        <w:rPr>
          <w:rFonts w:ascii="宋体" w:eastAsia="宋体" w:hAnsi="宋体" w:cs="宋体" w:hint="eastAsia"/>
          <w:sz w:val="24"/>
        </w:rPr>
        <w:t>规</w:t>
      </w:r>
      <w:proofErr w:type="gramEnd"/>
      <w:r>
        <w:rPr>
          <w:rFonts w:ascii="宋体" w:eastAsia="宋体" w:hAnsi="宋体" w:cs="宋体" w:hint="eastAsia"/>
          <w:sz w:val="24"/>
        </w:rPr>
        <w:t>；董事会及专业委员会履职有效性不足，监事会监督作用未充分发挥；关键岗位长期空缺，兼任不相容职务；薪酬管理制度不完善或执行不力等。</w:t>
      </w:r>
    </w:p>
    <w:p w14:paraId="2FCD00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2.资产质量。未按规定做实资产质量，风险分类不全面、不准确；未按规定计</w:t>
      </w:r>
      <w:proofErr w:type="gramStart"/>
      <w:r>
        <w:rPr>
          <w:rFonts w:ascii="宋体" w:eastAsia="宋体" w:hAnsi="宋体" w:cs="宋体" w:hint="eastAsia"/>
          <w:sz w:val="24"/>
        </w:rPr>
        <w:t>提拨</w:t>
      </w:r>
      <w:proofErr w:type="gramEnd"/>
      <w:r>
        <w:rPr>
          <w:rFonts w:ascii="宋体" w:eastAsia="宋体" w:hAnsi="宋体" w:cs="宋体" w:hint="eastAsia"/>
          <w:sz w:val="24"/>
        </w:rPr>
        <w:t>备等。</w:t>
      </w:r>
    </w:p>
    <w:p w14:paraId="668B0F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3.业务经营。未经批准或不符合监管评级条件开展业务；为成员单位开具</w:t>
      </w:r>
      <w:proofErr w:type="gramStart"/>
      <w:r>
        <w:rPr>
          <w:rFonts w:ascii="宋体" w:eastAsia="宋体" w:hAnsi="宋体" w:cs="宋体" w:hint="eastAsia"/>
          <w:sz w:val="24"/>
        </w:rPr>
        <w:t>无真实</w:t>
      </w:r>
      <w:proofErr w:type="gramEnd"/>
      <w:r>
        <w:rPr>
          <w:rFonts w:ascii="宋体" w:eastAsia="宋体" w:hAnsi="宋体" w:cs="宋体" w:hint="eastAsia"/>
          <w:sz w:val="24"/>
        </w:rPr>
        <w:t>贸易背景的承兑汇票；违规通过票据业务、同业业务为集团套取资金，对外负债敞口高于支付能力，流动性风险</w:t>
      </w:r>
      <w:proofErr w:type="gramStart"/>
      <w:r>
        <w:rPr>
          <w:rFonts w:ascii="宋体" w:eastAsia="宋体" w:hAnsi="宋体" w:cs="宋体" w:hint="eastAsia"/>
          <w:sz w:val="24"/>
        </w:rPr>
        <w:t>管控不到位</w:t>
      </w:r>
      <w:proofErr w:type="gramEnd"/>
      <w:r>
        <w:rPr>
          <w:rFonts w:ascii="宋体" w:eastAsia="宋体" w:hAnsi="宋体" w:cs="宋体" w:hint="eastAsia"/>
          <w:sz w:val="24"/>
        </w:rPr>
        <w:t>；在开展承兑汇票业务中规避担保比例限制；违规开展资金来源或资金用途不符合规定的委托贷款，委托贷款和自营业务未严格隔离风险；违规通过同业业务为其他金融机构规避监管提供“通道”；违规开展投资业务，资金投向不符合监管政策和导向；通过投资变相向集团外客户融资或进行非金融企业股权投资；高风险投资占比过高等。</w:t>
      </w:r>
    </w:p>
    <w:p w14:paraId="7FEF40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（四）汽车金融公司和消费金融公司</w:t>
      </w:r>
    </w:p>
    <w:p w14:paraId="187C18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公司治理。股东滥用权利，损害公司利益；股权质押管理不到位，相关信息披露不充分；董事会及专业委员会履职有效性不足，监事会监督作用未充分发挥；关键岗位长期空缺，兼任不相容职务；薪酬管理制度不完善；关联方识别不到位，未严格落实关联交易决策程序，关联交易监管不力等。</w:t>
      </w:r>
    </w:p>
    <w:p w14:paraId="6BD59F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2.资产质量。未按规定做实资产质量，未按规定计</w:t>
      </w:r>
      <w:proofErr w:type="gramStart"/>
      <w:r>
        <w:rPr>
          <w:rFonts w:ascii="宋体" w:eastAsia="宋体" w:hAnsi="宋体" w:cs="宋体" w:hint="eastAsia"/>
          <w:sz w:val="24"/>
        </w:rPr>
        <w:t>提拨</w:t>
      </w:r>
      <w:proofErr w:type="gramEnd"/>
      <w:r>
        <w:rPr>
          <w:rFonts w:ascii="宋体" w:eastAsia="宋体" w:hAnsi="宋体" w:cs="宋体" w:hint="eastAsia"/>
          <w:sz w:val="24"/>
        </w:rPr>
        <w:t>备等。</w:t>
      </w:r>
    </w:p>
    <w:p w14:paraId="7D497C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业务经营。未落实贷款“三查”制度，信贷管理等核心职能实质性外包，风险管控流于形式；合作机构管控不力，未明确合作机构准入条件，未与合作机构就合作事项开展范围、风险责任、结算事宜、争议处理等</w:t>
      </w:r>
      <w:proofErr w:type="gramStart"/>
      <w:r>
        <w:rPr>
          <w:rFonts w:ascii="宋体" w:eastAsia="宋体" w:hAnsi="宋体" w:cs="宋体" w:hint="eastAsia"/>
          <w:sz w:val="24"/>
        </w:rPr>
        <w:t>作出</w:t>
      </w:r>
      <w:proofErr w:type="gramEnd"/>
      <w:r>
        <w:rPr>
          <w:rFonts w:ascii="宋体" w:eastAsia="宋体" w:hAnsi="宋体" w:cs="宋体" w:hint="eastAsia"/>
          <w:sz w:val="24"/>
        </w:rPr>
        <w:t>明确约定；未明确披露贷款金额、贷款期限、贷款</w:t>
      </w:r>
      <w:proofErr w:type="gramStart"/>
      <w:r>
        <w:rPr>
          <w:rFonts w:ascii="宋体" w:eastAsia="宋体" w:hAnsi="宋体" w:cs="宋体" w:hint="eastAsia"/>
          <w:sz w:val="24"/>
        </w:rPr>
        <w:t>年化利率</w:t>
      </w:r>
      <w:proofErr w:type="gramEnd"/>
      <w:r>
        <w:rPr>
          <w:rFonts w:ascii="宋体" w:eastAsia="宋体" w:hAnsi="宋体" w:cs="宋体" w:hint="eastAsia"/>
          <w:sz w:val="24"/>
        </w:rPr>
        <w:t>及费率、征信查询授权、贷款违约责任等涉及客户利益的重要信息，侵犯客户的知情权与选择权；违规收费，收费质价不符；不当催收；泄露消费者个人信息，未有效保护消费者信息安全等。</w:t>
      </w:r>
    </w:p>
    <w:p w14:paraId="074ABE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（五）货币经纪公司</w:t>
      </w:r>
    </w:p>
    <w:p w14:paraId="596DDC92"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违反有关业务规定，在未签订服务协议的情况下向金融机构提供经纪服务，员工行为管理不到位等。</w:t>
      </w:r>
      <w:r>
        <w:rPr>
          <w:rFonts w:ascii="宋体" w:eastAsia="宋体" w:hAnsi="宋体" w:cs="宋体" w:hint="eastAsia"/>
          <w:sz w:val="24"/>
        </w:rPr>
        <w:tab/>
      </w:r>
    </w:p>
    <w:p w14:paraId="66B3B749"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120.《北京银保监局关于全力做好当前信用风险管控工作的通知》</w:t>
      </w:r>
      <w:r>
        <w:rPr>
          <w:rFonts w:ascii="宋体" w:eastAsia="宋体" w:hAnsi="宋体" w:cs="宋体" w:hint="eastAsia"/>
          <w:b/>
          <w:bCs/>
          <w:sz w:val="24"/>
        </w:rPr>
        <w:tab/>
      </w:r>
    </w:p>
    <w:p w14:paraId="178B5B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发文机构：中国银行保险监督管理委员会北京监管局（已撤销）</w:t>
      </w:r>
      <w:r>
        <w:rPr>
          <w:rFonts w:ascii="宋体" w:eastAsia="宋体" w:hAnsi="宋体" w:cs="宋体" w:hint="eastAsia"/>
          <w:sz w:val="24"/>
        </w:rPr>
        <w:tab/>
      </w:r>
    </w:p>
    <w:p w14:paraId="583246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w:t>
      </w:r>
      <w:proofErr w:type="gramStart"/>
      <w:r>
        <w:rPr>
          <w:rFonts w:ascii="宋体" w:eastAsia="宋体" w:hAnsi="宋体" w:cs="宋体" w:hint="eastAsia"/>
          <w:sz w:val="24"/>
        </w:rPr>
        <w:t>京银保</w:t>
      </w:r>
      <w:proofErr w:type="gramEnd"/>
      <w:r>
        <w:rPr>
          <w:rFonts w:ascii="宋体" w:eastAsia="宋体" w:hAnsi="宋体" w:cs="宋体" w:hint="eastAsia"/>
          <w:sz w:val="24"/>
        </w:rPr>
        <w:t>监发〔2020〕344号</w:t>
      </w:r>
    </w:p>
    <w:p w14:paraId="1BCAE2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政策性银行北京市分行及总行营业部、国家开发银行在京营业机构、辖内各国有控股大型商业银行、辖内各股份制商业银行、北京银行、北京农商银行、北京中关村银行、辖内各中资村镇银行、各城市商业银行北京分行、辖内各信托公司、各中资企业集团财务公司、各金融租赁公司、消费金融公司:</w:t>
      </w:r>
    </w:p>
    <w:p w14:paraId="515C51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2020年新冠肺炎疫情发生以来，实体经济下行压力空前加大，企业经营困难增多，辖内各机构为支持企业防控疫情、复工复产做了大量工作。但因部分困难企业经营恶化，辖内不良余额和比率持续双升。随着疫情常态化发展，银行业资产质量劣变压力将持续加重。为前瞻有效应对辖内信用风险，平稳渡过疫情挑战，现就相关工作通知如下。</w:t>
      </w:r>
    </w:p>
    <w:p w14:paraId="5DA3EBD0"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一</w:t>
      </w:r>
      <w:proofErr w:type="gramEnd"/>
      <w:r>
        <w:rPr>
          <w:rFonts w:ascii="宋体" w:eastAsia="宋体" w:hAnsi="宋体" w:cs="宋体" w:hint="eastAsia"/>
          <w:sz w:val="24"/>
        </w:rPr>
        <w:t> 、高度重视，及早部署</w:t>
      </w:r>
    </w:p>
    <w:p w14:paraId="749A86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机构要把信用风险管控工作作为风险攻坚的第一要务，建立“一把手”负责制，积极争取上级最大政策支持，制定专项工作方案，加大组织推进力度，确保信用风险管控措施落到实处，力争全年不良处置额明显高于前两年平均水平，努力实现2020年下半年不良贷款余额由升转降，有条件的机构2020年底不良贷款余额压降至年初水平，为下一阶段不良反弹预留空间。</w:t>
      </w:r>
    </w:p>
    <w:p w14:paraId="67153B0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、加强排查，严控增量</w:t>
      </w:r>
    </w:p>
    <w:p w14:paraId="348625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加大信用风险排查频次、广度和深度，重点关注前期经营激进、过度授信或已出现债券市场违约情况企业等信用风险薄弱领域，着力加强对大额客户、异地客户和关注类客户的风险排查和贷后管理。做好对企业复工复产情况、延期还本付息客户经营情况的持续跟踪，对发现的风险苗头及时采取应对措施，严防风险敞口进一步扩大。</w:t>
      </w:r>
    </w:p>
    <w:p w14:paraId="196234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、把握时机，处置存量</w:t>
      </w:r>
    </w:p>
    <w:p w14:paraId="6785DE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针对前期受疫情影响不良处置工作进度放缓的情况，应抓住疫情平稳的时机，</w:t>
      </w:r>
      <w:r>
        <w:rPr>
          <w:rFonts w:ascii="宋体" w:eastAsia="宋体" w:hAnsi="宋体" w:cs="宋体" w:hint="eastAsia"/>
          <w:sz w:val="24"/>
        </w:rPr>
        <w:lastRenderedPageBreak/>
        <w:t>综合利用清收、转让、核销、重组等多种处置手段，加快推进不良处置工作。法人机构要充分研究现有不良核销、转让法规政策，密切关注不良转让试点工作进度，主动加强与主要股东、董事会的汇报沟通，做到应</w:t>
      </w:r>
      <w:proofErr w:type="gramStart"/>
      <w:r>
        <w:rPr>
          <w:rFonts w:ascii="宋体" w:eastAsia="宋体" w:hAnsi="宋体" w:cs="宋体" w:hint="eastAsia"/>
          <w:sz w:val="24"/>
        </w:rPr>
        <w:t>核尽核</w:t>
      </w:r>
      <w:proofErr w:type="gramEnd"/>
      <w:r>
        <w:rPr>
          <w:rFonts w:ascii="宋体" w:eastAsia="宋体" w:hAnsi="宋体" w:cs="宋体" w:hint="eastAsia"/>
          <w:sz w:val="24"/>
        </w:rPr>
        <w:t>，应处尽处。分支机构要积极向总行争取核销额度或报批核销项目，早动手、早推动、早处置，全力压降不良包袱。</w:t>
      </w:r>
    </w:p>
    <w:p w14:paraId="15B035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、做实分类，提足拨备</w:t>
      </w:r>
    </w:p>
    <w:p w14:paraId="240363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进一步夯实风险分类基础，加强贷款五级分类管理，确保及时准确反映信贷资产质量。原则上，除</w:t>
      </w:r>
      <w:proofErr w:type="gramStart"/>
      <w:r>
        <w:rPr>
          <w:rFonts w:ascii="宋体" w:eastAsia="宋体" w:hAnsi="宋体" w:cs="宋体" w:hint="eastAsia"/>
          <w:sz w:val="24"/>
        </w:rPr>
        <w:t>涉及债委会</w:t>
      </w:r>
      <w:proofErr w:type="gramEnd"/>
      <w:r>
        <w:rPr>
          <w:rFonts w:ascii="宋体" w:eastAsia="宋体" w:hAnsi="宋体" w:cs="宋体" w:hint="eastAsia"/>
          <w:sz w:val="24"/>
        </w:rPr>
        <w:t>等特殊情况外，各机构逾期60天以上的对公贷款均应纳入不良。严禁以违规续贷、虚假转让、同业</w:t>
      </w:r>
      <w:proofErr w:type="gramStart"/>
      <w:r>
        <w:rPr>
          <w:rFonts w:ascii="宋体" w:eastAsia="宋体" w:hAnsi="宋体" w:cs="宋体" w:hint="eastAsia"/>
          <w:sz w:val="24"/>
        </w:rPr>
        <w:t>互持等</w:t>
      </w:r>
      <w:proofErr w:type="gramEnd"/>
      <w:r>
        <w:rPr>
          <w:rFonts w:ascii="宋体" w:eastAsia="宋体" w:hAnsi="宋体" w:cs="宋体" w:hint="eastAsia"/>
          <w:sz w:val="24"/>
        </w:rPr>
        <w:t>方式掩盖不良。要对资本补充、拨备计提等事项早作安排，提前备足吸收损失的“粮草”和“弹药”。在合理预测贷款损失的基础上尽早、足额计</w:t>
      </w:r>
      <w:proofErr w:type="gramStart"/>
      <w:r>
        <w:rPr>
          <w:rFonts w:ascii="宋体" w:eastAsia="宋体" w:hAnsi="宋体" w:cs="宋体" w:hint="eastAsia"/>
          <w:sz w:val="24"/>
        </w:rPr>
        <w:t>提拨</w:t>
      </w:r>
      <w:proofErr w:type="gramEnd"/>
      <w:r>
        <w:rPr>
          <w:rFonts w:ascii="宋体" w:eastAsia="宋体" w:hAnsi="宋体" w:cs="宋体" w:hint="eastAsia"/>
          <w:sz w:val="24"/>
        </w:rPr>
        <w:t>备，避免出现拨备覆盖率急剧下降或被动突击计</w:t>
      </w:r>
      <w:proofErr w:type="gramStart"/>
      <w:r>
        <w:rPr>
          <w:rFonts w:ascii="宋体" w:eastAsia="宋体" w:hAnsi="宋体" w:cs="宋体" w:hint="eastAsia"/>
          <w:sz w:val="24"/>
        </w:rPr>
        <w:t>提拨备等情况</w:t>
      </w:r>
      <w:proofErr w:type="gramEnd"/>
      <w:r>
        <w:rPr>
          <w:rFonts w:ascii="宋体" w:eastAsia="宋体" w:hAnsi="宋体" w:cs="宋体" w:hint="eastAsia"/>
          <w:sz w:val="24"/>
        </w:rPr>
        <w:t>。</w:t>
      </w:r>
    </w:p>
    <w:p w14:paraId="30FAC0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各机构应于本通知发布后10个工作日内向我局报送年内信用风险管控专项工作方案，并及时报告工作推进中的问题和建议。下一步，我局将密切</w:t>
      </w:r>
      <w:proofErr w:type="gramStart"/>
      <w:r>
        <w:rPr>
          <w:rFonts w:ascii="宋体" w:eastAsia="宋体" w:hAnsi="宋体" w:cs="宋体" w:hint="eastAsia"/>
          <w:sz w:val="24"/>
        </w:rPr>
        <w:t>监测全</w:t>
      </w:r>
      <w:proofErr w:type="gramEnd"/>
      <w:r>
        <w:rPr>
          <w:rFonts w:ascii="宋体" w:eastAsia="宋体" w:hAnsi="宋体" w:cs="宋体" w:hint="eastAsia"/>
          <w:sz w:val="24"/>
        </w:rPr>
        <w:t>辖信用风险变动情况，对于工作组织不力、管</w:t>
      </w:r>
      <w:proofErr w:type="gramStart"/>
      <w:r>
        <w:rPr>
          <w:rFonts w:ascii="宋体" w:eastAsia="宋体" w:hAnsi="宋体" w:cs="宋体" w:hint="eastAsia"/>
          <w:sz w:val="24"/>
        </w:rPr>
        <w:t>控成效</w:t>
      </w:r>
      <w:proofErr w:type="gramEnd"/>
      <w:r>
        <w:rPr>
          <w:rFonts w:ascii="宋体" w:eastAsia="宋体" w:hAnsi="宋体" w:cs="宋体" w:hint="eastAsia"/>
          <w:sz w:val="24"/>
        </w:rPr>
        <w:t>不佳的机构，将开展专项督导，采取必要监管措施，实施严格监管问责。</w:t>
      </w:r>
    </w:p>
    <w:p w14:paraId="1EAD9C95"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055CD15B"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121.《北京银保监局关于做好不良资产处置工作的通知》</w:t>
      </w:r>
    </w:p>
    <w:p w14:paraId="54D83F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发文机构：中国银行保险监督管理委员会北京监管局（已撤销）</w:t>
      </w:r>
      <w:r>
        <w:rPr>
          <w:rFonts w:ascii="宋体" w:eastAsia="宋体" w:hAnsi="宋体" w:cs="宋体" w:hint="eastAsia"/>
          <w:sz w:val="24"/>
        </w:rPr>
        <w:tab/>
      </w:r>
    </w:p>
    <w:p w14:paraId="070E372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w:t>
      </w:r>
      <w:proofErr w:type="gramStart"/>
      <w:r>
        <w:rPr>
          <w:rFonts w:ascii="宋体" w:eastAsia="宋体" w:hAnsi="宋体" w:cs="宋体" w:hint="eastAsia"/>
          <w:sz w:val="24"/>
        </w:rPr>
        <w:t>京银保</w:t>
      </w:r>
      <w:proofErr w:type="gramEnd"/>
      <w:r>
        <w:rPr>
          <w:rFonts w:ascii="宋体" w:eastAsia="宋体" w:hAnsi="宋体" w:cs="宋体" w:hint="eastAsia"/>
          <w:sz w:val="24"/>
        </w:rPr>
        <w:t>监发〔2020〕415号</w:t>
      </w:r>
    </w:p>
    <w:p w14:paraId="476736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政策性银行北京市分行及总行营业部、国家开发银行在京营业机构、辖内各国有控股大型商业银行、辖内各股份制商业银行、北京银行、北京农商银行、北京中关村银行、辖内各中资村镇银行、各城市商业银行北京分行、辖内各信托公司、各中资企业集团财务公司、各金融租赁公司、消费金融公司:</w:t>
      </w:r>
    </w:p>
    <w:p w14:paraId="5D944A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为进一步提升不良处置效率，前瞻防范化解金融风险，有效落实《北京银保监局关于全力做好当前信用风险管控工作的通知》（</w:t>
      </w:r>
      <w:proofErr w:type="gramStart"/>
      <w:r>
        <w:rPr>
          <w:rFonts w:ascii="宋体" w:eastAsia="宋体" w:hAnsi="宋体" w:cs="宋体" w:hint="eastAsia"/>
          <w:sz w:val="24"/>
        </w:rPr>
        <w:t>京银保</w:t>
      </w:r>
      <w:proofErr w:type="gramEnd"/>
      <w:r>
        <w:rPr>
          <w:rFonts w:ascii="宋体" w:eastAsia="宋体" w:hAnsi="宋体" w:cs="宋体" w:hint="eastAsia"/>
          <w:sz w:val="24"/>
        </w:rPr>
        <w:t>监发〔2020〕344号）提出的工作目标，现就做好辖内银行业金融机构不良资产处置工作有关事项通知如下：</w:t>
      </w:r>
    </w:p>
    <w:p w14:paraId="1D03D15C"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一</w:t>
      </w:r>
      <w:proofErr w:type="gramEnd"/>
      <w:r>
        <w:rPr>
          <w:rFonts w:ascii="宋体" w:eastAsia="宋体" w:hAnsi="宋体" w:cs="宋体" w:hint="eastAsia"/>
          <w:sz w:val="24"/>
        </w:rPr>
        <w:t> 、完善组织机制</w:t>
      </w:r>
    </w:p>
    <w:p w14:paraId="36837F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各法人机构应加强人力资源保障，配备必需岗位人员，经常性开展专题培训，培养专业高效的处置团队，适当结合外部清收资源，确保不良处置工作顺利开展。应推动优化组织架构，</w:t>
      </w:r>
      <w:proofErr w:type="gramStart"/>
      <w:r>
        <w:rPr>
          <w:rFonts w:ascii="宋体" w:eastAsia="宋体" w:hAnsi="宋体" w:cs="宋体" w:hint="eastAsia"/>
          <w:sz w:val="24"/>
        </w:rPr>
        <w:t>完善跨</w:t>
      </w:r>
      <w:proofErr w:type="gramEnd"/>
      <w:r>
        <w:rPr>
          <w:rFonts w:ascii="宋体" w:eastAsia="宋体" w:hAnsi="宋体" w:cs="宋体" w:hint="eastAsia"/>
          <w:sz w:val="24"/>
        </w:rPr>
        <w:t>部门、跨区域“横向”协作机制及总、分、支行“纵向”分工机制，科学合理分配处置权限，适当缩短审批流程，提高不良处置质效。应树立制度先行理念，结合本机构不良处置实践，建立健全涵盖核销、清收、转让、重组、以物抵债、资产证券化等处置方式的配套管理制度及操作细则，并及时根据最新法律法规要求和业务实际修订调整，避免出现不良处置工作无制度可依情况。</w:t>
      </w:r>
    </w:p>
    <w:p w14:paraId="6DC6E89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各法人机构应在2021年一季度末前完成上述组织机制、工作制度的改进完善工作。分支机构应参照前述要求执行，主动向总行提出改进建议，推动优化处置机制流程。</w:t>
      </w:r>
    </w:p>
    <w:p w14:paraId="02D5DE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、做实资产分类</w:t>
      </w:r>
    </w:p>
    <w:p w14:paraId="61CB28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各机构应对照《贷款风险分类指引》（银监发〔2007〕54号）、《小企业贷款风险分类办法（试行）》（银监发〔2007〕63号）等监管规制要求，以评</w:t>
      </w:r>
      <w:r>
        <w:rPr>
          <w:rFonts w:ascii="宋体" w:eastAsia="宋体" w:hAnsi="宋体" w:cs="宋体" w:hint="eastAsia"/>
          <w:sz w:val="24"/>
        </w:rPr>
        <w:lastRenderedPageBreak/>
        <w:t>估借款人自身还款能力作为核心依据，以贷款担保作为次要依据，真实、准确、及时地反映贷款及其他实质承担信用风险的资产质量。审慎实施不良贷款上调为非不良贷款的操作，只有符合逾期本息等欠款已全部偿还，并至少在随后连续两个还款期或6个月内（两者中孰长）正常还本付息，且预计后续能按照合同条款持续还款的不良贷款，才能上调为非不良贷款。不得以支持疫情防控和复产复工为由新发放贷款掩盖不良，不得通过虚假转让、</w:t>
      </w:r>
      <w:proofErr w:type="gramStart"/>
      <w:r>
        <w:rPr>
          <w:rFonts w:ascii="宋体" w:eastAsia="宋体" w:hAnsi="宋体" w:cs="宋体" w:hint="eastAsia"/>
          <w:sz w:val="24"/>
        </w:rPr>
        <w:t>违规倒贷续贷</w:t>
      </w:r>
      <w:proofErr w:type="gramEnd"/>
      <w:r>
        <w:rPr>
          <w:rFonts w:ascii="宋体" w:eastAsia="宋体" w:hAnsi="宋体" w:cs="宋体" w:hint="eastAsia"/>
          <w:sz w:val="24"/>
        </w:rPr>
        <w:t>等方式隐匿不良。信托公司固有资产风险分类应真实反映底层资产质量，</w:t>
      </w:r>
      <w:proofErr w:type="gramStart"/>
      <w:r>
        <w:rPr>
          <w:rFonts w:ascii="宋体" w:eastAsia="宋体" w:hAnsi="宋体" w:cs="宋体" w:hint="eastAsia"/>
          <w:sz w:val="24"/>
        </w:rPr>
        <w:t>固有贷款</w:t>
      </w:r>
      <w:proofErr w:type="gramEnd"/>
      <w:r>
        <w:rPr>
          <w:rFonts w:ascii="宋体" w:eastAsia="宋体" w:hAnsi="宋体" w:cs="宋体" w:hint="eastAsia"/>
          <w:sz w:val="24"/>
        </w:rPr>
        <w:t>按照《贷款风险分类指引》（银监发〔2007〕54号）进行五级分类，固有非信贷资产参照</w:t>
      </w:r>
      <w:proofErr w:type="gramStart"/>
      <w:r>
        <w:rPr>
          <w:rFonts w:ascii="宋体" w:eastAsia="宋体" w:hAnsi="宋体" w:cs="宋体" w:hint="eastAsia"/>
          <w:sz w:val="24"/>
        </w:rPr>
        <w:t>固有贷款</w:t>
      </w:r>
      <w:proofErr w:type="gramEnd"/>
      <w:r>
        <w:rPr>
          <w:rFonts w:ascii="宋体" w:eastAsia="宋体" w:hAnsi="宋体" w:cs="宋体" w:hint="eastAsia"/>
          <w:sz w:val="24"/>
        </w:rPr>
        <w:t>分类标准进行分类。</w:t>
      </w:r>
    </w:p>
    <w:p w14:paraId="49CE1D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、依法合</w:t>
      </w:r>
      <w:proofErr w:type="gramStart"/>
      <w:r>
        <w:rPr>
          <w:rFonts w:ascii="宋体" w:eastAsia="宋体" w:hAnsi="宋体" w:cs="宋体" w:hint="eastAsia"/>
          <w:sz w:val="24"/>
        </w:rPr>
        <w:t>规</w:t>
      </w:r>
      <w:proofErr w:type="gramEnd"/>
      <w:r>
        <w:rPr>
          <w:rFonts w:ascii="宋体" w:eastAsia="宋体" w:hAnsi="宋体" w:cs="宋体" w:hint="eastAsia"/>
          <w:sz w:val="24"/>
        </w:rPr>
        <w:t>处置</w:t>
      </w:r>
    </w:p>
    <w:p w14:paraId="035C0B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各机构应树立依法合</w:t>
      </w:r>
      <w:proofErr w:type="gramStart"/>
      <w:r>
        <w:rPr>
          <w:rFonts w:ascii="宋体" w:eastAsia="宋体" w:hAnsi="宋体" w:cs="宋体" w:hint="eastAsia"/>
          <w:sz w:val="24"/>
        </w:rPr>
        <w:t>规</w:t>
      </w:r>
      <w:proofErr w:type="gramEnd"/>
      <w:r>
        <w:rPr>
          <w:rFonts w:ascii="宋体" w:eastAsia="宋体" w:hAnsi="宋体" w:cs="宋体" w:hint="eastAsia"/>
          <w:sz w:val="24"/>
        </w:rPr>
        <w:t>理念，严格遵循不良处置相关法律法规要求。债权核销的，对于符合核销条件的应核尽核，确保内部证据的真实性、合法性，并加强核销后资产的管理，做到</w:t>
      </w:r>
      <w:proofErr w:type="gramStart"/>
      <w:r>
        <w:rPr>
          <w:rFonts w:ascii="宋体" w:eastAsia="宋体" w:hAnsi="宋体" w:cs="宋体" w:hint="eastAsia"/>
          <w:sz w:val="24"/>
        </w:rPr>
        <w:t>账</w:t>
      </w:r>
      <w:proofErr w:type="gramEnd"/>
      <w:r>
        <w:rPr>
          <w:rFonts w:ascii="宋体" w:eastAsia="宋体" w:hAnsi="宋体" w:cs="宋体" w:hint="eastAsia"/>
          <w:sz w:val="24"/>
        </w:rPr>
        <w:t>销案存、权在力催。资产转让的，原则上，应按照《中国银监会办公厅关于银行业信贷资产流转集中登记的通知》（银监办发〔2015〕108号）要求，对不良资产流转进行集中登记，促进信贷资产流转规范化、透明化；商业银行向社会投资者转让贷款债权应符合《中国银监会办公厅关于商业银行向社会投资者转让贷款债权法律效力有关问题的批复》（银监办发〔2009〕24号）中明确的公开原则，以形成公允价格，接受社会监督；严格遵守真实性和洁净转让原则，不得利用表内外资金承接本行不良资产及其受（收）益权，包括但不限于表内信贷、同业投资、理财、“假代销”等业务资金。以物</w:t>
      </w:r>
      <w:proofErr w:type="gramStart"/>
      <w:r>
        <w:rPr>
          <w:rFonts w:ascii="宋体" w:eastAsia="宋体" w:hAnsi="宋体" w:cs="宋体" w:hint="eastAsia"/>
          <w:sz w:val="24"/>
        </w:rPr>
        <w:t>抵债和债转</w:t>
      </w:r>
      <w:proofErr w:type="gramEnd"/>
      <w:r>
        <w:rPr>
          <w:rFonts w:ascii="宋体" w:eastAsia="宋体" w:hAnsi="宋体" w:cs="宋体" w:hint="eastAsia"/>
          <w:sz w:val="24"/>
        </w:rPr>
        <w:t>股的，应严格落实处置期限、资本计提等监管要求。</w:t>
      </w:r>
    </w:p>
    <w:p w14:paraId="7D3A24F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、强化风险管控</w:t>
      </w:r>
    </w:p>
    <w:p w14:paraId="3AA864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机构要强化风险管控，严密防范处置风险的风险。不良资产清收过程中，应坚持分类施策，对前期经营正常、受疫情影响遇到暂时困难、发展前景良好的借款人给予适当缓冲期，避免触发偿付危机。不良资产核销、转让过程中，应加强监督约束，严防道德风险，有效遏制虚假评估、利益输送、泄露商业秘密等行为。对不良资产处置涉及的外包催收、资产评估等第三</w:t>
      </w:r>
      <w:proofErr w:type="gramStart"/>
      <w:r>
        <w:rPr>
          <w:rFonts w:ascii="宋体" w:eastAsia="宋体" w:hAnsi="宋体" w:cs="宋体" w:hint="eastAsia"/>
          <w:sz w:val="24"/>
        </w:rPr>
        <w:t>方服务</w:t>
      </w:r>
      <w:proofErr w:type="gramEnd"/>
      <w:r>
        <w:rPr>
          <w:rFonts w:ascii="宋体" w:eastAsia="宋体" w:hAnsi="宋体" w:cs="宋体" w:hint="eastAsia"/>
          <w:sz w:val="24"/>
        </w:rPr>
        <w:t>机构采取名单制管理，健全准入、风控、考核、淘汰等各环节管理机制，重点加强对第三</w:t>
      </w:r>
      <w:proofErr w:type="gramStart"/>
      <w:r>
        <w:rPr>
          <w:rFonts w:ascii="宋体" w:eastAsia="宋体" w:hAnsi="宋体" w:cs="宋体" w:hint="eastAsia"/>
          <w:sz w:val="24"/>
        </w:rPr>
        <w:t>方服务</w:t>
      </w:r>
      <w:proofErr w:type="gramEnd"/>
      <w:r>
        <w:rPr>
          <w:rFonts w:ascii="宋体" w:eastAsia="宋体" w:hAnsi="宋体" w:cs="宋体" w:hint="eastAsia"/>
          <w:sz w:val="24"/>
        </w:rPr>
        <w:t>机</w:t>
      </w:r>
      <w:r>
        <w:rPr>
          <w:rFonts w:ascii="宋体" w:eastAsia="宋体" w:hAnsi="宋体" w:cs="宋体" w:hint="eastAsia"/>
          <w:sz w:val="24"/>
        </w:rPr>
        <w:lastRenderedPageBreak/>
        <w:t>构的合</w:t>
      </w:r>
      <w:proofErr w:type="gramStart"/>
      <w:r>
        <w:rPr>
          <w:rFonts w:ascii="宋体" w:eastAsia="宋体" w:hAnsi="宋体" w:cs="宋体" w:hint="eastAsia"/>
          <w:sz w:val="24"/>
        </w:rPr>
        <w:t>规</w:t>
      </w:r>
      <w:proofErr w:type="gramEnd"/>
      <w:r>
        <w:rPr>
          <w:rFonts w:ascii="宋体" w:eastAsia="宋体" w:hAnsi="宋体" w:cs="宋体" w:hint="eastAsia"/>
          <w:sz w:val="24"/>
        </w:rPr>
        <w:t>性管理。严禁与存在暴力催收、违规收费、泄露客户隐私信息等违法违规行为的第三</w:t>
      </w:r>
      <w:proofErr w:type="gramStart"/>
      <w:r>
        <w:rPr>
          <w:rFonts w:ascii="宋体" w:eastAsia="宋体" w:hAnsi="宋体" w:cs="宋体" w:hint="eastAsia"/>
          <w:sz w:val="24"/>
        </w:rPr>
        <w:t>方服务</w:t>
      </w:r>
      <w:proofErr w:type="gramEnd"/>
      <w:r>
        <w:rPr>
          <w:rFonts w:ascii="宋体" w:eastAsia="宋体" w:hAnsi="宋体" w:cs="宋体" w:hint="eastAsia"/>
          <w:sz w:val="24"/>
        </w:rPr>
        <w:t>机构合作，防止第三</w:t>
      </w:r>
      <w:proofErr w:type="gramStart"/>
      <w:r>
        <w:rPr>
          <w:rFonts w:ascii="宋体" w:eastAsia="宋体" w:hAnsi="宋体" w:cs="宋体" w:hint="eastAsia"/>
          <w:sz w:val="24"/>
        </w:rPr>
        <w:t>方服务</w:t>
      </w:r>
      <w:proofErr w:type="gramEnd"/>
      <w:r>
        <w:rPr>
          <w:rFonts w:ascii="宋体" w:eastAsia="宋体" w:hAnsi="宋体" w:cs="宋体" w:hint="eastAsia"/>
          <w:sz w:val="24"/>
        </w:rPr>
        <w:t>机构风险向银行业金融机构传导。</w:t>
      </w:r>
    </w:p>
    <w:p w14:paraId="691DD3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、完善激励约束</w:t>
      </w:r>
    </w:p>
    <w:p w14:paraId="384D0E5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各机构应落实</w:t>
      </w:r>
      <w:proofErr w:type="gramStart"/>
      <w:r>
        <w:rPr>
          <w:rFonts w:ascii="宋体" w:eastAsia="宋体" w:hAnsi="宋体" w:cs="宋体" w:hint="eastAsia"/>
          <w:sz w:val="24"/>
        </w:rPr>
        <w:t>失职问责及</w:t>
      </w:r>
      <w:proofErr w:type="gramEnd"/>
      <w:r>
        <w:rPr>
          <w:rFonts w:ascii="宋体" w:eastAsia="宋体" w:hAnsi="宋体" w:cs="宋体" w:hint="eastAsia"/>
          <w:sz w:val="24"/>
        </w:rPr>
        <w:t>尽职免责机制。对不良产生和不良处置中的违法、违规、失职行为均要严格实施问责，重点加强对不良资产转让不真实、不洁净等违规业务审批人员的问责。对于不良资产责任认定和追究工作，在符合财政部《金融企业呆账核销管理办法》（财金〔2017〕90号）的时限要求前提下，应与处置工作“双线”进行，避免错失处置时机。对有充分证据表明相关人员按照有关法律法规、规章政策勤勉尽职地履行职责的，落实尽职免责规定，并鼓励开展线上业务的机构探索建立适应业务特点的尽职免责机制。</w:t>
      </w:r>
    </w:p>
    <w:p w14:paraId="7F2C490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机构应改进不良资产处置工作考核制度，注重奖惩对等，对于在处置工作、特别是现金清收工作中取得积极成效的应落实激励措施，激发处置人员积极性和能动性。加强不良资产精细化管理，科学制定考评目标，避免片面注重压降账面不良的考核导向，以实现风险化解、回收最大化作为不良处置考核目标。</w:t>
      </w:r>
    </w:p>
    <w:p w14:paraId="60FA12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2021年上半年，我局将针对本通知贯彻落实情况开展专项督查，对工作不力、敷衍塞责的机构进行通报，对相关违法违规行为依法严肃查处，追究直接责任人员和相关高管人员责任，并视情况采取审慎监管措施。</w:t>
      </w:r>
    </w:p>
    <w:p w14:paraId="74ADD943"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2020年9月29日</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4C74E22A"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122.《中国银保监会办公厅关于做实非银行金融机构资产质量加快不良资产处置的通知》</w:t>
      </w:r>
    </w:p>
    <w:p w14:paraId="3B1544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中国银行保险监督管理委员会(已撤销)</w:t>
      </w:r>
      <w:r>
        <w:rPr>
          <w:rFonts w:ascii="宋体" w:eastAsia="宋体" w:hAnsi="宋体" w:cs="宋体" w:hint="eastAsia"/>
          <w:sz w:val="24"/>
        </w:rPr>
        <w:tab/>
      </w:r>
    </w:p>
    <w:p w14:paraId="39FCE9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文号：银保监办便函〔2021〕26号</w:t>
      </w:r>
      <w:r>
        <w:rPr>
          <w:rFonts w:ascii="宋体" w:eastAsia="宋体" w:hAnsi="宋体" w:cs="宋体" w:hint="eastAsia"/>
          <w:sz w:val="24"/>
        </w:rPr>
        <w:tab/>
      </w:r>
    </w:p>
    <w:p w14:paraId="36A6FC32"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各银保</w:t>
      </w:r>
      <w:proofErr w:type="gramEnd"/>
      <w:r>
        <w:rPr>
          <w:rFonts w:ascii="宋体" w:eastAsia="宋体" w:hAnsi="宋体" w:cs="宋体" w:hint="eastAsia"/>
          <w:sz w:val="24"/>
        </w:rPr>
        <w:t>监局，各金融资产管理公司:</w:t>
      </w:r>
    </w:p>
    <w:p w14:paraId="3F25CE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为贯彻落实 2022 年中国银保监会工作会议有关决策部署纠正非银行金融机构资产风险分类不实等问题，夯实资产质量加大不良资产处置力度，</w:t>
      </w:r>
      <w:proofErr w:type="gramStart"/>
      <w:r>
        <w:rPr>
          <w:rFonts w:ascii="宋体" w:eastAsia="宋体" w:hAnsi="宋体" w:cs="宋体" w:hint="eastAsia"/>
          <w:sz w:val="24"/>
        </w:rPr>
        <w:t>经银保</w:t>
      </w:r>
      <w:proofErr w:type="gramEnd"/>
      <w:r>
        <w:rPr>
          <w:rFonts w:ascii="宋体" w:eastAsia="宋体" w:hAnsi="宋体" w:cs="宋体" w:hint="eastAsia"/>
          <w:sz w:val="24"/>
        </w:rPr>
        <w:t>监会同意，现就有关事项通知如下;</w:t>
      </w:r>
    </w:p>
    <w:p w14:paraId="286FD1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一、高度重视、落实责任</w:t>
      </w:r>
    </w:p>
    <w:p w14:paraId="64B798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)提高政治站位。主动把思想和行动统一到银保监会工作会议的有关部署上来，全面摸清风险底数，如实反映资产质量，及时采取处置措施，打好防范化解金融风险持久战。</w:t>
      </w:r>
    </w:p>
    <w:p w14:paraId="72508D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（二)落实主体责任。非银行金融机构要切实承担风险防范和化解主体责任，压实董事会、管理层和监事会对资产风险分类工作的最终责任、管理责任和监督责任。</w:t>
      </w:r>
    </w:p>
    <w:p w14:paraId="174E67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(三)落实监管责任。</w:t>
      </w:r>
      <w:proofErr w:type="gramStart"/>
      <w:r>
        <w:rPr>
          <w:rFonts w:ascii="宋体" w:eastAsia="宋体" w:hAnsi="宋体" w:cs="宋体" w:hint="eastAsia"/>
          <w:sz w:val="24"/>
        </w:rPr>
        <w:t>各银保</w:t>
      </w:r>
      <w:proofErr w:type="gramEnd"/>
      <w:r>
        <w:rPr>
          <w:rFonts w:ascii="宋体" w:eastAsia="宋体" w:hAnsi="宋体" w:cs="宋体" w:hint="eastAsia"/>
          <w:sz w:val="24"/>
        </w:rPr>
        <w:t>监局要加强监管指导，督促辖内非银行金融机构全面真实反映资产状况，切实纠正分类不实问题。对机构掩盖不良、弄虚作假的问题，要严肃处理，加大处罚和通报力度，保持高压态势，切实形成震慑。</w:t>
      </w:r>
    </w:p>
    <w:p w14:paraId="35E9C3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二、真实反映资产质量</w:t>
      </w:r>
    </w:p>
    <w:p w14:paraId="6408B0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加强资产风险分类管理。非银行金融机构应进一步细化资产风险分类标准，完善分类流程，确保内部资产风险分类制度规定与监管要求一致。加强业务人员资产风险分类培训，改进和完善绩效考评机制，及时、准确、真实地反映资产质量。建立和完善资产风险分类政策、程序和执行情况的定期检查评估机制，定期开展检查和评估，并将检查结果向监管部门报告。</w:t>
      </w:r>
    </w:p>
    <w:p w14:paraId="3C5553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(二)严禁</w:t>
      </w:r>
      <w:proofErr w:type="gramStart"/>
      <w:r>
        <w:rPr>
          <w:rFonts w:ascii="宋体" w:eastAsia="宋体" w:hAnsi="宋体" w:cs="宋体" w:hint="eastAsia"/>
          <w:sz w:val="24"/>
        </w:rPr>
        <w:t>利用债委会</w:t>
      </w:r>
      <w:proofErr w:type="gramEnd"/>
      <w:r>
        <w:rPr>
          <w:rFonts w:ascii="宋体" w:eastAsia="宋体" w:hAnsi="宋体" w:cs="宋体" w:hint="eastAsia"/>
          <w:sz w:val="24"/>
        </w:rPr>
        <w:t>机制掩盖不良资产。对</w:t>
      </w:r>
      <w:proofErr w:type="gramStart"/>
      <w:r>
        <w:rPr>
          <w:rFonts w:ascii="宋体" w:eastAsia="宋体" w:hAnsi="宋体" w:cs="宋体" w:hint="eastAsia"/>
          <w:sz w:val="24"/>
        </w:rPr>
        <w:t>因债委会因素</w:t>
      </w:r>
      <w:proofErr w:type="gramEnd"/>
      <w:r>
        <w:rPr>
          <w:rFonts w:ascii="宋体" w:eastAsia="宋体" w:hAnsi="宋体" w:cs="宋体" w:hint="eastAsia"/>
          <w:sz w:val="24"/>
        </w:rPr>
        <w:t>暂未下迁分类、但实际风险已符合不良资产认定标准的资产非银行金融机构要利用内外部审计调</w:t>
      </w:r>
      <w:r>
        <w:rPr>
          <w:rFonts w:ascii="宋体" w:eastAsia="宋体" w:hAnsi="宋体" w:cs="宋体" w:hint="eastAsia"/>
          <w:sz w:val="24"/>
        </w:rPr>
        <w:lastRenderedPageBreak/>
        <w:t>整等方式尽快将相关资产按照不良资产进行监管数据报送和内部管理，真实反映</w:t>
      </w:r>
      <w:proofErr w:type="gramStart"/>
      <w:r>
        <w:rPr>
          <w:rFonts w:ascii="宋体" w:eastAsia="宋体" w:hAnsi="宋体" w:cs="宋体" w:hint="eastAsia"/>
          <w:sz w:val="24"/>
        </w:rPr>
        <w:t>债委会资产</w:t>
      </w:r>
      <w:proofErr w:type="gramEnd"/>
      <w:r>
        <w:rPr>
          <w:rFonts w:ascii="宋体" w:eastAsia="宋体" w:hAnsi="宋体" w:cs="宋体" w:hint="eastAsia"/>
          <w:sz w:val="24"/>
        </w:rPr>
        <w:t>质量。</w:t>
      </w:r>
    </w:p>
    <w:p w14:paraId="307361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 xml:space="preserve">(三)严禁通过其他各种方式掩盖资产质量。严禁非银行金融机构通过交叉金融业务隐匿存在风险的信用资产，严禁违规通过以贷收息、虚假盘活等方式延缓风险暴露,严禁违规上调形式掩盖真实资产质量。为确保真实反映风险状况，重组贷款的分类档次在至少 6 </w:t>
      </w:r>
      <w:proofErr w:type="gramStart"/>
      <w:r>
        <w:rPr>
          <w:rFonts w:ascii="宋体" w:eastAsia="宋体" w:hAnsi="宋体" w:cs="宋体" w:hint="eastAsia"/>
          <w:sz w:val="24"/>
        </w:rPr>
        <w:t>个</w:t>
      </w:r>
      <w:proofErr w:type="gramEnd"/>
      <w:r>
        <w:rPr>
          <w:rFonts w:ascii="宋体" w:eastAsia="宋体" w:hAnsi="宋体" w:cs="宋体" w:hint="eastAsia"/>
          <w:sz w:val="24"/>
        </w:rPr>
        <w:t>月的观察期内不得调高，观察期结束后应严格按照相关规定进行分类。</w:t>
      </w:r>
    </w:p>
    <w:p w14:paraId="556004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三、严格落实分类调整意见</w:t>
      </w:r>
    </w:p>
    <w:p w14:paraId="5FA1F9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)金融资产管理公司。要在摸清风险底数的前提下，制订内生不良资产入账计划，2022 年 4 月底前报送监管部门审核。原则上各金融资产管理公司应于 2022 年底前将逾期不良比降至100%以内。在做实资产风险分类、满足资本监管要求的基础上，可向银保监会申请阶段性降低拨备覆盖率监管要求(不得低于100%)。</w:t>
      </w:r>
    </w:p>
    <w:p w14:paraId="63ECE0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(二)金融租赁公司。逾期超过 60 天的融资租赁资产原则上于 2022 年 6月底前全部计入不良反映。同一笔融资租赁业务不得进行拆分分类。给予延期还款或其他重组安排的融资租赁业务，如果承租人仍然逾期，或承租人无力偿还租金，应至少归为可疑类。</w:t>
      </w:r>
    </w:p>
    <w:p w14:paraId="116B13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(三)企业集团财务公司。逾期超过 60 天的贷款应于 2022年 6月底前全部计入不良贷款。已进入破产程序的企业集团财务公司的表内外信用风险资产，以及</w:t>
      </w:r>
      <w:proofErr w:type="gramStart"/>
      <w:r>
        <w:rPr>
          <w:rFonts w:ascii="宋体" w:eastAsia="宋体" w:hAnsi="宋体" w:cs="宋体" w:hint="eastAsia"/>
          <w:sz w:val="24"/>
        </w:rPr>
        <w:t>因债委</w:t>
      </w:r>
      <w:proofErr w:type="gramEnd"/>
      <w:r>
        <w:rPr>
          <w:rFonts w:ascii="宋体" w:eastAsia="宋体" w:hAnsi="宋体" w:cs="宋体" w:hint="eastAsia"/>
          <w:sz w:val="24"/>
        </w:rPr>
        <w:t>会等因素未纳入不良但已符合不良资产认定标准的表内外信用风险资产，应于2022 年6月底前全部计入不良资产。辖内企业集团财务公司不良资产分类偏离度较高的北京、河北、重庆，</w:t>
      </w:r>
      <w:proofErr w:type="gramStart"/>
      <w:r>
        <w:rPr>
          <w:rFonts w:ascii="宋体" w:eastAsia="宋体" w:hAnsi="宋体" w:cs="宋体" w:hint="eastAsia"/>
          <w:sz w:val="24"/>
        </w:rPr>
        <w:t>大连等银保</w:t>
      </w:r>
      <w:proofErr w:type="gramEnd"/>
      <w:r>
        <w:rPr>
          <w:rFonts w:ascii="宋体" w:eastAsia="宋体" w:hAnsi="宋体" w:cs="宋体" w:hint="eastAsia"/>
          <w:sz w:val="24"/>
        </w:rPr>
        <w:t>监局应根据前期监管约谈意见，督促辖内企业集团财务公司做实资产质量分类，对于掩盖不良、弄虚作假的问题，要严肃处理加大通报和处罚力度，绝不姑息纵容。</w:t>
      </w:r>
    </w:p>
    <w:p w14:paraId="53C80A2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(四)消费金融公司、汽车金融公司。逾期超过 60 天的贷款原则上于 2022 年 6 月底前全部计入不良贷款。对同一借款人在同一公司的各笔贷款分类原则上应保持一致。一笔贷款计入不良的，其他贷款原则上也应计入为不良，如有抵</w:t>
      </w:r>
      <w:r>
        <w:rPr>
          <w:rFonts w:ascii="宋体" w:eastAsia="宋体" w:hAnsi="宋体" w:cs="宋体" w:hint="eastAsia"/>
          <w:sz w:val="24"/>
        </w:rPr>
        <w:lastRenderedPageBreak/>
        <w:t>押品的，至少应划分为关注类。给予延期还款或其他重组安排后的贷款如果仍然出现逾期，应计入不良。</w:t>
      </w:r>
    </w:p>
    <w:p w14:paraId="3C399D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四、加快不良资产处置</w:t>
      </w:r>
    </w:p>
    <w:p w14:paraId="0963FD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)综合运用多种处置手段。非银行金融机构应按照依法合</w:t>
      </w:r>
      <w:proofErr w:type="gramStart"/>
      <w:r>
        <w:rPr>
          <w:rFonts w:ascii="宋体" w:eastAsia="宋体" w:hAnsi="宋体" w:cs="宋体" w:hint="eastAsia"/>
          <w:sz w:val="24"/>
        </w:rPr>
        <w:t>规</w:t>
      </w:r>
      <w:proofErr w:type="gramEnd"/>
      <w:r>
        <w:rPr>
          <w:rFonts w:ascii="宋体" w:eastAsia="宋体" w:hAnsi="宋体" w:cs="宋体" w:hint="eastAsia"/>
          <w:sz w:val="24"/>
        </w:rPr>
        <w:t>、积极处置、尽职追偿的原则，综合运用清收、重组以物抵债、增加担保、诉讼、转让、资产证券化等多种方式，规范有序处置不良资产。对于历史遗留或长期</w:t>
      </w:r>
      <w:proofErr w:type="gramStart"/>
      <w:r>
        <w:rPr>
          <w:rFonts w:ascii="宋体" w:eastAsia="宋体" w:hAnsi="宋体" w:cs="宋体" w:hint="eastAsia"/>
          <w:sz w:val="24"/>
        </w:rPr>
        <w:t>挂账未</w:t>
      </w:r>
      <w:proofErr w:type="gramEnd"/>
      <w:r>
        <w:rPr>
          <w:rFonts w:ascii="宋体" w:eastAsia="宋体" w:hAnsi="宋体" w:cs="宋体" w:hint="eastAsia"/>
          <w:sz w:val="24"/>
        </w:rPr>
        <w:t>处置的不良资产，应抓紧核销、实质性化解。非银行金融机构应于每年4 月底前将当年不良资产处置计划报送监管部门审核。</w:t>
      </w:r>
    </w:p>
    <w:p w14:paraId="5BEF9C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(二)充分运用拨备手段。鼓励非银行金融机构充分运用财务和拨备资源，统筹风险管理、财务能力、内部控制、审慎合</w:t>
      </w:r>
      <w:proofErr w:type="gramStart"/>
      <w:r>
        <w:rPr>
          <w:rFonts w:ascii="宋体" w:eastAsia="宋体" w:hAnsi="宋体" w:cs="宋体" w:hint="eastAsia"/>
          <w:sz w:val="24"/>
        </w:rPr>
        <w:t>规</w:t>
      </w:r>
      <w:proofErr w:type="gramEnd"/>
      <w:r>
        <w:rPr>
          <w:rFonts w:ascii="宋体" w:eastAsia="宋体" w:hAnsi="宋体" w:cs="宋体" w:hint="eastAsia"/>
          <w:sz w:val="24"/>
        </w:rPr>
        <w:t>等因素，加大核销力度，提高拨</w:t>
      </w:r>
      <w:proofErr w:type="gramStart"/>
      <w:r>
        <w:rPr>
          <w:rFonts w:ascii="宋体" w:eastAsia="宋体" w:hAnsi="宋体" w:cs="宋体" w:hint="eastAsia"/>
          <w:sz w:val="24"/>
        </w:rPr>
        <w:t>备利用</w:t>
      </w:r>
      <w:proofErr w:type="gramEnd"/>
      <w:r>
        <w:rPr>
          <w:rFonts w:ascii="宋体" w:eastAsia="宋体" w:hAnsi="宋体" w:cs="宋体" w:hint="eastAsia"/>
          <w:sz w:val="24"/>
        </w:rPr>
        <w:t>效率，对于符合核销条件的不良资产做到应核尽核。</w:t>
      </w:r>
    </w:p>
    <w:p w14:paraId="125232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(三)规范不良资产处置。非银行金融机构应严格按照真实性、整体性和洁净转让原则处置不良资产，严禁违规通过代持、出让人回购或收益补足、同业通道、</w:t>
      </w:r>
      <w:proofErr w:type="gramStart"/>
      <w:r>
        <w:rPr>
          <w:rFonts w:ascii="宋体" w:eastAsia="宋体" w:hAnsi="宋体" w:cs="宋体" w:hint="eastAsia"/>
          <w:sz w:val="24"/>
        </w:rPr>
        <w:t>电资产</w:t>
      </w:r>
      <w:proofErr w:type="gramEnd"/>
      <w:r>
        <w:rPr>
          <w:rFonts w:ascii="宋体" w:eastAsia="宋体" w:hAnsi="宋体" w:cs="宋体" w:hint="eastAsia"/>
          <w:sz w:val="24"/>
        </w:rPr>
        <w:t>置换、重组上调分类等方式非真实处置不良资产</w:t>
      </w:r>
    </w:p>
    <w:p w14:paraId="7660D9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五、加强监管、严肃问责</w:t>
      </w:r>
    </w:p>
    <w:p w14:paraId="7C87537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)强化监测预警。</w:t>
      </w:r>
      <w:proofErr w:type="gramStart"/>
      <w:r>
        <w:rPr>
          <w:rFonts w:ascii="宋体" w:eastAsia="宋体" w:hAnsi="宋体" w:cs="宋体" w:hint="eastAsia"/>
          <w:sz w:val="24"/>
        </w:rPr>
        <w:t>各银保</w:t>
      </w:r>
      <w:proofErr w:type="gramEnd"/>
      <w:r>
        <w:rPr>
          <w:rFonts w:ascii="宋体" w:eastAsia="宋体" w:hAnsi="宋体" w:cs="宋体" w:hint="eastAsia"/>
          <w:sz w:val="24"/>
        </w:rPr>
        <w:t>监局要依托监管信息系统对信用风险指标异常波动、接近警戒线等风险预警情况，坚持抓早抓小，提高风险监管前瞻性。</w:t>
      </w:r>
    </w:p>
    <w:p w14:paraId="6E9AA4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加强分类监管。</w:t>
      </w:r>
      <w:proofErr w:type="gramStart"/>
      <w:r>
        <w:rPr>
          <w:rFonts w:ascii="宋体" w:eastAsia="宋体" w:hAnsi="宋体" w:cs="宋体" w:hint="eastAsia"/>
          <w:sz w:val="24"/>
        </w:rPr>
        <w:t>各银保</w:t>
      </w:r>
      <w:proofErr w:type="gramEnd"/>
      <w:r>
        <w:rPr>
          <w:rFonts w:ascii="宋体" w:eastAsia="宋体" w:hAnsi="宋体" w:cs="宋体" w:hint="eastAsia"/>
          <w:sz w:val="24"/>
        </w:rPr>
        <w:t>监局要综合运用非现场监管和现场检查等手段，持续加大对辖内非银行金融机构不良资产真实反映的排查力度。要将非银行金融机构特别是金融租赁公司、企业集团财务公司不良资产真实性检查列入 2022 年现场检查或核查计划。对辖内分类偏离度较高、风险隐患较大的非银行金融机构实行名单制管理，动态监测、分类施策，督促稳步做实、尽早处置。</w:t>
      </w:r>
    </w:p>
    <w:p w14:paraId="3DAE1D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加大监管惩诚。</w:t>
      </w:r>
      <w:proofErr w:type="gramStart"/>
      <w:r>
        <w:rPr>
          <w:rFonts w:ascii="宋体" w:eastAsia="宋体" w:hAnsi="宋体" w:cs="宋体" w:hint="eastAsia"/>
          <w:sz w:val="24"/>
        </w:rPr>
        <w:t>各银保</w:t>
      </w:r>
      <w:proofErr w:type="gramEnd"/>
      <w:r>
        <w:rPr>
          <w:rFonts w:ascii="宋体" w:eastAsia="宋体" w:hAnsi="宋体" w:cs="宋体" w:hint="eastAsia"/>
          <w:sz w:val="24"/>
        </w:rPr>
        <w:t>监局要保持对资产风险分类不实问题高压态势，对监管发现资产风险分类不实、拨备计提不足的非银行金融机构，及时采取监管约谈、监管通报等措施确保及时纠正。对于未按照本通知要求进行准确分类、未在规定时限内进行分类调整的机构，要加大现场检查频度，加大与监管评级和市场准入挂钩力度，还原真实拨备和资本充足率。(四)严肃内部问责。</w:t>
      </w:r>
      <w:proofErr w:type="gramStart"/>
      <w:r>
        <w:rPr>
          <w:rFonts w:ascii="宋体" w:eastAsia="宋体" w:hAnsi="宋体" w:cs="宋体" w:hint="eastAsia"/>
          <w:sz w:val="24"/>
        </w:rPr>
        <w:t>各银保</w:t>
      </w:r>
      <w:proofErr w:type="gramEnd"/>
      <w:r>
        <w:rPr>
          <w:rFonts w:ascii="宋体" w:eastAsia="宋体" w:hAnsi="宋体" w:cs="宋体" w:hint="eastAsia"/>
          <w:sz w:val="24"/>
        </w:rPr>
        <w:t>监局</w:t>
      </w:r>
      <w:r>
        <w:rPr>
          <w:rFonts w:ascii="宋体" w:eastAsia="宋体" w:hAnsi="宋体" w:cs="宋体" w:hint="eastAsia"/>
          <w:sz w:val="24"/>
        </w:rPr>
        <w:lastRenderedPageBreak/>
        <w:t>要督促辖内非银行金融机构主动开展资产风险分类不实问题自查自纠，立查立改，对于弄虚作假、掩盖不良的机构和责任人进行严肃问责，问题严重的要依法追究董事会、管理层和监事会的责任，涉嫌违纪的要及时移送上级党委和纪委予以严肃处理。各非银行金融机构要建立健全责任认定与追究机制，强化内部问责，整改进展和问</w:t>
      </w:r>
      <w:proofErr w:type="gramStart"/>
      <w:r>
        <w:rPr>
          <w:rFonts w:ascii="宋体" w:eastAsia="宋体" w:hAnsi="宋体" w:cs="宋体" w:hint="eastAsia"/>
          <w:sz w:val="24"/>
        </w:rPr>
        <w:t>责结果</w:t>
      </w:r>
      <w:proofErr w:type="gramEnd"/>
      <w:r>
        <w:rPr>
          <w:rFonts w:ascii="宋体" w:eastAsia="宋体" w:hAnsi="宋体" w:cs="宋体" w:hint="eastAsia"/>
          <w:sz w:val="24"/>
        </w:rPr>
        <w:t>要及时向监管部门报告，确保问题真正整改到位(五)构建长效机制。</w:t>
      </w:r>
      <w:proofErr w:type="gramStart"/>
      <w:r>
        <w:rPr>
          <w:rFonts w:ascii="宋体" w:eastAsia="宋体" w:hAnsi="宋体" w:cs="宋体" w:hint="eastAsia"/>
          <w:sz w:val="24"/>
        </w:rPr>
        <w:t>各银保</w:t>
      </w:r>
      <w:proofErr w:type="gramEnd"/>
      <w:r>
        <w:rPr>
          <w:rFonts w:ascii="宋体" w:eastAsia="宋体" w:hAnsi="宋体" w:cs="宋体" w:hint="eastAsia"/>
          <w:sz w:val="24"/>
        </w:rPr>
        <w:t>监局要持续督促辖内非银行金融机构堵塞风险漏洞、转变发展理念、健全治理机制、本加强内部管控、营造合</w:t>
      </w:r>
      <w:proofErr w:type="gramStart"/>
      <w:r>
        <w:rPr>
          <w:rFonts w:ascii="宋体" w:eastAsia="宋体" w:hAnsi="宋体" w:cs="宋体" w:hint="eastAsia"/>
          <w:sz w:val="24"/>
        </w:rPr>
        <w:t>规</w:t>
      </w:r>
      <w:proofErr w:type="gramEnd"/>
      <w:r>
        <w:rPr>
          <w:rFonts w:ascii="宋体" w:eastAsia="宋体" w:hAnsi="宋体" w:cs="宋体" w:hint="eastAsia"/>
          <w:sz w:val="24"/>
        </w:rPr>
        <w:t>文化，从源头上遏制资产风险分类不实问题，建立长效工作机制，实现稳健高质量发展。</w:t>
      </w:r>
    </w:p>
    <w:p w14:paraId="5BB29966"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6DB3D2F1" w14:textId="77777777" w:rsidR="00F50CD8" w:rsidRDefault="00000000">
      <w:pPr>
        <w:spacing w:afterLines="50" w:after="156" w:line="360" w:lineRule="auto"/>
        <w:ind w:firstLineChars="200" w:firstLine="482"/>
        <w:rPr>
          <w:rFonts w:ascii="宋体" w:eastAsia="宋体" w:hAnsi="宋体" w:cs="宋体" w:hint="eastAsia"/>
          <w:sz w:val="24"/>
        </w:rPr>
      </w:pPr>
      <w:r>
        <w:rPr>
          <w:rFonts w:ascii="宋体" w:eastAsia="宋体" w:hAnsi="宋体" w:cs="宋体" w:hint="eastAsia"/>
          <w:b/>
          <w:bCs/>
          <w:sz w:val="24"/>
        </w:rPr>
        <w:lastRenderedPageBreak/>
        <w:t xml:space="preserve">123.《银行保险机构声誉风险管理办法(试行)》 </w:t>
      </w:r>
      <w:r>
        <w:rPr>
          <w:rFonts w:ascii="宋体" w:eastAsia="宋体" w:hAnsi="宋体" w:cs="宋体" w:hint="eastAsia"/>
          <w:sz w:val="24"/>
        </w:rPr>
        <w:tab/>
      </w:r>
    </w:p>
    <w:p w14:paraId="26B04F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发文机构：中国银行保险监督管理委员会(已撤销)</w:t>
      </w:r>
    </w:p>
    <w:p w14:paraId="54DA53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文号：银保监发〔2021〕4号</w:t>
      </w:r>
    </w:p>
    <w:p w14:paraId="56B9B42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2D40B1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提高银行保险机构声誉风险管理水平，有效防范化解声誉风险，维护金融稳定和市场信心，根据《中华人民共和国银行业监督管理法》《中华人民共和国商业银行法》《中华人民共和国保险法》《中华人民共和国信托法》等法律法规，制定本办法。</w:t>
      </w:r>
    </w:p>
    <w:p w14:paraId="25F009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本办法所称银行保险机构，是指在中华人民共和国境内依法设立的中资商业银行、中外合资银行、外商独资银行、信托公司、保险集团（控股）公司、保险公司。</w:t>
      </w:r>
    </w:p>
    <w:p w14:paraId="04A6DC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办法所称声誉风险，是指由银行保险机构行为、从业人员行为或外部事件等，导致利益相关方、社会公众、媒体等对银行保险机构形成负面评价，从而损害其品牌价值，不利其正常经营，甚至影响到市场稳定和社会稳定的风险。</w:t>
      </w:r>
    </w:p>
    <w:p w14:paraId="106F0A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声誉事件是指引发银行保险机构声誉明显受损的相关行为或活动。</w:t>
      </w:r>
    </w:p>
    <w:p w14:paraId="0EEC70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银行保险机构声誉风险管理应遵循以下基本原则：</w:t>
      </w:r>
    </w:p>
    <w:p w14:paraId="1FA91C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（一）前瞻性原则。银行保险机构应坚持预防为主的声誉风险管理理念，加强研究，防控源头，定期对声誉风险管理情况及潜在风险进行审视，提升声誉风险管理预见性。</w:t>
      </w:r>
    </w:p>
    <w:p w14:paraId="35A57F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（二）匹配性原则。银行保险机构应进行多层次、差异化的声誉风险管理，与自身规模、经营状况、风险状况及系统重要性相匹配，并结合外部环境和内部管理变化适时调整。</w:t>
      </w:r>
    </w:p>
    <w:p w14:paraId="2923CE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全覆盖原则。银行保险机构应以公司治理为着力点，将声誉风险管理纳入全面风险管理体系，覆盖各业务条线、所有分支机构和子公司，覆盖各部门、岗位、人员和产品，覆盖决策、执行和监督全部管理环节，同时应防范第三方合作机构可能引发的对本机构不利的声誉风险，充分</w:t>
      </w:r>
      <w:proofErr w:type="gramStart"/>
      <w:r>
        <w:rPr>
          <w:rFonts w:ascii="宋体" w:eastAsia="宋体" w:hAnsi="宋体" w:cs="宋体" w:hint="eastAsia"/>
          <w:sz w:val="24"/>
        </w:rPr>
        <w:t>考量</w:t>
      </w:r>
      <w:proofErr w:type="gramEnd"/>
      <w:r>
        <w:rPr>
          <w:rFonts w:ascii="宋体" w:eastAsia="宋体" w:hAnsi="宋体" w:cs="宋体" w:hint="eastAsia"/>
          <w:sz w:val="24"/>
        </w:rPr>
        <w:t>其他内外部风险的相关性</w:t>
      </w:r>
      <w:r>
        <w:rPr>
          <w:rFonts w:ascii="宋体" w:eastAsia="宋体" w:hAnsi="宋体" w:cs="宋体" w:hint="eastAsia"/>
          <w:sz w:val="24"/>
        </w:rPr>
        <w:lastRenderedPageBreak/>
        <w:t>和传染性。</w:t>
      </w:r>
    </w:p>
    <w:p w14:paraId="5DB43E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有效性原则。银行保险机构应以防控风险、有效处置、修复形象为声誉风险管理最终标准，建立科学合理、及时高效的风险防范及应对处置机制，确保能够快速响应、协同应对、高效处置声誉事件，及时修复机构受损声誉和社会形象。</w:t>
      </w:r>
    </w:p>
    <w:p w14:paraId="66C28F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银行保险机构承担声誉风险管理的主体责任，中国银行保险监督管理委员会（以下简称银保监会）及其派出机构依法对银行保险机构声誉风险管理实施监管。</w:t>
      </w:r>
    </w:p>
    <w:p w14:paraId="510A05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治理架构</w:t>
      </w:r>
    </w:p>
    <w:p w14:paraId="087F852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国有、国有控股的银行保险机构，要坚持以党的政治建设为统领，充分发挥党组织把方向、管大局、</w:t>
      </w:r>
      <w:proofErr w:type="gramStart"/>
      <w:r>
        <w:rPr>
          <w:rFonts w:ascii="宋体" w:eastAsia="宋体" w:hAnsi="宋体" w:cs="宋体" w:hint="eastAsia"/>
          <w:sz w:val="24"/>
        </w:rPr>
        <w:t>保落实</w:t>
      </w:r>
      <w:proofErr w:type="gramEnd"/>
      <w:r>
        <w:rPr>
          <w:rFonts w:ascii="宋体" w:eastAsia="宋体" w:hAnsi="宋体" w:cs="宋体" w:hint="eastAsia"/>
          <w:sz w:val="24"/>
        </w:rPr>
        <w:t>的领导作用，把党的领导融入声誉风险管理各个环节。已建立党组织的民营资本或社会资本占主体的银行保险机构，要积极发挥党组织政治核心作用，把党的领导与声誉风险管理紧密结合起来，实现目标同向、互促共进。</w:t>
      </w:r>
    </w:p>
    <w:p w14:paraId="1F2355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银行保险机构应强化公司治理在声誉风险管理中的作用，明确董事会、监事会、高级管理层、声誉风险管理部门、其他职能部门、分支机构和子公司的职责分工，构建组织健全、职责清晰的声誉风险治理架构和相互衔接、有效联动的运行机制。</w:t>
      </w:r>
    </w:p>
    <w:p w14:paraId="298D21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银行保险机构董事会、监事会和高级管理层分别承担声誉风险管理的最终责任、监督责任和管理责任，董事长或主要负责人为第一责任人。</w:t>
      </w:r>
    </w:p>
    <w:p w14:paraId="263E94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董事会负责确定声誉风险管理策略和总体目标，掌握声誉风险状况，监督高级管理</w:t>
      </w:r>
      <w:proofErr w:type="gramStart"/>
      <w:r>
        <w:rPr>
          <w:rFonts w:ascii="宋体" w:eastAsia="宋体" w:hAnsi="宋体" w:cs="宋体" w:hint="eastAsia"/>
          <w:sz w:val="24"/>
        </w:rPr>
        <w:t>层开展</w:t>
      </w:r>
      <w:proofErr w:type="gramEnd"/>
      <w:r>
        <w:rPr>
          <w:rFonts w:ascii="宋体" w:eastAsia="宋体" w:hAnsi="宋体" w:cs="宋体" w:hint="eastAsia"/>
          <w:sz w:val="24"/>
        </w:rPr>
        <w:t>声誉风险管理。对于声誉事件造成机构和行业重大损失、市场大幅波动、引发系统性风险或影响社会经济秩序稳定的，董事会应听取专门报告，并在下一年听取声誉风险管理的专项报告。</w:t>
      </w:r>
    </w:p>
    <w:p w14:paraId="49E2A4A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监事会负责监督董事会和高级管理层在声誉风险管理方面的履职尽责情况，并将相关情况纳入监事会工作报告。</w:t>
      </w:r>
    </w:p>
    <w:p w14:paraId="16D278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高级管理</w:t>
      </w:r>
      <w:proofErr w:type="gramStart"/>
      <w:r>
        <w:rPr>
          <w:rFonts w:ascii="宋体" w:eastAsia="宋体" w:hAnsi="宋体" w:cs="宋体" w:hint="eastAsia"/>
          <w:sz w:val="24"/>
        </w:rPr>
        <w:t>层负责</w:t>
      </w:r>
      <w:proofErr w:type="gramEnd"/>
      <w:r>
        <w:rPr>
          <w:rFonts w:ascii="宋体" w:eastAsia="宋体" w:hAnsi="宋体" w:cs="宋体" w:hint="eastAsia"/>
          <w:sz w:val="24"/>
        </w:rPr>
        <w:t>建立健全声誉风险管理制度，完善工作机制，制定重大事项的声誉风险应对预案和处置方案，安排并推进声誉事件处置。每年至少进行一次声誉风险管理评估。</w:t>
      </w:r>
    </w:p>
    <w:p w14:paraId="235264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银行保险机构应设立或指定部门作为本机构声誉风险管理部门，并配备相应管理资源。声誉风险管理部门负责牵头落实高级管理层工作部署，指导协调其他职能部门、分支机构和子公司贯彻声誉风险管理制度要求，协调组织开展声誉风险的监测报告、排查评估、应对处置等工作，制定并实施员工教育和培训计划。</w:t>
      </w:r>
    </w:p>
    <w:p w14:paraId="2AEF0D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其他职能部门及分支机构负责执行声誉风险防范和声誉事件处置中与本部门（机构）有关的各项决策，同时应设置专职或兼职的声誉风险管理岗位，加强与声誉风险管理部门的沟通协调，筑牢声誉风险管理第一道防线。</w:t>
      </w:r>
    </w:p>
    <w:p w14:paraId="2FE246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应指导子公司参照母公司声誉风险管理基本原则，建立与自身情况及外部环境相适应的声誉风险治理架构、制度和流程，落实母公司声誉风险管理有关要求，做好本机构声誉风险的监测、防范和处置工作。</w:t>
      </w:r>
    </w:p>
    <w:p w14:paraId="16C399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全流程管理</w:t>
      </w:r>
    </w:p>
    <w:p w14:paraId="68DD86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银行保险机构应建立声誉风险事前评估机制，在进行重大战略调整、参与重大项目、实施重大金融创新及展业、重大营销活动及媒体推广、披露重要信息、涉及重大法律诉讼或行政处罚、面临群体性事件、遇到行业规则或外部环境发生重大变化等容易产生声誉风险的情形时，应进行声誉风险评估，根据评估结果制定应对预案。</w:t>
      </w:r>
    </w:p>
    <w:p w14:paraId="158380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银行保险机构应建立声誉风险监测机制，充分考虑与信用风险、保险风险、市场风险、流动性风险、操作风险、国别风险、利率风险、战略风险、信息科技风险以及其他风险的关联性，及时发现和识别声誉风险。</w:t>
      </w:r>
    </w:p>
    <w:p w14:paraId="70E27B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银行保险机构应建立声誉事件分级机制，结合本机构实际，对声誉事件的性质、严重程度、传播速度、影响范围和发展趋势等进行</w:t>
      </w:r>
      <w:proofErr w:type="gramStart"/>
      <w:r>
        <w:rPr>
          <w:rFonts w:ascii="宋体" w:eastAsia="宋体" w:hAnsi="宋体" w:cs="宋体" w:hint="eastAsia"/>
          <w:sz w:val="24"/>
        </w:rPr>
        <w:t>研</w:t>
      </w:r>
      <w:proofErr w:type="gramEnd"/>
      <w:r>
        <w:rPr>
          <w:rFonts w:ascii="宋体" w:eastAsia="宋体" w:hAnsi="宋体" w:cs="宋体" w:hint="eastAsia"/>
          <w:sz w:val="24"/>
        </w:rPr>
        <w:t>判评估，科学分类，分级应对。</w:t>
      </w:r>
    </w:p>
    <w:p w14:paraId="3B9DA7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银行保险机构应加强声誉风险应对处置，按照声誉事件的不同级</w:t>
      </w:r>
      <w:r>
        <w:rPr>
          <w:rFonts w:ascii="宋体" w:eastAsia="宋体" w:hAnsi="宋体" w:cs="宋体" w:hint="eastAsia"/>
          <w:sz w:val="24"/>
        </w:rPr>
        <w:lastRenderedPageBreak/>
        <w:t>别，灵活采取相应措施，可包括：</w:t>
      </w:r>
    </w:p>
    <w:p w14:paraId="2A2FAE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（一）核查引发声誉事件的基本事实、主客观原因，分析机构的责任范围；</w:t>
      </w:r>
    </w:p>
    <w:p w14:paraId="0236AB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（二）检视其他经营区域及业务、宣传策略等与声誉事件的关联性，防止声誉事件升级或出现次生风险；</w:t>
      </w:r>
    </w:p>
    <w:p w14:paraId="0657A2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（三）对可能的补救措施进行评估，根据实际情况采取合理的补救措施控制利益相关方损失程度和范围；</w:t>
      </w:r>
    </w:p>
    <w:p w14:paraId="6B0EC6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（四）积极主动统一准备新闻口径，通过新闻发布、媒体通气、声明、公告等适当形式，适时披露相关信息，澄清事实情况，回应社会关切；</w:t>
      </w:r>
    </w:p>
    <w:p w14:paraId="30D2ECE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（五）对引发声誉事件的产品设计缺陷、服务质量弊病、违法违规经营等问题进行整改，根据情节轻重进行追责，并视情公开，展现真诚担当的社会形象；</w:t>
      </w:r>
    </w:p>
    <w:p w14:paraId="26D6B18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（六）及时开展声誉恢复工作，加大正面宣传，介绍针对声誉事件的改进措施以及其他改善经营服务水平的举措，综合施策消除或降低声誉事件的负面影响；</w:t>
      </w:r>
    </w:p>
    <w:p w14:paraId="15658B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（七）对恶意损害本机构声誉的行为，依法采取措施维护自身合法权益；</w:t>
      </w:r>
    </w:p>
    <w:p w14:paraId="73B584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（八）声誉事件处置中其他必要的措施。</w:t>
      </w:r>
    </w:p>
    <w:p w14:paraId="159E4D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银行保险机构应建立声誉事件报告机制，</w:t>
      </w:r>
      <w:proofErr w:type="gramStart"/>
      <w:r>
        <w:rPr>
          <w:rFonts w:ascii="宋体" w:eastAsia="宋体" w:hAnsi="宋体" w:cs="宋体" w:hint="eastAsia"/>
          <w:sz w:val="24"/>
        </w:rPr>
        <w:t>明确报告</w:t>
      </w:r>
      <w:proofErr w:type="gramEnd"/>
      <w:r>
        <w:rPr>
          <w:rFonts w:ascii="宋体" w:eastAsia="宋体" w:hAnsi="宋体" w:cs="宋体" w:hint="eastAsia"/>
          <w:sz w:val="24"/>
        </w:rPr>
        <w:t>要求、路径和时限。对于符合突发事件信息报告有关规定的，按要求向监管部门报告。</w:t>
      </w:r>
    </w:p>
    <w:p w14:paraId="752276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银行保险机构应强化考核问责，将声誉事件的防范处置情况纳入考核范围，对引发声誉事件或预防及处置不当造成重大损失或严重不良影响的相关人员和声誉风险管理部门、其他职能部门、分支机构等应依法依规进行问责追责。</w:t>
      </w:r>
    </w:p>
    <w:p w14:paraId="4638DB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银行保险机构应开展全流程评估工作，对相关问题的整改情况进行跟踪评价，对整个声誉事件进行复盘总结，及时查缺补漏，进一步完善制度、规范流程，避免同类声誉事件再次发生。</w:t>
      </w:r>
    </w:p>
    <w:p w14:paraId="0E5AFD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常态化建设</w:t>
      </w:r>
    </w:p>
    <w:p w14:paraId="53C2AE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银行保险机构应定期开展声誉风险隐患排查，覆盖内部管理、产</w:t>
      </w:r>
      <w:r>
        <w:rPr>
          <w:rFonts w:ascii="宋体" w:eastAsia="宋体" w:hAnsi="宋体" w:cs="宋体" w:hint="eastAsia"/>
          <w:sz w:val="24"/>
        </w:rPr>
        <w:lastRenderedPageBreak/>
        <w:t>品设计、业务流程、外部关系等方面，从源头减少声誉风险触发因素，持续完善声誉风险应对预案和相关内部制度。</w:t>
      </w:r>
    </w:p>
    <w:p w14:paraId="6E9E67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银行保险机构应定期开展声誉风险情景模拟和应急演练，检视机构应对各种不利事件特别是极端事件的反应能力和适当程度，并将声誉风险情景纳入本机构压力测试体系，在开展各类压力测试过程中充分考虑声誉风险影响。</w:t>
      </w:r>
    </w:p>
    <w:p w14:paraId="4DEEBE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银行保险机构应建立与投诉、举报、调解、诉讼等联动的声誉风险防范机制，及时回应和解决有关合理诉求，防止处理不当引发声誉风险。</w:t>
      </w:r>
    </w:p>
    <w:p w14:paraId="5B0995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银行保险机构应主动接受社会舆论监督，建立统一管理的采访接待和信息发布机制，及时准确公开信息，避免误读误解引发声誉风险。</w:t>
      </w:r>
    </w:p>
    <w:p w14:paraId="19C3E2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银行保险机构应做好声誉资本积累，加强品牌建设，承担社会责任，诚实守信经营，提供优质高效服务。</w:t>
      </w:r>
    </w:p>
    <w:p w14:paraId="0ADA5D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银行保险机构应将声誉风险管理纳入内部审计范畴，定期审查和评价声誉风险管理的规范性和有效性，包括但不限于：</w:t>
      </w:r>
    </w:p>
    <w:p w14:paraId="76516D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（一）治理架构、策略、制度和程序能否确保有效识别、监测和防范声誉风险；</w:t>
      </w:r>
    </w:p>
    <w:p w14:paraId="2CD6B7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（二）声誉风险管理政策和程序是否得到有效执行；</w:t>
      </w:r>
    </w:p>
    <w:p w14:paraId="4448E8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（三）风险排查和应急演练是否开展到位。</w:t>
      </w:r>
    </w:p>
    <w:p w14:paraId="3C09B7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银行保险机构应加强同业沟通联系，相互吸收借鉴经验教训，</w:t>
      </w:r>
      <w:proofErr w:type="gramStart"/>
      <w:r>
        <w:rPr>
          <w:rFonts w:ascii="宋体" w:eastAsia="宋体" w:hAnsi="宋体" w:cs="宋体" w:hint="eastAsia"/>
          <w:sz w:val="24"/>
        </w:rPr>
        <w:t>不</w:t>
      </w:r>
      <w:proofErr w:type="gramEnd"/>
      <w:r>
        <w:rPr>
          <w:rFonts w:ascii="宋体" w:eastAsia="宋体" w:hAnsi="宋体" w:cs="宋体" w:hint="eastAsia"/>
          <w:sz w:val="24"/>
        </w:rPr>
        <w:t>恶意诋毁，</w:t>
      </w:r>
      <w:proofErr w:type="gramStart"/>
      <w:r>
        <w:rPr>
          <w:rFonts w:ascii="宋体" w:eastAsia="宋体" w:hAnsi="宋体" w:cs="宋体" w:hint="eastAsia"/>
          <w:sz w:val="24"/>
        </w:rPr>
        <w:t>不</w:t>
      </w:r>
      <w:proofErr w:type="gramEnd"/>
      <w:r>
        <w:rPr>
          <w:rFonts w:ascii="宋体" w:eastAsia="宋体" w:hAnsi="宋体" w:cs="宋体" w:hint="eastAsia"/>
          <w:sz w:val="24"/>
        </w:rPr>
        <w:t>借机炒作，共同维护银行业保险业整体声誉。</w:t>
      </w:r>
    </w:p>
    <w:p w14:paraId="5BD186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监督管理</w:t>
      </w:r>
    </w:p>
    <w:p w14:paraId="102CAC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银保监会及其派出机构应将银行保险机构声誉风险管理纳入法人监管体系，加强银行业保险业声誉风险监管。</w:t>
      </w:r>
    </w:p>
    <w:p w14:paraId="1CDBEE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银保监会机构监管部门和各级派出机构承担银行保险机构声誉风险的监管责任，办公厅承担归口和协调责任。</w:t>
      </w:r>
    </w:p>
    <w:p w14:paraId="3C4C2DA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银保监会及其派出机构通过非现场监管和现场检查实施对银</w:t>
      </w:r>
      <w:r>
        <w:rPr>
          <w:rFonts w:ascii="宋体" w:eastAsia="宋体" w:hAnsi="宋体" w:cs="宋体" w:hint="eastAsia"/>
          <w:sz w:val="24"/>
        </w:rPr>
        <w:lastRenderedPageBreak/>
        <w:t>行保险机构声誉风险的持续监管，具体方式包括但不限于风险提示、监督管理谈话、现场检查等，并将其声誉风险管理状况作为监管评级及市场准入的考虑因素。</w:t>
      </w:r>
    </w:p>
    <w:p w14:paraId="517F3C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银保监会及其派出机构发现银行保险机构存在以下声誉风险问题，依法采取相应措施：</w:t>
      </w:r>
    </w:p>
    <w:p w14:paraId="194876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（一）声誉风险管理制度缺失或极度不完善，忽视声誉风险管理；</w:t>
      </w:r>
    </w:p>
    <w:p w14:paraId="0BED12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（二）未落实各项工作制度及工作流程，声誉风险管理机制运行不畅；</w:t>
      </w:r>
    </w:p>
    <w:p w14:paraId="20F8DF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（三）声誉事件造成机构和行业重大损失、市场大幅波动；</w:t>
      </w:r>
    </w:p>
    <w:p w14:paraId="069010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（四）声誉事件引发系统性风险、影响社会经济秩序稳定或造成其他重大后果。</w:t>
      </w:r>
    </w:p>
    <w:p w14:paraId="5FE2DC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上述情形，可采取监督管理谈话、责令限期改正、责令机构纪律处分等监管措施，并可依据《中华人民共和国银行业监督管理法》《中华人民共和国商业银行法》《中华人民共和国保险法》等法律法规实施行政处罚。</w:t>
      </w:r>
    </w:p>
    <w:p w14:paraId="1D1FBC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中国银行业协会、中国信托业协会、中国保险行业协会等行业社团组织应通过行业自律、维权、协调及宣传等方式，指导会员单位提高声誉风险管理水平，妥善应对处置行业性声誉事件，维护行业良好声誉。</w:t>
      </w:r>
    </w:p>
    <w:p w14:paraId="659AF0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附 则</w:t>
      </w:r>
    </w:p>
    <w:p w14:paraId="0409F5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银行保险机构应当依照本办法制定本机构（系统）声誉风险管理制度。</w:t>
      </w:r>
    </w:p>
    <w:p w14:paraId="0D14AD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银保监会及其派出机构批准设立的其他金融机构参照本办法执行，省级农村信用社联合社可参照本办法制定本省（区）农合机构声誉风险管理制度。</w:t>
      </w:r>
    </w:p>
    <w:p w14:paraId="6D4234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本办法由银保监会负责解释修订，自印发之日起执行。《商业银行声誉风险管理指引》（银监发〔2009〕82号）和《保险公司声誉风险管理指引》（保监发〔2014〕15号）同时废止。</w:t>
      </w:r>
    </w:p>
    <w:p w14:paraId="1FE26CAE"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4C70077B"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124.《中国银保监会关于开展银行业保险业“内控合规管理建设年”活动的通知》</w:t>
      </w:r>
    </w:p>
    <w:p w14:paraId="00DBE3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发文机构：中国银行保险监督管理委员会(已撤销）</w:t>
      </w:r>
      <w:r>
        <w:rPr>
          <w:rFonts w:ascii="宋体" w:eastAsia="宋体" w:hAnsi="宋体" w:cs="宋体" w:hint="eastAsia"/>
          <w:sz w:val="24"/>
        </w:rPr>
        <w:tab/>
      </w:r>
    </w:p>
    <w:p w14:paraId="0EAD12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文号：银保监发〔2021〕17号</w:t>
      </w:r>
    </w:p>
    <w:p w14:paraId="209AD605"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各银保</w:t>
      </w:r>
      <w:proofErr w:type="gramEnd"/>
      <w:r>
        <w:rPr>
          <w:rFonts w:ascii="宋体" w:eastAsia="宋体" w:hAnsi="宋体" w:cs="宋体" w:hint="eastAsia"/>
          <w:sz w:val="24"/>
        </w:rPr>
        <w:t>监局，机关各部门，各政策性银行、大型银行、股份制银行、外资银行、直销银行、金融资产管理公司、理财公司，各保险集团（控股）公司、保险公司、保险资产管理公司，银行业协会、信托业协会、财务公司协会、保险业协会、</w:t>
      </w:r>
      <w:proofErr w:type="gramStart"/>
      <w:r>
        <w:rPr>
          <w:rFonts w:ascii="宋体" w:eastAsia="宋体" w:hAnsi="宋体" w:cs="宋体" w:hint="eastAsia"/>
          <w:sz w:val="24"/>
        </w:rPr>
        <w:t>保险资管业</w:t>
      </w:r>
      <w:proofErr w:type="gramEnd"/>
      <w:r>
        <w:rPr>
          <w:rFonts w:ascii="宋体" w:eastAsia="宋体" w:hAnsi="宋体" w:cs="宋体" w:hint="eastAsia"/>
          <w:sz w:val="24"/>
        </w:rPr>
        <w:t>协会：</w:t>
      </w:r>
    </w:p>
    <w:p w14:paraId="6F1133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为深入贯彻落实党中央、国务院关于金融工作的决策部署，巩固拓展乱象整治成果，强化内控合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管理建设，厚植稳健审慎经营文化，夯实银行业保险业高质量发展根基，推动“十四五”时期经济社会发展开好局、起好步，银保监会决定组织开展银行业保险业“内控合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管理建设年”活动。现就相关事项通知如下：</w:t>
      </w:r>
    </w:p>
    <w:p w14:paraId="01F1A81B"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一</w:t>
      </w:r>
      <w:proofErr w:type="gramEnd"/>
      <w:r>
        <w:rPr>
          <w:rFonts w:ascii="宋体" w:eastAsia="宋体" w:hAnsi="宋体" w:cs="宋体" w:hint="eastAsia"/>
          <w:sz w:val="24"/>
        </w:rPr>
        <w:t> 、深刻认识开展内控合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管理建设活动的重要意义</w:t>
      </w:r>
    </w:p>
    <w:p w14:paraId="2ECAD3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2017年以来，银行业保险业市场乱象整治工作取得明显成效，行业经营乱象得到坚决遏制，重点领域风险得到有效管控，金融生态得到积极净化，为统筹疫情防控和经济社会恢复发展奠定了坚实基础。当前经济金融环境下，防范化解金融风险任务仍然艰巨，部分银行保险机构公司治理不健全、重效益轻合</w:t>
      </w:r>
      <w:proofErr w:type="gramStart"/>
      <w:r>
        <w:rPr>
          <w:rFonts w:ascii="宋体" w:eastAsia="宋体" w:hAnsi="宋体" w:cs="宋体" w:hint="eastAsia"/>
          <w:sz w:val="24"/>
        </w:rPr>
        <w:t>规</w:t>
      </w:r>
      <w:proofErr w:type="gramEnd"/>
      <w:r>
        <w:rPr>
          <w:rFonts w:ascii="宋体" w:eastAsia="宋体" w:hAnsi="宋体" w:cs="宋体" w:hint="eastAsia"/>
          <w:sz w:val="24"/>
        </w:rPr>
        <w:t>，对业务潜在风险评估不足，对重要岗位关键人员缺乏有效约束，内控要求常常为业务发展让路，部分领域问题屡查屡犯、屡禁不止，乱象新形式新变种花样翻新、层出不穷，迫切需要强基固本，激发银行保险机构合</w:t>
      </w:r>
      <w:proofErr w:type="gramStart"/>
      <w:r>
        <w:rPr>
          <w:rFonts w:ascii="宋体" w:eastAsia="宋体" w:hAnsi="宋体" w:cs="宋体" w:hint="eastAsia"/>
          <w:sz w:val="24"/>
        </w:rPr>
        <w:t>规</w:t>
      </w:r>
      <w:proofErr w:type="gramEnd"/>
      <w:r>
        <w:rPr>
          <w:rFonts w:ascii="宋体" w:eastAsia="宋体" w:hAnsi="宋体" w:cs="宋体" w:hint="eastAsia"/>
          <w:sz w:val="24"/>
        </w:rPr>
        <w:t>经营的内生动力，推动问题的根源性整改和乱象的深层次治理，牢牢守住不发生系统性风险的底线。</w:t>
      </w:r>
    </w:p>
    <w:p w14:paraId="362377F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开展“内控合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管理建设年”活动，是市场乱象整治走向纵深的必然要求，推动从规范业务经营行为转向更加注重健全内控合</w:t>
      </w:r>
      <w:proofErr w:type="gramStart"/>
      <w:r>
        <w:rPr>
          <w:rFonts w:ascii="宋体" w:eastAsia="宋体" w:hAnsi="宋体" w:cs="宋体" w:hint="eastAsia"/>
          <w:sz w:val="24"/>
        </w:rPr>
        <w:t>规</w:t>
      </w:r>
      <w:proofErr w:type="gramEnd"/>
      <w:r>
        <w:rPr>
          <w:rFonts w:ascii="宋体" w:eastAsia="宋体" w:hAnsi="宋体" w:cs="宋体" w:hint="eastAsia"/>
          <w:sz w:val="24"/>
        </w:rPr>
        <w:t>管理，引领自觉守法、审慎经营的银行业保险业新生态；是压实银行保险机构合</w:t>
      </w:r>
      <w:proofErr w:type="gramStart"/>
      <w:r>
        <w:rPr>
          <w:rFonts w:ascii="宋体" w:eastAsia="宋体" w:hAnsi="宋体" w:cs="宋体" w:hint="eastAsia"/>
          <w:sz w:val="24"/>
        </w:rPr>
        <w:t>规</w:t>
      </w:r>
      <w:proofErr w:type="gramEnd"/>
      <w:r>
        <w:rPr>
          <w:rFonts w:ascii="宋体" w:eastAsia="宋体" w:hAnsi="宋体" w:cs="宋体" w:hint="eastAsia"/>
          <w:sz w:val="24"/>
        </w:rPr>
        <w:t>经营主体责任的客观需要，引导从“被动合规”转向“主动合规”，牢固树立“内控优先、合</w:t>
      </w:r>
      <w:proofErr w:type="gramStart"/>
      <w:r>
        <w:rPr>
          <w:rFonts w:ascii="宋体" w:eastAsia="宋体" w:hAnsi="宋体" w:cs="宋体" w:hint="eastAsia"/>
          <w:sz w:val="24"/>
        </w:rPr>
        <w:t>规</w:t>
      </w:r>
      <w:proofErr w:type="gramEnd"/>
      <w:r>
        <w:rPr>
          <w:rFonts w:ascii="宋体" w:eastAsia="宋体" w:hAnsi="宋体" w:cs="宋体" w:hint="eastAsia"/>
          <w:sz w:val="24"/>
        </w:rPr>
        <w:t>为本”的理念；是促进“当下改”与“长久立”的重大举措，内控合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管理建设必须常抓不懈、久久为功，当前重在着力补齐内控合</w:t>
      </w:r>
      <w:proofErr w:type="gramStart"/>
      <w:r>
        <w:rPr>
          <w:rFonts w:ascii="宋体" w:eastAsia="宋体" w:hAnsi="宋体" w:cs="宋体" w:hint="eastAsia"/>
          <w:sz w:val="24"/>
        </w:rPr>
        <w:t>规</w:t>
      </w:r>
      <w:proofErr w:type="gramEnd"/>
      <w:r>
        <w:rPr>
          <w:rFonts w:ascii="宋体" w:eastAsia="宋体" w:hAnsi="宋体" w:cs="宋体" w:hint="eastAsia"/>
          <w:sz w:val="24"/>
        </w:rPr>
        <w:t>机制明显短板，坚决破解屡查屡犯顽</w:t>
      </w:r>
      <w:proofErr w:type="gramStart"/>
      <w:r>
        <w:rPr>
          <w:rFonts w:ascii="宋体" w:eastAsia="宋体" w:hAnsi="宋体" w:cs="宋体" w:hint="eastAsia"/>
          <w:sz w:val="24"/>
        </w:rPr>
        <w:lastRenderedPageBreak/>
        <w:t>瘴</w:t>
      </w:r>
      <w:proofErr w:type="gramEnd"/>
      <w:r>
        <w:rPr>
          <w:rFonts w:ascii="宋体" w:eastAsia="宋体" w:hAnsi="宋体" w:cs="宋体" w:hint="eastAsia"/>
          <w:sz w:val="24"/>
        </w:rPr>
        <w:t>痼疾，大力整治人民群众反映强烈的行业陋习，持续提升防范化解重大风险能力，为银行业保险业稳健发展提供重要支撑和坚实保障。</w:t>
      </w:r>
    </w:p>
    <w:p w14:paraId="09BED7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保险机构和各级监管部门要坚持以习近平新时代中国特色社会主义思想为指导，立足新发展阶段、贯彻新发展理念，全面贯彻党的十九大和十九届二中、三中、四中、五中全会以及中央经济工作会议精神，扎实开展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管理建设活动，实现内控体系更加健全、内控效能持续提升、合</w:t>
      </w:r>
      <w:proofErr w:type="gramStart"/>
      <w:r>
        <w:rPr>
          <w:rFonts w:ascii="宋体" w:eastAsia="宋体" w:hAnsi="宋体" w:cs="宋体" w:hint="eastAsia"/>
          <w:sz w:val="24"/>
        </w:rPr>
        <w:t>规</w:t>
      </w:r>
      <w:proofErr w:type="gramEnd"/>
      <w:r>
        <w:rPr>
          <w:rFonts w:ascii="宋体" w:eastAsia="宋体" w:hAnsi="宋体" w:cs="宋体" w:hint="eastAsia"/>
          <w:sz w:val="24"/>
        </w:rPr>
        <w:t>意识更加牢固、合</w:t>
      </w:r>
      <w:proofErr w:type="gramStart"/>
      <w:r>
        <w:rPr>
          <w:rFonts w:ascii="宋体" w:eastAsia="宋体" w:hAnsi="宋体" w:cs="宋体" w:hint="eastAsia"/>
          <w:sz w:val="24"/>
        </w:rPr>
        <w:t>规</w:t>
      </w:r>
      <w:proofErr w:type="gramEnd"/>
      <w:r>
        <w:rPr>
          <w:rFonts w:ascii="宋体" w:eastAsia="宋体" w:hAnsi="宋体" w:cs="宋体" w:hint="eastAsia"/>
          <w:sz w:val="24"/>
        </w:rPr>
        <w:t>文化持续厚植的建设目标，逐步构筑“不敢违规、不能违规、不想违规”的有效机制，为构建新发展格局提供有力金融支持。</w:t>
      </w:r>
    </w:p>
    <w:p w14:paraId="795501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、着力压实银行保险机构内控合</w:t>
      </w:r>
      <w:proofErr w:type="gramStart"/>
      <w:r>
        <w:rPr>
          <w:rFonts w:ascii="宋体" w:eastAsia="宋体" w:hAnsi="宋体" w:cs="宋体" w:hint="eastAsia"/>
          <w:sz w:val="24"/>
        </w:rPr>
        <w:t>规</w:t>
      </w:r>
      <w:proofErr w:type="gramEnd"/>
      <w:r>
        <w:rPr>
          <w:rFonts w:ascii="宋体" w:eastAsia="宋体" w:hAnsi="宋体" w:cs="宋体" w:hint="eastAsia"/>
          <w:sz w:val="24"/>
        </w:rPr>
        <w:t>管理的主体责任</w:t>
      </w:r>
    </w:p>
    <w:p w14:paraId="4D2A55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突出党建引领，确保重大决策部署落到实处。各银行保险机构要坚持党对金融工作的集中统一领导，提高贯彻落实党中央决策部署的自觉性、主动性，将党中央、国务院关于经济金融工作各项要求转化为银行保险机构发展战略、内控目标和管理行动。坚定银行业保险业正确发展方向，积极履行社会责任，继续推动小</w:t>
      </w:r>
      <w:proofErr w:type="gramStart"/>
      <w:r>
        <w:rPr>
          <w:rFonts w:ascii="宋体" w:eastAsia="宋体" w:hAnsi="宋体" w:cs="宋体" w:hint="eastAsia"/>
          <w:sz w:val="24"/>
        </w:rPr>
        <w:t>微企业</w:t>
      </w:r>
      <w:proofErr w:type="gramEnd"/>
      <w:r>
        <w:rPr>
          <w:rFonts w:ascii="宋体" w:eastAsia="宋体" w:hAnsi="宋体" w:cs="宋体" w:hint="eastAsia"/>
          <w:sz w:val="24"/>
        </w:rPr>
        <w:t>金融服务增量扩面、提质增效，把更多金融资源配置到乡村振兴的重点领域和薄弱环节，大力创新绿色金融产品和服务，着力提升服务实体经济质效。</w:t>
      </w:r>
    </w:p>
    <w:p w14:paraId="6C151A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（二）突出顶层合</w:t>
      </w:r>
      <w:proofErr w:type="gramStart"/>
      <w:r>
        <w:rPr>
          <w:rFonts w:ascii="宋体" w:eastAsia="宋体" w:hAnsi="宋体" w:cs="宋体" w:hint="eastAsia"/>
          <w:sz w:val="24"/>
        </w:rPr>
        <w:t>规</w:t>
      </w:r>
      <w:proofErr w:type="gramEnd"/>
      <w:r>
        <w:rPr>
          <w:rFonts w:ascii="宋体" w:eastAsia="宋体" w:hAnsi="宋体" w:cs="宋体" w:hint="eastAsia"/>
          <w:sz w:val="24"/>
        </w:rPr>
        <w:t>，强化公司治理主体履职尽职。各银行保险机构要依法规范大股东行为，督促其依法履行义务、规范行使权利，防止越权干预经营管理。提升内控合</w:t>
      </w:r>
      <w:proofErr w:type="gramStart"/>
      <w:r>
        <w:rPr>
          <w:rFonts w:ascii="宋体" w:eastAsia="宋体" w:hAnsi="宋体" w:cs="宋体" w:hint="eastAsia"/>
          <w:sz w:val="24"/>
        </w:rPr>
        <w:t>规</w:t>
      </w:r>
      <w:proofErr w:type="gramEnd"/>
      <w:r>
        <w:rPr>
          <w:rFonts w:ascii="宋体" w:eastAsia="宋体" w:hAnsi="宋体" w:cs="宋体" w:hint="eastAsia"/>
          <w:sz w:val="24"/>
        </w:rPr>
        <w:t>治理层级，“两会一层”要构建与经营范围、组织结构、业务规模、风险状况相适应的内控合</w:t>
      </w:r>
      <w:proofErr w:type="gramStart"/>
      <w:r>
        <w:rPr>
          <w:rFonts w:ascii="宋体" w:eastAsia="宋体" w:hAnsi="宋体" w:cs="宋体" w:hint="eastAsia"/>
          <w:sz w:val="24"/>
        </w:rPr>
        <w:t>规</w:t>
      </w:r>
      <w:proofErr w:type="gramEnd"/>
      <w:r>
        <w:rPr>
          <w:rFonts w:ascii="宋体" w:eastAsia="宋体" w:hAnsi="宋体" w:cs="宋体" w:hint="eastAsia"/>
          <w:sz w:val="24"/>
        </w:rPr>
        <w:t>管理体系，完善动态优化机制，切实提升三道防线的独立性、协同性和有效性。大力倡导“合</w:t>
      </w:r>
      <w:proofErr w:type="gramStart"/>
      <w:r>
        <w:rPr>
          <w:rFonts w:ascii="宋体" w:eastAsia="宋体" w:hAnsi="宋体" w:cs="宋体" w:hint="eastAsia"/>
          <w:sz w:val="24"/>
        </w:rPr>
        <w:t>规</w:t>
      </w:r>
      <w:proofErr w:type="gramEnd"/>
      <w:r>
        <w:rPr>
          <w:rFonts w:ascii="宋体" w:eastAsia="宋体" w:hAnsi="宋体" w:cs="宋体" w:hint="eastAsia"/>
          <w:sz w:val="24"/>
        </w:rPr>
        <w:t>创造价值”的理念，高</w:t>
      </w:r>
      <w:proofErr w:type="gramStart"/>
      <w:r>
        <w:rPr>
          <w:rFonts w:ascii="宋体" w:eastAsia="宋体" w:hAnsi="宋体" w:cs="宋体" w:hint="eastAsia"/>
          <w:sz w:val="24"/>
        </w:rPr>
        <w:t>管带头合规</w:t>
      </w:r>
      <w:proofErr w:type="gramEnd"/>
      <w:r>
        <w:rPr>
          <w:rFonts w:ascii="宋体" w:eastAsia="宋体" w:hAnsi="宋体" w:cs="宋体" w:hint="eastAsia"/>
          <w:sz w:val="24"/>
        </w:rPr>
        <w:t>、率先垂范，促进内控合</w:t>
      </w:r>
      <w:proofErr w:type="gramStart"/>
      <w:r>
        <w:rPr>
          <w:rFonts w:ascii="宋体" w:eastAsia="宋体" w:hAnsi="宋体" w:cs="宋体" w:hint="eastAsia"/>
          <w:sz w:val="24"/>
        </w:rPr>
        <w:t>规</w:t>
      </w:r>
      <w:proofErr w:type="gramEnd"/>
      <w:r>
        <w:rPr>
          <w:rFonts w:ascii="宋体" w:eastAsia="宋体" w:hAnsi="宋体" w:cs="宋体" w:hint="eastAsia"/>
          <w:sz w:val="24"/>
        </w:rPr>
        <w:t>要求内化于心、外化于行，使合</w:t>
      </w:r>
      <w:proofErr w:type="gramStart"/>
      <w:r>
        <w:rPr>
          <w:rFonts w:ascii="宋体" w:eastAsia="宋体" w:hAnsi="宋体" w:cs="宋体" w:hint="eastAsia"/>
          <w:sz w:val="24"/>
        </w:rPr>
        <w:t>规</w:t>
      </w:r>
      <w:proofErr w:type="gramEnd"/>
      <w:r>
        <w:rPr>
          <w:rFonts w:ascii="宋体" w:eastAsia="宋体" w:hAnsi="宋体" w:cs="宋体" w:hint="eastAsia"/>
          <w:sz w:val="24"/>
        </w:rPr>
        <w:t>成为一种习惯和品德。</w:t>
      </w:r>
    </w:p>
    <w:p w14:paraId="00ABEDB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（三）突出问题导向，破解重点领域屡查屡犯顽</w:t>
      </w:r>
      <w:proofErr w:type="gramStart"/>
      <w:r>
        <w:rPr>
          <w:rFonts w:ascii="宋体" w:eastAsia="宋体" w:hAnsi="宋体" w:cs="宋体" w:hint="eastAsia"/>
          <w:sz w:val="24"/>
        </w:rPr>
        <w:t>瘴</w:t>
      </w:r>
      <w:proofErr w:type="gramEnd"/>
      <w:r>
        <w:rPr>
          <w:rFonts w:ascii="宋体" w:eastAsia="宋体" w:hAnsi="宋体" w:cs="宋体" w:hint="eastAsia"/>
          <w:sz w:val="24"/>
        </w:rPr>
        <w:t>痼疾。各银行保险机构要紧紧围绕重大风险防范化解任务，有针对性地加强内控合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管理建设。对股权管理、授信业务、影子银行和交叉金融、互联网业务等乱象频发领域，要深入挖掘业务问题背后的内控合</w:t>
      </w:r>
      <w:proofErr w:type="gramStart"/>
      <w:r>
        <w:rPr>
          <w:rFonts w:ascii="宋体" w:eastAsia="宋体" w:hAnsi="宋体" w:cs="宋体" w:hint="eastAsia"/>
          <w:sz w:val="24"/>
        </w:rPr>
        <w:t>规</w:t>
      </w:r>
      <w:proofErr w:type="gramEnd"/>
      <w:r>
        <w:rPr>
          <w:rFonts w:ascii="宋体" w:eastAsia="宋体" w:hAnsi="宋体" w:cs="宋体" w:hint="eastAsia"/>
          <w:sz w:val="24"/>
        </w:rPr>
        <w:t>缺陷，明确风险控制点、控制要求和应对措施，完善激励机制设计。开展屡查屡犯问题集中整治，认真梳理2017年以来乱象整治监管检查、非现场监管通报和自查发现的问题库，制定识别标准，锁定问题范围，深</w:t>
      </w:r>
      <w:r>
        <w:rPr>
          <w:rFonts w:ascii="宋体" w:eastAsia="宋体" w:hAnsi="宋体" w:cs="宋体" w:hint="eastAsia"/>
          <w:sz w:val="24"/>
        </w:rPr>
        <w:lastRenderedPageBreak/>
        <w:t>入自查自纠，量化压降目标，确保2021年各类屡查屡犯问题发生率显著低于2020年。屡查屡犯问题的整改</w:t>
      </w:r>
      <w:proofErr w:type="gramStart"/>
      <w:r>
        <w:rPr>
          <w:rFonts w:ascii="宋体" w:eastAsia="宋体" w:hAnsi="宋体" w:cs="宋体" w:hint="eastAsia"/>
          <w:sz w:val="24"/>
        </w:rPr>
        <w:t>问责要坚持</w:t>
      </w:r>
      <w:proofErr w:type="gramEnd"/>
      <w:r>
        <w:rPr>
          <w:rFonts w:ascii="宋体" w:eastAsia="宋体" w:hAnsi="宋体" w:cs="宋体" w:hint="eastAsia"/>
          <w:sz w:val="24"/>
        </w:rPr>
        <w:t>更严标准和更高要求，明确整改责任部门、监督部门和验证部门，打造全闭环治理机制；界定直接责任、管理责任和监督责任，</w:t>
      </w:r>
      <w:proofErr w:type="gramStart"/>
      <w:r>
        <w:rPr>
          <w:rFonts w:ascii="宋体" w:eastAsia="宋体" w:hAnsi="宋体" w:cs="宋体" w:hint="eastAsia"/>
          <w:sz w:val="24"/>
        </w:rPr>
        <w:t>提升问</w:t>
      </w:r>
      <w:proofErr w:type="gramEnd"/>
      <w:r>
        <w:rPr>
          <w:rFonts w:ascii="宋体" w:eastAsia="宋体" w:hAnsi="宋体" w:cs="宋体" w:hint="eastAsia"/>
          <w:sz w:val="24"/>
        </w:rPr>
        <w:t>责层级，解决好“问题在基层、根子在总部”和“问下不问上”的问题。</w:t>
      </w:r>
    </w:p>
    <w:p w14:paraId="5ECBE4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（四）突出关键少数，狠抓重要岗位关键人员教育管理。各银行保险机构要紧</w:t>
      </w:r>
      <w:proofErr w:type="gramStart"/>
      <w:r>
        <w:rPr>
          <w:rFonts w:ascii="宋体" w:eastAsia="宋体" w:hAnsi="宋体" w:cs="宋体" w:hint="eastAsia"/>
          <w:sz w:val="24"/>
        </w:rPr>
        <w:t>盯</w:t>
      </w:r>
      <w:proofErr w:type="gramEnd"/>
      <w:r>
        <w:rPr>
          <w:rFonts w:ascii="宋体" w:eastAsia="宋体" w:hAnsi="宋体" w:cs="宋体" w:hint="eastAsia"/>
          <w:sz w:val="24"/>
        </w:rPr>
        <w:t>重要岗位关键人员，严格任职履职要求，规范流程机制，形成有效的制衡和监督。强化重要岗位关键人员约束，落实好重要岗位轮换、强制休假及任职回避等监管要求，执行好绩效薪酬延期支付和追索扣回规定，建立更为严格的异常行为排查机制。对重大违规和重大风险事件建立倒查机制，对失职渎职等行为严肃追责问责。推进清廉文化建设，加强内控、风险、审计、财会、巡视与纪检监察之间的信息共享和贯通合作，严查金融风险背后的腐败问题，对从业人员腐败行为零容忍，管住人、看住钱、筑牢制度的防火墙。</w:t>
      </w:r>
    </w:p>
    <w:p w14:paraId="4F1CB7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（五）突出常态治理，深化内控合</w:t>
      </w:r>
      <w:proofErr w:type="gramStart"/>
      <w:r>
        <w:rPr>
          <w:rFonts w:ascii="宋体" w:eastAsia="宋体" w:hAnsi="宋体" w:cs="宋体" w:hint="eastAsia"/>
          <w:sz w:val="24"/>
        </w:rPr>
        <w:t>规</w:t>
      </w:r>
      <w:proofErr w:type="gramEnd"/>
      <w:r>
        <w:rPr>
          <w:rFonts w:ascii="宋体" w:eastAsia="宋体" w:hAnsi="宋体" w:cs="宋体" w:hint="eastAsia"/>
          <w:sz w:val="24"/>
        </w:rPr>
        <w:t>管常管长机制建设。各银行保险机构要强化管理制度化、制度流程化、流程信息化的内控理念，将合</w:t>
      </w:r>
      <w:proofErr w:type="gramStart"/>
      <w:r>
        <w:rPr>
          <w:rFonts w:ascii="宋体" w:eastAsia="宋体" w:hAnsi="宋体" w:cs="宋体" w:hint="eastAsia"/>
          <w:sz w:val="24"/>
        </w:rPr>
        <w:t>规</w:t>
      </w:r>
      <w:proofErr w:type="gramEnd"/>
      <w:r>
        <w:rPr>
          <w:rFonts w:ascii="宋体" w:eastAsia="宋体" w:hAnsi="宋体" w:cs="宋体" w:hint="eastAsia"/>
          <w:sz w:val="24"/>
        </w:rPr>
        <w:t>要求嵌入各项业务流程中。结合业务特点、风险状况和</w:t>
      </w:r>
      <w:proofErr w:type="gramStart"/>
      <w:r>
        <w:rPr>
          <w:rFonts w:ascii="宋体" w:eastAsia="宋体" w:hAnsi="宋体" w:cs="宋体" w:hint="eastAsia"/>
          <w:sz w:val="24"/>
        </w:rPr>
        <w:t>案防</w:t>
      </w:r>
      <w:proofErr w:type="gramEnd"/>
      <w:r>
        <w:rPr>
          <w:rFonts w:ascii="宋体" w:eastAsia="宋体" w:hAnsi="宋体" w:cs="宋体" w:hint="eastAsia"/>
          <w:sz w:val="24"/>
        </w:rPr>
        <w:t>情况等，开展常态化的内控检查排查和内部控制评价，切实将内控评价监督作为提升风险管理和内控有效性的重要抓手，做到防患于未然。要配备充足的、具备履行职责所需知识、技能和经验的内控合</w:t>
      </w:r>
      <w:proofErr w:type="gramStart"/>
      <w:r>
        <w:rPr>
          <w:rFonts w:ascii="宋体" w:eastAsia="宋体" w:hAnsi="宋体" w:cs="宋体" w:hint="eastAsia"/>
          <w:sz w:val="24"/>
        </w:rPr>
        <w:t>规</w:t>
      </w:r>
      <w:proofErr w:type="gramEnd"/>
      <w:r>
        <w:rPr>
          <w:rFonts w:ascii="宋体" w:eastAsia="宋体" w:hAnsi="宋体" w:cs="宋体" w:hint="eastAsia"/>
          <w:sz w:val="24"/>
        </w:rPr>
        <w:t>管理人员。突出绩效考核中内控合</w:t>
      </w:r>
      <w:proofErr w:type="gramStart"/>
      <w:r>
        <w:rPr>
          <w:rFonts w:ascii="宋体" w:eastAsia="宋体" w:hAnsi="宋体" w:cs="宋体" w:hint="eastAsia"/>
          <w:sz w:val="24"/>
        </w:rPr>
        <w:t>规</w:t>
      </w:r>
      <w:proofErr w:type="gramEnd"/>
      <w:r>
        <w:rPr>
          <w:rFonts w:ascii="宋体" w:eastAsia="宋体" w:hAnsi="宋体" w:cs="宋体" w:hint="eastAsia"/>
          <w:sz w:val="24"/>
        </w:rPr>
        <w:t>因素的比重和正向激励，杜绝业绩考核过于激进导致合</w:t>
      </w:r>
      <w:proofErr w:type="gramStart"/>
      <w:r>
        <w:rPr>
          <w:rFonts w:ascii="宋体" w:eastAsia="宋体" w:hAnsi="宋体" w:cs="宋体" w:hint="eastAsia"/>
          <w:sz w:val="24"/>
        </w:rPr>
        <w:t>规</w:t>
      </w:r>
      <w:proofErr w:type="gramEnd"/>
      <w:r>
        <w:rPr>
          <w:rFonts w:ascii="宋体" w:eastAsia="宋体" w:hAnsi="宋体" w:cs="宋体" w:hint="eastAsia"/>
          <w:sz w:val="24"/>
        </w:rPr>
        <w:t>风险隐患。深化内控合</w:t>
      </w:r>
      <w:proofErr w:type="gramStart"/>
      <w:r>
        <w:rPr>
          <w:rFonts w:ascii="宋体" w:eastAsia="宋体" w:hAnsi="宋体" w:cs="宋体" w:hint="eastAsia"/>
          <w:sz w:val="24"/>
        </w:rPr>
        <w:t>规</w:t>
      </w:r>
      <w:proofErr w:type="gramEnd"/>
      <w:r>
        <w:rPr>
          <w:rFonts w:ascii="宋体" w:eastAsia="宋体" w:hAnsi="宋体" w:cs="宋体" w:hint="eastAsia"/>
          <w:sz w:val="24"/>
        </w:rPr>
        <w:t>文化建设，开展多样化的合</w:t>
      </w:r>
      <w:proofErr w:type="gramStart"/>
      <w:r>
        <w:rPr>
          <w:rFonts w:ascii="宋体" w:eastAsia="宋体" w:hAnsi="宋体" w:cs="宋体" w:hint="eastAsia"/>
          <w:sz w:val="24"/>
        </w:rPr>
        <w:t>规</w:t>
      </w:r>
      <w:proofErr w:type="gramEnd"/>
      <w:r>
        <w:rPr>
          <w:rFonts w:ascii="宋体" w:eastAsia="宋体" w:hAnsi="宋体" w:cs="宋体" w:hint="eastAsia"/>
          <w:sz w:val="24"/>
        </w:rPr>
        <w:t>教育宣导，加强案件警示教育，提升规矩意识和风险意识，夯实银行保险机构稳健合</w:t>
      </w:r>
      <w:proofErr w:type="gramStart"/>
      <w:r>
        <w:rPr>
          <w:rFonts w:ascii="宋体" w:eastAsia="宋体" w:hAnsi="宋体" w:cs="宋体" w:hint="eastAsia"/>
          <w:sz w:val="24"/>
        </w:rPr>
        <w:t>规</w:t>
      </w:r>
      <w:proofErr w:type="gramEnd"/>
      <w:r>
        <w:rPr>
          <w:rFonts w:ascii="宋体" w:eastAsia="宋体" w:hAnsi="宋体" w:cs="宋体" w:hint="eastAsia"/>
          <w:sz w:val="24"/>
        </w:rPr>
        <w:t>经营的根基。</w:t>
      </w:r>
    </w:p>
    <w:p w14:paraId="1BC1E6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、切实加强对内控合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管理建设的指导监督</w:t>
      </w:r>
    </w:p>
    <w:p w14:paraId="78BADE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（一）指导推进内控合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管理建设。各级监管部门要督促银行保险机构从发展战略和核心文化高度认识强内控、促合</w:t>
      </w:r>
      <w:proofErr w:type="gramStart"/>
      <w:r>
        <w:rPr>
          <w:rFonts w:ascii="宋体" w:eastAsia="宋体" w:hAnsi="宋体" w:cs="宋体" w:hint="eastAsia"/>
          <w:sz w:val="24"/>
        </w:rPr>
        <w:t>规</w:t>
      </w:r>
      <w:proofErr w:type="gramEnd"/>
      <w:r>
        <w:rPr>
          <w:rFonts w:ascii="宋体" w:eastAsia="宋体" w:hAnsi="宋体" w:cs="宋体" w:hint="eastAsia"/>
          <w:sz w:val="24"/>
        </w:rPr>
        <w:t>的重大意义。结合日常监管掌握的机构经营情况和风险状况，有针对性地指导机构识别、弥补自身内控管理缺陷，分析问题症结，消除风险隐患。督促机构开展屡查屡犯问题集中整治，重点关注问题识别的准确性、纠正措施的针对性、整改压降的真实性、压降目标的科学性和</w:t>
      </w:r>
      <w:r>
        <w:rPr>
          <w:rFonts w:ascii="宋体" w:eastAsia="宋体" w:hAnsi="宋体" w:cs="宋体" w:hint="eastAsia"/>
          <w:sz w:val="24"/>
        </w:rPr>
        <w:lastRenderedPageBreak/>
        <w:t>完成情况，对同质同类问题屡查屡犯、边查边犯的加大查处力度。</w:t>
      </w:r>
    </w:p>
    <w:p w14:paraId="33E942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w:t>
      </w:r>
      <w:proofErr w:type="gramStart"/>
      <w:r>
        <w:rPr>
          <w:rFonts w:ascii="宋体" w:eastAsia="宋体" w:hAnsi="宋体" w:cs="宋体" w:hint="eastAsia"/>
          <w:sz w:val="24"/>
        </w:rPr>
        <w:t>深入推动乱象</w:t>
      </w:r>
      <w:proofErr w:type="gramEnd"/>
      <w:r>
        <w:rPr>
          <w:rFonts w:ascii="宋体" w:eastAsia="宋体" w:hAnsi="宋体" w:cs="宋体" w:hint="eastAsia"/>
          <w:sz w:val="24"/>
        </w:rPr>
        <w:t>整治发现问题的整改问责。各级监管部门要继续狠抓2017年以来乱象整治监管检查、非现场监管通报和自查发现问题的整改问责，要求机构建立问题台账，明确整改时限和责任部门，规范内部问责标准、程序和要求，确保责任落实到人。重点关注整改浮于表面、内部问责偏松偏软、简单以经济处罚代替纪律处分等问题，督促机构深挖内控合</w:t>
      </w:r>
      <w:proofErr w:type="gramStart"/>
      <w:r>
        <w:rPr>
          <w:rFonts w:ascii="宋体" w:eastAsia="宋体" w:hAnsi="宋体" w:cs="宋体" w:hint="eastAsia"/>
          <w:sz w:val="24"/>
        </w:rPr>
        <w:t>规</w:t>
      </w:r>
      <w:proofErr w:type="gramEnd"/>
      <w:r>
        <w:rPr>
          <w:rFonts w:ascii="宋体" w:eastAsia="宋体" w:hAnsi="宋体" w:cs="宋体" w:hint="eastAsia"/>
          <w:sz w:val="24"/>
        </w:rPr>
        <w:t>根源，加强对整改情况的评价，严肃</w:t>
      </w:r>
      <w:proofErr w:type="gramStart"/>
      <w:r>
        <w:rPr>
          <w:rFonts w:ascii="宋体" w:eastAsia="宋体" w:hAnsi="宋体" w:cs="宋体" w:hint="eastAsia"/>
          <w:sz w:val="24"/>
        </w:rPr>
        <w:t>各项问</w:t>
      </w:r>
      <w:proofErr w:type="gramEnd"/>
      <w:r>
        <w:rPr>
          <w:rFonts w:ascii="宋体" w:eastAsia="宋体" w:hAnsi="宋体" w:cs="宋体" w:hint="eastAsia"/>
          <w:sz w:val="24"/>
        </w:rPr>
        <w:t>责要求，推动整改问责落到实处。</w:t>
      </w:r>
    </w:p>
    <w:p w14:paraId="169D9C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（三）注重与日常监管工作统筹衔接。各级监管部门要对照工作要点，把内控合</w:t>
      </w:r>
      <w:proofErr w:type="gramStart"/>
      <w:r>
        <w:rPr>
          <w:rFonts w:ascii="宋体" w:eastAsia="宋体" w:hAnsi="宋体" w:cs="宋体" w:hint="eastAsia"/>
          <w:sz w:val="24"/>
        </w:rPr>
        <w:t>规</w:t>
      </w:r>
      <w:proofErr w:type="gramEnd"/>
      <w:r>
        <w:rPr>
          <w:rFonts w:ascii="宋体" w:eastAsia="宋体" w:hAnsi="宋体" w:cs="宋体" w:hint="eastAsia"/>
          <w:sz w:val="24"/>
        </w:rPr>
        <w:t>管理充分性和有效性融入2021年各现场检查项目和专项整治中，深入揭示内控管理存在的问题。与近期已开展的相关工作相结合，在日常监管工作中重点关注机构发现问题、揭示风险的能力和落实整改、强化问责的力度，透过违规和风险表象看内控薄弱本质，透过分支机构违规看法人治理缺失，透过业务发展异化看战略目标管理错位，将内控合</w:t>
      </w:r>
      <w:proofErr w:type="gramStart"/>
      <w:r>
        <w:rPr>
          <w:rFonts w:ascii="宋体" w:eastAsia="宋体" w:hAnsi="宋体" w:cs="宋体" w:hint="eastAsia"/>
          <w:sz w:val="24"/>
        </w:rPr>
        <w:t>规</w:t>
      </w:r>
      <w:proofErr w:type="gramEnd"/>
      <w:r>
        <w:rPr>
          <w:rFonts w:ascii="宋体" w:eastAsia="宋体" w:hAnsi="宋体" w:cs="宋体" w:hint="eastAsia"/>
          <w:sz w:val="24"/>
        </w:rPr>
        <w:t>管理情况作为市场准入、监管评级和公司治理评估等的重要参考因素，推动银行保险机构内控合</w:t>
      </w:r>
      <w:proofErr w:type="gramStart"/>
      <w:r>
        <w:rPr>
          <w:rFonts w:ascii="宋体" w:eastAsia="宋体" w:hAnsi="宋体" w:cs="宋体" w:hint="eastAsia"/>
          <w:sz w:val="24"/>
        </w:rPr>
        <w:t>规</w:t>
      </w:r>
      <w:proofErr w:type="gramEnd"/>
      <w:r>
        <w:rPr>
          <w:rFonts w:ascii="宋体" w:eastAsia="宋体" w:hAnsi="宋体" w:cs="宋体" w:hint="eastAsia"/>
          <w:sz w:val="24"/>
        </w:rPr>
        <w:t>长效机制建设迈上新台阶。</w:t>
      </w:r>
    </w:p>
    <w:p w14:paraId="3777C2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加强与纪检监察部门的联动。各级监管部门要加强与派驻银行保险机构的纪检监察部门、属地纪检监察机关、机构内部纪检部门、上级单位或股东单位纪检监察部门的信息共享、监督贯通和协作惩治。推进监管、监督关注问题整改，强化重大风险和监管处罚追责及高管履职规范，严厉打击风险背后的利益勾连和关系纽带，切实做好金融反腐和处置金融风险的统筹衔接，形成金融监管和纪检监察监督合力，推动清廉金融文化在银行业保险业落地生根。</w:t>
      </w:r>
    </w:p>
    <w:p w14:paraId="086458A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、深入开展内控合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管理建设的教育宣导</w:t>
      </w:r>
    </w:p>
    <w:p w14:paraId="0CA925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（一）强化教育培训。各银行保险机构要把加强从业人员思想道德、职业操守和党纪国法教育作为促进内控合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管理建设的重要内容，加大内部合</w:t>
      </w:r>
      <w:proofErr w:type="gramStart"/>
      <w:r>
        <w:rPr>
          <w:rFonts w:ascii="宋体" w:eastAsia="宋体" w:hAnsi="宋体" w:cs="宋体" w:hint="eastAsia"/>
          <w:sz w:val="24"/>
        </w:rPr>
        <w:t>规</w:t>
      </w:r>
      <w:proofErr w:type="gramEnd"/>
      <w:r>
        <w:rPr>
          <w:rFonts w:ascii="宋体" w:eastAsia="宋体" w:hAnsi="宋体" w:cs="宋体" w:hint="eastAsia"/>
          <w:sz w:val="24"/>
        </w:rPr>
        <w:t>教育培训力度，创新教育形式，用身边人身边事开展警示教育，促进内控合</w:t>
      </w:r>
      <w:proofErr w:type="gramStart"/>
      <w:r>
        <w:rPr>
          <w:rFonts w:ascii="宋体" w:eastAsia="宋体" w:hAnsi="宋体" w:cs="宋体" w:hint="eastAsia"/>
          <w:sz w:val="24"/>
        </w:rPr>
        <w:t>规</w:t>
      </w:r>
      <w:proofErr w:type="gramEnd"/>
      <w:r>
        <w:rPr>
          <w:rFonts w:ascii="宋体" w:eastAsia="宋体" w:hAnsi="宋体" w:cs="宋体" w:hint="eastAsia"/>
          <w:sz w:val="24"/>
        </w:rPr>
        <w:t>要求内化于心、外化于行，切实提升合</w:t>
      </w:r>
      <w:proofErr w:type="gramStart"/>
      <w:r>
        <w:rPr>
          <w:rFonts w:ascii="宋体" w:eastAsia="宋体" w:hAnsi="宋体" w:cs="宋体" w:hint="eastAsia"/>
          <w:sz w:val="24"/>
        </w:rPr>
        <w:t>规</w:t>
      </w:r>
      <w:proofErr w:type="gramEnd"/>
      <w:r>
        <w:rPr>
          <w:rFonts w:ascii="宋体" w:eastAsia="宋体" w:hAnsi="宋体" w:cs="宋体" w:hint="eastAsia"/>
          <w:sz w:val="24"/>
        </w:rPr>
        <w:t>廉洁自律意识。</w:t>
      </w:r>
    </w:p>
    <w:p w14:paraId="5021D9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（二）强化行业自律。各行业自律组织要加强监管政策宣讲，完善自律规范，</w:t>
      </w:r>
      <w:r>
        <w:rPr>
          <w:rFonts w:ascii="宋体" w:eastAsia="宋体" w:hAnsi="宋体" w:cs="宋体" w:hint="eastAsia"/>
          <w:sz w:val="24"/>
        </w:rPr>
        <w:lastRenderedPageBreak/>
        <w:t>就内控合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管理建设发出行业倡议。组织开展内控机制与信息化建设、屡查屡犯整治、员工行为管理和案例示警等专题的经验交流与培训，提升行业整体内控合</w:t>
      </w:r>
      <w:proofErr w:type="gramStart"/>
      <w:r>
        <w:rPr>
          <w:rFonts w:ascii="宋体" w:eastAsia="宋体" w:hAnsi="宋体" w:cs="宋体" w:hint="eastAsia"/>
          <w:sz w:val="24"/>
        </w:rPr>
        <w:t>规</w:t>
      </w:r>
      <w:proofErr w:type="gramEnd"/>
      <w:r>
        <w:rPr>
          <w:rFonts w:ascii="宋体" w:eastAsia="宋体" w:hAnsi="宋体" w:cs="宋体" w:hint="eastAsia"/>
          <w:sz w:val="24"/>
        </w:rPr>
        <w:t>管理水平。逐步建立黑名单制度，做好与监管部门的信息共享，防止行业从业人员“带病流动”。</w:t>
      </w:r>
    </w:p>
    <w:p w14:paraId="3D91D3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（三）强化典型示范。各级监管部门要加强与行业自律组织的联合协作，及时总结推广银行保险机构在内控合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管理建设方面的好经验、好做法，发挥先进典型的引领示范作用。加强重点领域典型问题的警示通报，督促机构以案为戒、以案促改，营造浓厚的合</w:t>
      </w:r>
      <w:proofErr w:type="gramStart"/>
      <w:r>
        <w:rPr>
          <w:rFonts w:ascii="宋体" w:eastAsia="宋体" w:hAnsi="宋体" w:cs="宋体" w:hint="eastAsia"/>
          <w:sz w:val="24"/>
        </w:rPr>
        <w:t>规</w:t>
      </w:r>
      <w:proofErr w:type="gramEnd"/>
      <w:r>
        <w:rPr>
          <w:rFonts w:ascii="宋体" w:eastAsia="宋体" w:hAnsi="宋体" w:cs="宋体" w:hint="eastAsia"/>
          <w:sz w:val="24"/>
        </w:rPr>
        <w:t>文化氛围。</w:t>
      </w:r>
    </w:p>
    <w:p w14:paraId="1E6B72F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、扎实抓好内控合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管理建设活动的组织保障</w:t>
      </w:r>
    </w:p>
    <w:p w14:paraId="1B2596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（一）加强组织领导。各银行保险机构要落实一把手负责制，制定具体工作方案，对照工作要点明确活动的牵头部门和各领域的责任部门，总行（公司）要对各部门和各分支机构工作组织、问题排查及整改问</w:t>
      </w:r>
      <w:proofErr w:type="gramStart"/>
      <w:r>
        <w:rPr>
          <w:rFonts w:ascii="宋体" w:eastAsia="宋体" w:hAnsi="宋体" w:cs="宋体" w:hint="eastAsia"/>
          <w:sz w:val="24"/>
        </w:rPr>
        <w:t>责情况</w:t>
      </w:r>
      <w:proofErr w:type="gramEnd"/>
      <w:r>
        <w:rPr>
          <w:rFonts w:ascii="宋体" w:eastAsia="宋体" w:hAnsi="宋体" w:cs="宋体" w:hint="eastAsia"/>
          <w:sz w:val="24"/>
        </w:rPr>
        <w:t>进行跟踪督促，确保思想认识到位、组织领导到位、检视问题到位、整改落实到位。</w:t>
      </w:r>
      <w:proofErr w:type="gramStart"/>
      <w:r>
        <w:rPr>
          <w:rFonts w:ascii="宋体" w:eastAsia="宋体" w:hAnsi="宋体" w:cs="宋体" w:hint="eastAsia"/>
          <w:sz w:val="24"/>
        </w:rPr>
        <w:t>各银保</w:t>
      </w:r>
      <w:proofErr w:type="gramEnd"/>
      <w:r>
        <w:rPr>
          <w:rFonts w:ascii="宋体" w:eastAsia="宋体" w:hAnsi="宋体" w:cs="宋体" w:hint="eastAsia"/>
          <w:sz w:val="24"/>
        </w:rPr>
        <w:t>监局要把内控合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与推动重大金融风险防范化解紧密结合、与服务实体经济高质量发展紧密结合，严格审阅机构报送的工作方案，对机构活动部署不及时、不到位、消极应付的，要严肃处理，力戒形式主义，确保活动要求落到实处。</w:t>
      </w:r>
    </w:p>
    <w:p w14:paraId="0C0C0F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（二）深化自查自纠。各银行保险机构要对照工作要点开展自查，深入查找内控合</w:t>
      </w:r>
      <w:proofErr w:type="gramStart"/>
      <w:r>
        <w:rPr>
          <w:rFonts w:ascii="宋体" w:eastAsia="宋体" w:hAnsi="宋体" w:cs="宋体" w:hint="eastAsia"/>
          <w:sz w:val="24"/>
        </w:rPr>
        <w:t>规</w:t>
      </w:r>
      <w:proofErr w:type="gramEnd"/>
      <w:r>
        <w:rPr>
          <w:rFonts w:ascii="宋体" w:eastAsia="宋体" w:hAnsi="宋体" w:cs="宋体" w:hint="eastAsia"/>
          <w:sz w:val="24"/>
        </w:rPr>
        <w:t>薄弱环节，建立问题清单制和整改责任制，做到摸清底数、即查即改、防堵漏洞。活动牵头部门要督促落实本行（公司）工作方案，内部审计部门、其他部门或专门工作组要对问题整改情况进行评估验收。各级监管部门对机构自查发现问题不力、整改缓慢、</w:t>
      </w:r>
      <w:proofErr w:type="gramStart"/>
      <w:r>
        <w:rPr>
          <w:rFonts w:ascii="宋体" w:eastAsia="宋体" w:hAnsi="宋体" w:cs="宋体" w:hint="eastAsia"/>
          <w:sz w:val="24"/>
        </w:rPr>
        <w:t>问责不到位</w:t>
      </w:r>
      <w:proofErr w:type="gramEnd"/>
      <w:r>
        <w:rPr>
          <w:rFonts w:ascii="宋体" w:eastAsia="宋体" w:hAnsi="宋体" w:cs="宋体" w:hint="eastAsia"/>
          <w:sz w:val="24"/>
        </w:rPr>
        <w:t>、屡查屡犯问题压降不达标的，要采取重点督促、监管约谈等措施；逾期未整改、弄虚作假的，要依法进行监管问责；对主动自查自纠、整改效果良好且未导致严重后果的，可以依法从轻、减轻或免予处罚。</w:t>
      </w:r>
    </w:p>
    <w:p w14:paraId="45B41C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（三）构筑监管合力。银行机构检查局和非银行机构检查局分别负责统筹推进银行领域和非银行领域“内控合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管理建设年”活动。各机构监管和功能监管部门指导推动本条线、本领域的内控合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管理建设活动，持续完善监管制度，补齐监管短板。机构监管部门要督促本条</w:t>
      </w:r>
      <w:proofErr w:type="gramStart"/>
      <w:r>
        <w:rPr>
          <w:rFonts w:ascii="宋体" w:eastAsia="宋体" w:hAnsi="宋体" w:cs="宋体" w:hint="eastAsia"/>
          <w:sz w:val="24"/>
        </w:rPr>
        <w:t>线机构</w:t>
      </w:r>
      <w:proofErr w:type="gramEnd"/>
      <w:r>
        <w:rPr>
          <w:rFonts w:ascii="宋体" w:eastAsia="宋体" w:hAnsi="宋体" w:cs="宋体" w:hint="eastAsia"/>
          <w:sz w:val="24"/>
        </w:rPr>
        <w:t>切实承担主体责任，落实2017年</w:t>
      </w:r>
      <w:r>
        <w:rPr>
          <w:rFonts w:ascii="宋体" w:eastAsia="宋体" w:hAnsi="宋体" w:cs="宋体" w:hint="eastAsia"/>
          <w:sz w:val="24"/>
        </w:rPr>
        <w:lastRenderedPageBreak/>
        <w:t>以来乱象整治发现问题的整改问责，并将监管检查发现问题的整改落实情况按规定抄送相关检查部门。对屡查屡犯问题整改不力的，要及时移送纪检监察部门。</w:t>
      </w:r>
    </w:p>
    <w:p w14:paraId="29C462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各银行保险机构</w:t>
      </w:r>
      <w:proofErr w:type="gramStart"/>
      <w:r>
        <w:rPr>
          <w:rFonts w:ascii="宋体" w:eastAsia="宋体" w:hAnsi="宋体" w:cs="宋体" w:hint="eastAsia"/>
          <w:sz w:val="24"/>
        </w:rPr>
        <w:t>和各银保</w:t>
      </w:r>
      <w:proofErr w:type="gramEnd"/>
      <w:r>
        <w:rPr>
          <w:rFonts w:ascii="宋体" w:eastAsia="宋体" w:hAnsi="宋体" w:cs="宋体" w:hint="eastAsia"/>
          <w:sz w:val="24"/>
        </w:rPr>
        <w:t>监局按照活动进度安排，做好相关材料报送。保险专业中介机构根据实际情况参照相关内控标准执行。</w:t>
      </w:r>
    </w:p>
    <w:p w14:paraId="6DFC85F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附件：银行业保险业“内控合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管理建设年”活动工作要点</w:t>
      </w:r>
    </w:p>
    <w:p w14:paraId="0BABDB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2021年6月7日</w:t>
      </w:r>
    </w:p>
    <w:p w14:paraId="5B06F8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w:t>
      </w:r>
    </w:p>
    <w:p w14:paraId="357BD0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银行业保险业“内控合</w:t>
      </w:r>
      <w:proofErr w:type="gramStart"/>
      <w:r>
        <w:rPr>
          <w:rFonts w:ascii="宋体" w:eastAsia="宋体" w:hAnsi="宋体" w:cs="宋体" w:hint="eastAsia"/>
          <w:sz w:val="24"/>
        </w:rPr>
        <w:t>规</w:t>
      </w:r>
      <w:proofErr w:type="gramEnd"/>
      <w:r>
        <w:rPr>
          <w:rFonts w:ascii="宋体" w:eastAsia="宋体" w:hAnsi="宋体" w:cs="宋体" w:hint="eastAsia"/>
          <w:sz w:val="24"/>
        </w:rPr>
        <w:t>管理建设年”活动工作要点</w:t>
      </w:r>
    </w:p>
    <w:p w14:paraId="6A0C3CDD"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一</w:t>
      </w:r>
      <w:proofErr w:type="gramEnd"/>
      <w:r>
        <w:rPr>
          <w:rFonts w:ascii="宋体" w:eastAsia="宋体" w:hAnsi="宋体" w:cs="宋体" w:hint="eastAsia"/>
          <w:sz w:val="24"/>
        </w:rPr>
        <w:t> 、健全内控合</w:t>
      </w:r>
      <w:proofErr w:type="gramStart"/>
      <w:r>
        <w:rPr>
          <w:rFonts w:ascii="宋体" w:eastAsia="宋体" w:hAnsi="宋体" w:cs="宋体" w:hint="eastAsia"/>
          <w:sz w:val="24"/>
        </w:rPr>
        <w:t>规</w:t>
      </w:r>
      <w:proofErr w:type="gramEnd"/>
      <w:r>
        <w:rPr>
          <w:rFonts w:ascii="宋体" w:eastAsia="宋体" w:hAnsi="宋体" w:cs="宋体" w:hint="eastAsia"/>
          <w:sz w:val="24"/>
        </w:rPr>
        <w:t>治理架构。依法规范大股东行为，防止大股东越权干预银行保险机构经营管理活动。董事（理事）会负责建立并实施充分有效的内部控制，高级管理</w:t>
      </w:r>
      <w:proofErr w:type="gramStart"/>
      <w:r>
        <w:rPr>
          <w:rFonts w:ascii="宋体" w:eastAsia="宋体" w:hAnsi="宋体" w:cs="宋体" w:hint="eastAsia"/>
          <w:sz w:val="24"/>
        </w:rPr>
        <w:t>层负责</w:t>
      </w:r>
      <w:proofErr w:type="gramEnd"/>
      <w:r>
        <w:rPr>
          <w:rFonts w:ascii="宋体" w:eastAsia="宋体" w:hAnsi="宋体" w:cs="宋体" w:hint="eastAsia"/>
          <w:sz w:val="24"/>
        </w:rPr>
        <w:t>内部控制的日常运行，监事会对董事（理事）会和高级管理</w:t>
      </w:r>
      <w:proofErr w:type="gramStart"/>
      <w:r>
        <w:rPr>
          <w:rFonts w:ascii="宋体" w:eastAsia="宋体" w:hAnsi="宋体" w:cs="宋体" w:hint="eastAsia"/>
          <w:sz w:val="24"/>
        </w:rPr>
        <w:t>层履行</w:t>
      </w:r>
      <w:proofErr w:type="gramEnd"/>
      <w:r>
        <w:rPr>
          <w:rFonts w:ascii="宋体" w:eastAsia="宋体" w:hAnsi="宋体" w:cs="宋体" w:hint="eastAsia"/>
          <w:sz w:val="24"/>
        </w:rPr>
        <w:t>内部控制职责进行监督，构建起分工合理、职责明确、制约有效、报告关系清晰的内控组织体系，优化内控合</w:t>
      </w:r>
      <w:proofErr w:type="gramStart"/>
      <w:r>
        <w:rPr>
          <w:rFonts w:ascii="宋体" w:eastAsia="宋体" w:hAnsi="宋体" w:cs="宋体" w:hint="eastAsia"/>
          <w:sz w:val="24"/>
        </w:rPr>
        <w:t>规</w:t>
      </w:r>
      <w:proofErr w:type="gramEnd"/>
      <w:r>
        <w:rPr>
          <w:rFonts w:ascii="宋体" w:eastAsia="宋体" w:hAnsi="宋体" w:cs="宋体" w:hint="eastAsia"/>
          <w:sz w:val="24"/>
        </w:rPr>
        <w:t>履职环境。业务部门要强化内控合</w:t>
      </w:r>
      <w:proofErr w:type="gramStart"/>
      <w:r>
        <w:rPr>
          <w:rFonts w:ascii="宋体" w:eastAsia="宋体" w:hAnsi="宋体" w:cs="宋体" w:hint="eastAsia"/>
          <w:sz w:val="24"/>
        </w:rPr>
        <w:t>规</w:t>
      </w:r>
      <w:proofErr w:type="gramEnd"/>
      <w:r>
        <w:rPr>
          <w:rFonts w:ascii="宋体" w:eastAsia="宋体" w:hAnsi="宋体" w:cs="宋体" w:hint="eastAsia"/>
          <w:sz w:val="24"/>
        </w:rPr>
        <w:t>的直接责任，推动业务流程和管理的重检与规范；内控管理职能部门要牵头做好内控体系的统筹规划、组织落实和检查评估；内部审计部门要夯实内控监督职责，开展内控充分性和有效性审计并监督整改。要配备充足的、具备履行职责所需专业知识、技能和经验的内控合</w:t>
      </w:r>
      <w:proofErr w:type="gramStart"/>
      <w:r>
        <w:rPr>
          <w:rFonts w:ascii="宋体" w:eastAsia="宋体" w:hAnsi="宋体" w:cs="宋体" w:hint="eastAsia"/>
          <w:sz w:val="24"/>
        </w:rPr>
        <w:t>规</w:t>
      </w:r>
      <w:proofErr w:type="gramEnd"/>
      <w:r>
        <w:rPr>
          <w:rFonts w:ascii="宋体" w:eastAsia="宋体" w:hAnsi="宋体" w:cs="宋体" w:hint="eastAsia"/>
          <w:sz w:val="24"/>
        </w:rPr>
        <w:t>管理人员，总行（公司）和分支机构层面均应设立内控合</w:t>
      </w:r>
      <w:proofErr w:type="gramStart"/>
      <w:r>
        <w:rPr>
          <w:rFonts w:ascii="宋体" w:eastAsia="宋体" w:hAnsi="宋体" w:cs="宋体" w:hint="eastAsia"/>
          <w:sz w:val="24"/>
        </w:rPr>
        <w:t>规</w:t>
      </w:r>
      <w:proofErr w:type="gramEnd"/>
      <w:r>
        <w:rPr>
          <w:rFonts w:ascii="宋体" w:eastAsia="宋体" w:hAnsi="宋体" w:cs="宋体" w:hint="eastAsia"/>
          <w:sz w:val="24"/>
        </w:rPr>
        <w:t>管理职能部门或岗位，切实提升三道防线的独立性、协同性和有效性。</w:t>
      </w:r>
    </w:p>
    <w:p w14:paraId="7287DF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、完善内控合</w:t>
      </w:r>
      <w:proofErr w:type="gramStart"/>
      <w:r>
        <w:rPr>
          <w:rFonts w:ascii="宋体" w:eastAsia="宋体" w:hAnsi="宋体" w:cs="宋体" w:hint="eastAsia"/>
          <w:sz w:val="24"/>
        </w:rPr>
        <w:t>规</w:t>
      </w:r>
      <w:proofErr w:type="gramEnd"/>
      <w:r>
        <w:rPr>
          <w:rFonts w:ascii="宋体" w:eastAsia="宋体" w:hAnsi="宋体" w:cs="宋体" w:hint="eastAsia"/>
          <w:sz w:val="24"/>
        </w:rPr>
        <w:t>的制度流程系统。要开展现有内部制度规定的“立改废”工作，对重</w:t>
      </w:r>
      <w:proofErr w:type="gramStart"/>
      <w:r>
        <w:rPr>
          <w:rFonts w:ascii="宋体" w:eastAsia="宋体" w:hAnsi="宋体" w:cs="宋体" w:hint="eastAsia"/>
          <w:sz w:val="24"/>
        </w:rPr>
        <w:t>要合同</w:t>
      </w:r>
      <w:proofErr w:type="gramEnd"/>
      <w:r>
        <w:rPr>
          <w:rFonts w:ascii="宋体" w:eastAsia="宋体" w:hAnsi="宋体" w:cs="宋体" w:hint="eastAsia"/>
          <w:sz w:val="24"/>
        </w:rPr>
        <w:t>范本进行重检，及时、动态地将监管规定转化为内部规章制度，持续更新完善内部制度体系，确保覆盖所有业务领域和关键管理环节。要把合</w:t>
      </w:r>
      <w:proofErr w:type="gramStart"/>
      <w:r>
        <w:rPr>
          <w:rFonts w:ascii="宋体" w:eastAsia="宋体" w:hAnsi="宋体" w:cs="宋体" w:hint="eastAsia"/>
          <w:sz w:val="24"/>
        </w:rPr>
        <w:t>规</w:t>
      </w:r>
      <w:proofErr w:type="gramEnd"/>
      <w:r>
        <w:rPr>
          <w:rFonts w:ascii="宋体" w:eastAsia="宋体" w:hAnsi="宋体" w:cs="宋体" w:hint="eastAsia"/>
          <w:sz w:val="24"/>
        </w:rPr>
        <w:t>性审核作为制定或修订内部重要制度和合同范本的必经程序。要建立从机构授权到岗位授权的精细化授权体系，明确各级机构、部门、岗位和人员的业务权限，根据业务发展、合</w:t>
      </w:r>
      <w:proofErr w:type="gramStart"/>
      <w:r>
        <w:rPr>
          <w:rFonts w:ascii="宋体" w:eastAsia="宋体" w:hAnsi="宋体" w:cs="宋体" w:hint="eastAsia"/>
          <w:sz w:val="24"/>
        </w:rPr>
        <w:t>规</w:t>
      </w:r>
      <w:proofErr w:type="gramEnd"/>
      <w:r>
        <w:rPr>
          <w:rFonts w:ascii="宋体" w:eastAsia="宋体" w:hAnsi="宋体" w:cs="宋体" w:hint="eastAsia"/>
          <w:sz w:val="24"/>
        </w:rPr>
        <w:t>风险状况等实施差异化授权管理，做实授权管理后评价和动态调整。要强化管理制度化、制度流程化、流程信息化的内控理念，将各项业务制度的合</w:t>
      </w:r>
      <w:proofErr w:type="gramStart"/>
      <w:r>
        <w:rPr>
          <w:rFonts w:ascii="宋体" w:eastAsia="宋体" w:hAnsi="宋体" w:cs="宋体" w:hint="eastAsia"/>
          <w:sz w:val="24"/>
        </w:rPr>
        <w:t>规</w:t>
      </w:r>
      <w:proofErr w:type="gramEnd"/>
      <w:r>
        <w:rPr>
          <w:rFonts w:ascii="宋体" w:eastAsia="宋体" w:hAnsi="宋体" w:cs="宋体" w:hint="eastAsia"/>
          <w:sz w:val="24"/>
        </w:rPr>
        <w:t>管理要求嵌入业务流程中。要积极利用大数据、云计算、人工智能等技术提升内控合</w:t>
      </w:r>
      <w:proofErr w:type="gramStart"/>
      <w:r>
        <w:rPr>
          <w:rFonts w:ascii="宋体" w:eastAsia="宋体" w:hAnsi="宋体" w:cs="宋体" w:hint="eastAsia"/>
          <w:sz w:val="24"/>
        </w:rPr>
        <w:t>规</w:t>
      </w:r>
      <w:proofErr w:type="gramEnd"/>
      <w:r>
        <w:rPr>
          <w:rFonts w:ascii="宋体" w:eastAsia="宋体" w:hAnsi="宋体" w:cs="宋体" w:hint="eastAsia"/>
          <w:sz w:val="24"/>
        </w:rPr>
        <w:t>管理的数字化和智能化水平，强化业务系统关键节点的刚性控</w:t>
      </w:r>
      <w:r>
        <w:rPr>
          <w:rFonts w:ascii="宋体" w:eastAsia="宋体" w:hAnsi="宋体" w:cs="宋体" w:hint="eastAsia"/>
          <w:sz w:val="24"/>
        </w:rPr>
        <w:lastRenderedPageBreak/>
        <w:t>制，减少人为操纵因素，实现实时监测和自动预警，确保各项经营管理决策和执行活动可控制、可追溯、可检查。</w:t>
      </w:r>
    </w:p>
    <w:p w14:paraId="61A081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加强银行保险集团并表管理。要强化顶层设计，指定集团层面并表管理的职能部门，明确并表管理的范围、内容和管理机制。要聚焦主业、压缩层级，坚决退出偏离主责主业领域，清理子公司之间的交叉持股，提高股权投资决策层级，相关管理权限应随企业层级延伸逐渐递减。要建立集团层面的统一风险视图，将集团范围内各类信用风险业务纳入统一授信管理体系，做好关联交易和内部交易管理，重点关注集团内部跨境、跨业、跨机构的风险传染、风险隐匿、延迟暴露和监管套利，持续加强内部防火墙体系建设。内部审计部门要定期对集团并表管理的有效性进行审计。要指导子公司建立健全公司治理和内控合</w:t>
      </w:r>
      <w:proofErr w:type="gramStart"/>
      <w:r>
        <w:rPr>
          <w:rFonts w:ascii="宋体" w:eastAsia="宋体" w:hAnsi="宋体" w:cs="宋体" w:hint="eastAsia"/>
          <w:sz w:val="24"/>
        </w:rPr>
        <w:t>规</w:t>
      </w:r>
      <w:proofErr w:type="gramEnd"/>
      <w:r>
        <w:rPr>
          <w:rFonts w:ascii="宋体" w:eastAsia="宋体" w:hAnsi="宋体" w:cs="宋体" w:hint="eastAsia"/>
          <w:sz w:val="24"/>
        </w:rPr>
        <w:t>体系，规范人员交叉任职，存在潜在利益冲突的岗位不得由一人兼任。要深入推动境外合</w:t>
      </w:r>
      <w:proofErr w:type="gramStart"/>
      <w:r>
        <w:rPr>
          <w:rFonts w:ascii="宋体" w:eastAsia="宋体" w:hAnsi="宋体" w:cs="宋体" w:hint="eastAsia"/>
          <w:sz w:val="24"/>
        </w:rPr>
        <w:t>规</w:t>
      </w:r>
      <w:proofErr w:type="gramEnd"/>
      <w:r>
        <w:rPr>
          <w:rFonts w:ascii="宋体" w:eastAsia="宋体" w:hAnsi="宋体" w:cs="宋体" w:hint="eastAsia"/>
          <w:sz w:val="24"/>
        </w:rPr>
        <w:t>长效机制建设，统筹推进境内外反洗钱合</w:t>
      </w:r>
      <w:proofErr w:type="gramStart"/>
      <w:r>
        <w:rPr>
          <w:rFonts w:ascii="宋体" w:eastAsia="宋体" w:hAnsi="宋体" w:cs="宋体" w:hint="eastAsia"/>
          <w:sz w:val="24"/>
        </w:rPr>
        <w:t>规</w:t>
      </w:r>
      <w:proofErr w:type="gramEnd"/>
      <w:r>
        <w:rPr>
          <w:rFonts w:ascii="宋体" w:eastAsia="宋体" w:hAnsi="宋体" w:cs="宋体" w:hint="eastAsia"/>
          <w:sz w:val="24"/>
        </w:rPr>
        <w:t>工作。</w:t>
      </w:r>
    </w:p>
    <w:p w14:paraId="6597CB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、紧盯重点风险领域的内控合</w:t>
      </w:r>
      <w:proofErr w:type="gramStart"/>
      <w:r>
        <w:rPr>
          <w:rFonts w:ascii="宋体" w:eastAsia="宋体" w:hAnsi="宋体" w:cs="宋体" w:hint="eastAsia"/>
          <w:sz w:val="24"/>
        </w:rPr>
        <w:t>规</w:t>
      </w:r>
      <w:proofErr w:type="gramEnd"/>
      <w:r>
        <w:rPr>
          <w:rFonts w:ascii="宋体" w:eastAsia="宋体" w:hAnsi="宋体" w:cs="宋体" w:hint="eastAsia"/>
          <w:sz w:val="24"/>
        </w:rPr>
        <w:t>建设。要加强风险</w:t>
      </w:r>
      <w:proofErr w:type="gramStart"/>
      <w:r>
        <w:rPr>
          <w:rFonts w:ascii="宋体" w:eastAsia="宋体" w:hAnsi="宋体" w:cs="宋体" w:hint="eastAsia"/>
          <w:sz w:val="24"/>
        </w:rPr>
        <w:t>研</w:t>
      </w:r>
      <w:proofErr w:type="gramEnd"/>
      <w:r>
        <w:rPr>
          <w:rFonts w:ascii="宋体" w:eastAsia="宋体" w:hAnsi="宋体" w:cs="宋体" w:hint="eastAsia"/>
          <w:sz w:val="24"/>
        </w:rPr>
        <w:t>判，明确重要业务的风险控制点、控制要求和应对措施，完善激励机制设计。股东股权领域，要加强股东穿透管理和关联交易管理，防止大股东操纵掏空机构和违规利益输送。授信业务领域，要加强统一授信管理和贷款“三查”力度，夯实资产质量，严防违规新增地方政府隐性债务和资金违规流入股市、房地产等领域，警惕信用债违约风险。要加大理财存量资产处置力度，平滑处置进度，加强理财新产品合</w:t>
      </w:r>
      <w:proofErr w:type="gramStart"/>
      <w:r>
        <w:rPr>
          <w:rFonts w:ascii="宋体" w:eastAsia="宋体" w:hAnsi="宋体" w:cs="宋体" w:hint="eastAsia"/>
          <w:sz w:val="24"/>
        </w:rPr>
        <w:t>规</w:t>
      </w:r>
      <w:proofErr w:type="gramEnd"/>
      <w:r>
        <w:rPr>
          <w:rFonts w:ascii="宋体" w:eastAsia="宋体" w:hAnsi="宋体" w:cs="宋体" w:hint="eastAsia"/>
          <w:sz w:val="24"/>
        </w:rPr>
        <w:t>审批和授权管理，落实信托业同业通道业务和融资类业务压降任务，加大非标资金池信托清理力度，坚决清理规避信贷业务监管的“名实不符”金融产品，严防高风险影子银行的新形式新变种；对于债券承销业务要落实主承销商职责，提高尽职调查和信息披露工作质量，加强债券存续期风险管理。保险领域，要防范保险产品激进定价导致的利差损风险；加强承保理赔关键环节管控，防范化解保险欺诈风险；规范融资性信用保证保险业务操作流程，严防金融风险交叉传导；坚持安全审慎稳健原则，规范投资行为，防范资金运用风险；加强数据治理，确保业务财务数据真实、准确、完整。创新业务领域，要落实对新业务、新产品的合</w:t>
      </w:r>
      <w:proofErr w:type="gramStart"/>
      <w:r>
        <w:rPr>
          <w:rFonts w:ascii="宋体" w:eastAsia="宋体" w:hAnsi="宋体" w:cs="宋体" w:hint="eastAsia"/>
          <w:sz w:val="24"/>
        </w:rPr>
        <w:t>规</w:t>
      </w:r>
      <w:proofErr w:type="gramEnd"/>
      <w:r>
        <w:rPr>
          <w:rFonts w:ascii="宋体" w:eastAsia="宋体" w:hAnsi="宋体" w:cs="宋体" w:hint="eastAsia"/>
          <w:sz w:val="24"/>
        </w:rPr>
        <w:t>性审查，</w:t>
      </w:r>
      <w:proofErr w:type="gramStart"/>
      <w:r>
        <w:rPr>
          <w:rFonts w:ascii="宋体" w:eastAsia="宋体" w:hAnsi="宋体" w:cs="宋体" w:hint="eastAsia"/>
          <w:sz w:val="24"/>
        </w:rPr>
        <w:t>明确控制</w:t>
      </w:r>
      <w:proofErr w:type="gramEnd"/>
      <w:r>
        <w:rPr>
          <w:rFonts w:ascii="宋体" w:eastAsia="宋体" w:hAnsi="宋体" w:cs="宋体" w:hint="eastAsia"/>
          <w:sz w:val="24"/>
        </w:rPr>
        <w:t>要求和风险应对措施；规范开展互联网贷款业务，与互联网等第三方平台合作要审慎选择交易对手，严格落实合</w:t>
      </w:r>
      <w:proofErr w:type="gramStart"/>
      <w:r>
        <w:rPr>
          <w:rFonts w:ascii="宋体" w:eastAsia="宋体" w:hAnsi="宋体" w:cs="宋体" w:hint="eastAsia"/>
          <w:sz w:val="24"/>
        </w:rPr>
        <w:t>规</w:t>
      </w:r>
      <w:proofErr w:type="gramEnd"/>
      <w:r>
        <w:rPr>
          <w:rFonts w:ascii="宋体" w:eastAsia="宋体" w:hAnsi="宋体" w:cs="宋体" w:hint="eastAsia"/>
          <w:sz w:val="24"/>
        </w:rPr>
        <w:t>要求。</w:t>
      </w:r>
    </w:p>
    <w:p w14:paraId="0B6F8AE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五 、狠抓重要岗位关键人员管理。要严格遵守董事（理事）和高级管理人员任职资格管理监管要求，董事（理事）和高级管理人员要专业、高效地勤勉履职。要指定总行（公司）层面负责重要岗位关键人员管理的职能部门，制定完善相关制度，做好人员岗位轮换的部署统筹，督促各责任部门落实制度要求。要制定在前台经营、业务管理、资源配置、内控管理和风险防范等方面具有重要影响力的岗位名录，实现决策审批与执行、执行与监督检查等不相容岗位的分离，明确重要岗位轮换及强制休假的期限和方式以及任职回避相关要求，不得以强制休假代替岗位轮换。要定期督促检查各级机构重要岗位轮换情况，将执行情况纳入各责任部门内控考核评价中。针对重要岗位关键人员，要建立更为严格的异常行为常态化排查机制，通过远程审计、大数据筛查、反洗钱监测等手段排查隐蔽性强的风险问题，防止引发各类案件。国有银行保险机构要配合纪检监察派驻机构改革，构建内控与风险、审计、财会、巡视、纪检监察等联合监督机制，严查金融风险背后的腐败问题，严防利益输送和道德风险，对从业人员腐败行为零容忍。</w:t>
      </w:r>
    </w:p>
    <w:p w14:paraId="513125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 、细化内部问</w:t>
      </w:r>
      <w:proofErr w:type="gramStart"/>
      <w:r>
        <w:rPr>
          <w:rFonts w:ascii="宋体" w:eastAsia="宋体" w:hAnsi="宋体" w:cs="宋体" w:hint="eastAsia"/>
          <w:sz w:val="24"/>
        </w:rPr>
        <w:t>责标准</w:t>
      </w:r>
      <w:proofErr w:type="gramEnd"/>
      <w:r>
        <w:rPr>
          <w:rFonts w:ascii="宋体" w:eastAsia="宋体" w:hAnsi="宋体" w:cs="宋体" w:hint="eastAsia"/>
          <w:sz w:val="24"/>
        </w:rPr>
        <w:t>与流程体系。要按照教育和惩戒并重、尽职免责和违规追责并举的原则，区别违规行为的性质、情节、影响和损失情况，建立全面系统、科学精准、及时高效的问责体系，规范问责标准、程序和要求，确保责任落实到人。要扎实做好案件、不良资产、内外部检查有关责任人的责任认定和追究工作，严格执行绩效薪酬延期支付和追索扣回规定。要强化高级管理人员约束，根据岗位职责和管理权限，界定直接责任、管理责任和监督责任，</w:t>
      </w:r>
      <w:proofErr w:type="gramStart"/>
      <w:r>
        <w:rPr>
          <w:rFonts w:ascii="宋体" w:eastAsia="宋体" w:hAnsi="宋体" w:cs="宋体" w:hint="eastAsia"/>
          <w:sz w:val="24"/>
        </w:rPr>
        <w:t>提升问</w:t>
      </w:r>
      <w:proofErr w:type="gramEnd"/>
      <w:r>
        <w:rPr>
          <w:rFonts w:ascii="宋体" w:eastAsia="宋体" w:hAnsi="宋体" w:cs="宋体" w:hint="eastAsia"/>
          <w:sz w:val="24"/>
        </w:rPr>
        <w:t>责层级，</w:t>
      </w:r>
      <w:proofErr w:type="gramStart"/>
      <w:r>
        <w:rPr>
          <w:rFonts w:ascii="宋体" w:eastAsia="宋体" w:hAnsi="宋体" w:cs="宋体" w:hint="eastAsia"/>
          <w:sz w:val="24"/>
        </w:rPr>
        <w:t>加大问</w:t>
      </w:r>
      <w:proofErr w:type="gramEnd"/>
      <w:r>
        <w:rPr>
          <w:rFonts w:ascii="宋体" w:eastAsia="宋体" w:hAnsi="宋体" w:cs="宋体" w:hint="eastAsia"/>
          <w:sz w:val="24"/>
        </w:rPr>
        <w:t>责力度，解决好“问下不问上”的问题。对监管部门责令给予纪律处分的，要根据相关法律法规给予警告、记过、记大过、降级、撤职、留用察看和开除等形式处分，不得以诫勉谈话、扣减积分、经济处理或其他方式代替纪律处分。对处于或应当</w:t>
      </w:r>
      <w:proofErr w:type="gramStart"/>
      <w:r>
        <w:rPr>
          <w:rFonts w:ascii="宋体" w:eastAsia="宋体" w:hAnsi="宋体" w:cs="宋体" w:hint="eastAsia"/>
          <w:sz w:val="24"/>
        </w:rPr>
        <w:t>处于问责过程</w:t>
      </w:r>
      <w:proofErr w:type="gramEnd"/>
      <w:r>
        <w:rPr>
          <w:rFonts w:ascii="宋体" w:eastAsia="宋体" w:hAnsi="宋体" w:cs="宋体" w:hint="eastAsia"/>
          <w:sz w:val="24"/>
        </w:rPr>
        <w:t>中的责任人员，不得以辞职逃避追责、以劝退代替开除，防止“带病流动”“带病上岗”。对重大违规和重大风险事件要建立倒查机制，聚焦内控管理缺陷和金融风险形成过程中的关键环节，针对存在的失职渎职等行为要严肃追责问责，涉嫌犯罪的，要移送司法机关依法追究刑事责任。</w:t>
      </w:r>
    </w:p>
    <w:p w14:paraId="6586C7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 、推动屡查屡犯顽疾根源性治理。要分别在总行（公司）和分支机构层面开展屡查屡犯问题集中整治，认真梳理2017年以来乱象整治监管检查、非现场监管通报和自查发现问题库，综合考虑政策与战略偏离度、问题发生机构覆盖</w:t>
      </w:r>
      <w:r>
        <w:rPr>
          <w:rFonts w:ascii="宋体" w:eastAsia="宋体" w:hAnsi="宋体" w:cs="宋体" w:hint="eastAsia"/>
          <w:sz w:val="24"/>
        </w:rPr>
        <w:lastRenderedPageBreak/>
        <w:t>面、业务范围、损失情况等因素，制定屡查屡犯问题识别标准，锁定问题范围，据此确定屡查屡犯问题类型和台账。对照本行（公司）屡查屡犯问题类型，深入开展自查自纠，坚持即查即改、立查立改。其中，违反金融支持民营及小</w:t>
      </w:r>
      <w:proofErr w:type="gramStart"/>
      <w:r>
        <w:rPr>
          <w:rFonts w:ascii="宋体" w:eastAsia="宋体" w:hAnsi="宋体" w:cs="宋体" w:hint="eastAsia"/>
          <w:sz w:val="24"/>
        </w:rPr>
        <w:t>微企业</w:t>
      </w:r>
      <w:proofErr w:type="gramEnd"/>
      <w:r>
        <w:rPr>
          <w:rFonts w:ascii="宋体" w:eastAsia="宋体" w:hAnsi="宋体" w:cs="宋体" w:hint="eastAsia"/>
          <w:sz w:val="24"/>
        </w:rPr>
        <w:t>服务政策、房地产金融政策、金融服务乡村振兴政策、疫情金融政策等宏观政策的，或者导致重大监管处罚、重大资产损失、重大声誉风险事件的，应当集中力量优先整改。在深挖屡查屡犯问题根源的基础上，分别确定总行（公司）层面和分支机构层面的整改责任部门，强化总行（公司）部门的条线管理职责，科学量化整改目标，明确整改纪律、整改措施和完成时限，确保2021年各类屡查屡犯问题发生率显著低于2020年。整改</w:t>
      </w:r>
      <w:proofErr w:type="gramStart"/>
      <w:r>
        <w:rPr>
          <w:rFonts w:ascii="宋体" w:eastAsia="宋体" w:hAnsi="宋体" w:cs="宋体" w:hint="eastAsia"/>
          <w:sz w:val="24"/>
        </w:rPr>
        <w:t>问责要坚持</w:t>
      </w:r>
      <w:proofErr w:type="gramEnd"/>
      <w:r>
        <w:rPr>
          <w:rFonts w:ascii="宋体" w:eastAsia="宋体" w:hAnsi="宋体" w:cs="宋体" w:hint="eastAsia"/>
          <w:sz w:val="24"/>
        </w:rPr>
        <w:t>更严标准和更高要求，责任部门要就整改情况进行自评，内控管理职能部门要做好后续跟踪监督，内部审计部门要开展整改验证，打造“揭示问题-落实整改-警示问责-检验成效-完善管理”的全闭环治理机制。</w:t>
      </w:r>
    </w:p>
    <w:p w14:paraId="7E98FF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 、做实内部控制评价监督的动态体系。要指定总行（公司）层面负责对内控体系建设、实施和运行结果进行评价的职能部门，建立并持续完善覆盖总行（公司）各部门、境内外各分支机构和附属机构、覆盖各项业务流程和管理活动的内控评价制度体系，内控评价的内容、结构和侧重点应当与评价对象和岗位职责相匹配。要强化内控评价工作全流程质量控制，丰富现场及非现场评价手段，制定完善并动态更新内控缺陷认定标准与等级，重点关注制度、流程、系统设计缺陷以及多发性执行缺陷，明确各类型内控缺陷的整改责任部门和纠正措施，规范整改验收工作流程。要建立健全内控评价监督结果的信息反馈和报告机制，明确内部报告路径，年度内控评价结果经董事（理事）会审议后按规定报送监管部门。要持续加强内控评价结果的运用，内控评价结果应与被评对象的绩效考评和授权等挂钩，切实将内控评价监督作为提升风险管理和内控有效性的重要抓手，做到防患于未然。</w:t>
      </w:r>
    </w:p>
    <w:p w14:paraId="4E97A7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 、强化消费者权益保护与履行社会责任。要紧</w:t>
      </w:r>
      <w:proofErr w:type="gramStart"/>
      <w:r>
        <w:rPr>
          <w:rFonts w:ascii="宋体" w:eastAsia="宋体" w:hAnsi="宋体" w:cs="宋体" w:hint="eastAsia"/>
          <w:sz w:val="24"/>
        </w:rPr>
        <w:t>盯涉众型</w:t>
      </w:r>
      <w:proofErr w:type="gramEnd"/>
      <w:r>
        <w:rPr>
          <w:rFonts w:ascii="宋体" w:eastAsia="宋体" w:hAnsi="宋体" w:cs="宋体" w:hint="eastAsia"/>
          <w:sz w:val="24"/>
        </w:rPr>
        <w:t>金融产品的设计开发、定价管理、协议制定等环节，加强产品评估及合</w:t>
      </w:r>
      <w:proofErr w:type="gramStart"/>
      <w:r>
        <w:rPr>
          <w:rFonts w:ascii="宋体" w:eastAsia="宋体" w:hAnsi="宋体" w:cs="宋体" w:hint="eastAsia"/>
          <w:sz w:val="24"/>
        </w:rPr>
        <w:t>规</w:t>
      </w:r>
      <w:proofErr w:type="gramEnd"/>
      <w:r>
        <w:rPr>
          <w:rFonts w:ascii="宋体" w:eastAsia="宋体" w:hAnsi="宋体" w:cs="宋体" w:hint="eastAsia"/>
          <w:sz w:val="24"/>
        </w:rPr>
        <w:t>审查，强化关键信息披露，防止以金融创新为名损害消费者合法权益。要严格执行销售适当性与可回溯管理，加强消费者教育，严格区分公募与私募、委托与自营等，防止误导消费者购买与其风险承受能力不相匹配的金融产品，严禁以多人集合等方式变相降低投</w:t>
      </w:r>
      <w:r>
        <w:rPr>
          <w:rFonts w:ascii="宋体" w:eastAsia="宋体" w:hAnsi="宋体" w:cs="宋体" w:hint="eastAsia"/>
          <w:sz w:val="24"/>
        </w:rPr>
        <w:lastRenderedPageBreak/>
        <w:t>资门槛。要加强银行业保险业销售从业人员管理，切实规范从业人员的销售行为。要持续整治不合理和违规收费，对人民群众反映强烈的误导销售、捆绑搭售、霸王条款等违规问题加大治理和问责力度。要改进保险理赔服务，杜绝恶意</w:t>
      </w:r>
      <w:proofErr w:type="gramStart"/>
      <w:r>
        <w:rPr>
          <w:rFonts w:ascii="宋体" w:eastAsia="宋体" w:hAnsi="宋体" w:cs="宋体" w:hint="eastAsia"/>
          <w:sz w:val="24"/>
        </w:rPr>
        <w:t>拖赔惜赔</w:t>
      </w:r>
      <w:proofErr w:type="gramEnd"/>
      <w:r>
        <w:rPr>
          <w:rFonts w:ascii="宋体" w:eastAsia="宋体" w:hAnsi="宋体" w:cs="宋体" w:hint="eastAsia"/>
          <w:sz w:val="24"/>
        </w:rPr>
        <w:t>、无理拒赔。要强化消费者信息安全保护，建立健全客户投诉处理机制，促进争端解决，对投诉量大、风险突出的机构和业务推进投诉溯源整改，</w:t>
      </w:r>
      <w:proofErr w:type="gramStart"/>
      <w:r>
        <w:rPr>
          <w:rFonts w:ascii="宋体" w:eastAsia="宋体" w:hAnsi="宋体" w:cs="宋体" w:hint="eastAsia"/>
          <w:sz w:val="24"/>
        </w:rPr>
        <w:t>将消保</w:t>
      </w:r>
      <w:proofErr w:type="gramEnd"/>
      <w:r>
        <w:rPr>
          <w:rFonts w:ascii="宋体" w:eastAsia="宋体" w:hAnsi="宋体" w:cs="宋体" w:hint="eastAsia"/>
          <w:sz w:val="24"/>
        </w:rPr>
        <w:t>工作从后端投诉处理逐步扩展</w:t>
      </w:r>
      <w:proofErr w:type="gramStart"/>
      <w:r>
        <w:rPr>
          <w:rFonts w:ascii="宋体" w:eastAsia="宋体" w:hAnsi="宋体" w:cs="宋体" w:hint="eastAsia"/>
          <w:sz w:val="24"/>
        </w:rPr>
        <w:t>至经营</w:t>
      </w:r>
      <w:proofErr w:type="gramEnd"/>
      <w:r>
        <w:rPr>
          <w:rFonts w:ascii="宋体" w:eastAsia="宋体" w:hAnsi="宋体" w:cs="宋体" w:hint="eastAsia"/>
          <w:sz w:val="24"/>
        </w:rPr>
        <w:t>全流程。要将落实宏观政策纳入战略发展目标，积极履行社会责任，继续推动小</w:t>
      </w:r>
      <w:proofErr w:type="gramStart"/>
      <w:r>
        <w:rPr>
          <w:rFonts w:ascii="宋体" w:eastAsia="宋体" w:hAnsi="宋体" w:cs="宋体" w:hint="eastAsia"/>
          <w:sz w:val="24"/>
        </w:rPr>
        <w:t>微企业</w:t>
      </w:r>
      <w:proofErr w:type="gramEnd"/>
      <w:r>
        <w:rPr>
          <w:rFonts w:ascii="宋体" w:eastAsia="宋体" w:hAnsi="宋体" w:cs="宋体" w:hint="eastAsia"/>
          <w:sz w:val="24"/>
        </w:rPr>
        <w:t>金融服务增量扩面、提质增效，把更多金融资源配置到乡村振兴的重点领域和薄弱环节，大力创新绿色金融产品和服务，支持经济社会绿色转型发展。</w:t>
      </w:r>
    </w:p>
    <w:p w14:paraId="2B041841"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十 、深化银行业保险业合</w:t>
      </w:r>
      <w:proofErr w:type="gramStart"/>
      <w:r>
        <w:rPr>
          <w:rFonts w:ascii="宋体" w:eastAsia="宋体" w:hAnsi="宋体" w:cs="宋体" w:hint="eastAsia"/>
          <w:sz w:val="24"/>
        </w:rPr>
        <w:t>规</w:t>
      </w:r>
      <w:proofErr w:type="gramEnd"/>
      <w:r>
        <w:rPr>
          <w:rFonts w:ascii="宋体" w:eastAsia="宋体" w:hAnsi="宋体" w:cs="宋体" w:hint="eastAsia"/>
          <w:sz w:val="24"/>
        </w:rPr>
        <w:t>文化建设。要高度重视内控合</w:t>
      </w:r>
      <w:proofErr w:type="gramStart"/>
      <w:r>
        <w:rPr>
          <w:rFonts w:ascii="宋体" w:eastAsia="宋体" w:hAnsi="宋体" w:cs="宋体" w:hint="eastAsia"/>
          <w:sz w:val="24"/>
        </w:rPr>
        <w:t>规</w:t>
      </w:r>
      <w:proofErr w:type="gramEnd"/>
      <w:r>
        <w:rPr>
          <w:rFonts w:ascii="宋体" w:eastAsia="宋体" w:hAnsi="宋体" w:cs="宋体" w:hint="eastAsia"/>
          <w:sz w:val="24"/>
        </w:rPr>
        <w:t>文化建设，制定合</w:t>
      </w:r>
      <w:proofErr w:type="gramStart"/>
      <w:r>
        <w:rPr>
          <w:rFonts w:ascii="宋体" w:eastAsia="宋体" w:hAnsi="宋体" w:cs="宋体" w:hint="eastAsia"/>
          <w:sz w:val="24"/>
        </w:rPr>
        <w:t>规</w:t>
      </w:r>
      <w:proofErr w:type="gramEnd"/>
      <w:r>
        <w:rPr>
          <w:rFonts w:ascii="宋体" w:eastAsia="宋体" w:hAnsi="宋体" w:cs="宋体" w:hint="eastAsia"/>
          <w:sz w:val="24"/>
        </w:rPr>
        <w:t>培训长期规划，开展多样化的合</w:t>
      </w:r>
      <w:proofErr w:type="gramStart"/>
      <w:r>
        <w:rPr>
          <w:rFonts w:ascii="宋体" w:eastAsia="宋体" w:hAnsi="宋体" w:cs="宋体" w:hint="eastAsia"/>
          <w:sz w:val="24"/>
        </w:rPr>
        <w:t>规</w:t>
      </w:r>
      <w:proofErr w:type="gramEnd"/>
      <w:r>
        <w:rPr>
          <w:rFonts w:ascii="宋体" w:eastAsia="宋体" w:hAnsi="宋体" w:cs="宋体" w:hint="eastAsia"/>
          <w:sz w:val="24"/>
        </w:rPr>
        <w:t>教育活动，促进内控合</w:t>
      </w:r>
      <w:proofErr w:type="gramStart"/>
      <w:r>
        <w:rPr>
          <w:rFonts w:ascii="宋体" w:eastAsia="宋体" w:hAnsi="宋体" w:cs="宋体" w:hint="eastAsia"/>
          <w:sz w:val="24"/>
        </w:rPr>
        <w:t>规</w:t>
      </w:r>
      <w:proofErr w:type="gramEnd"/>
      <w:r>
        <w:rPr>
          <w:rFonts w:ascii="宋体" w:eastAsia="宋体" w:hAnsi="宋体" w:cs="宋体" w:hint="eastAsia"/>
          <w:sz w:val="24"/>
        </w:rPr>
        <w:t>要求内化于心、外化于行，确保业务、岗位、职责、人员全覆盖。要加强重点领域案件警示教育,定期</w:t>
      </w:r>
      <w:proofErr w:type="gramStart"/>
      <w:r>
        <w:rPr>
          <w:rFonts w:ascii="宋体" w:eastAsia="宋体" w:hAnsi="宋体" w:cs="宋体" w:hint="eastAsia"/>
          <w:sz w:val="24"/>
        </w:rPr>
        <w:t>梳理问责处罚</w:t>
      </w:r>
      <w:proofErr w:type="gramEnd"/>
      <w:r>
        <w:rPr>
          <w:rFonts w:ascii="宋体" w:eastAsia="宋体" w:hAnsi="宋体" w:cs="宋体" w:hint="eastAsia"/>
          <w:sz w:val="24"/>
        </w:rPr>
        <w:t>情况，开展典型案例全员通报，引导员工引以为戒，增强规矩意识和风险意识。要切实加强员工行为的日常管理，编制员工行为守则，创新构建“线下网格化”“线上智能化”的员工异常行为管理模式，抓早抓小、防微杜渐。要推动建立公开透明的薪酬制度与公平公正的考核制度，突出绩效考核中内控合</w:t>
      </w:r>
      <w:proofErr w:type="gramStart"/>
      <w:r>
        <w:rPr>
          <w:rFonts w:ascii="宋体" w:eastAsia="宋体" w:hAnsi="宋体" w:cs="宋体" w:hint="eastAsia"/>
          <w:sz w:val="24"/>
        </w:rPr>
        <w:t>规</w:t>
      </w:r>
      <w:proofErr w:type="gramEnd"/>
      <w:r>
        <w:rPr>
          <w:rFonts w:ascii="宋体" w:eastAsia="宋体" w:hAnsi="宋体" w:cs="宋体" w:hint="eastAsia"/>
          <w:sz w:val="24"/>
        </w:rPr>
        <w:t>因素的比重和正向激励，切实杜绝业绩考核过于激进导致的合</w:t>
      </w:r>
      <w:proofErr w:type="gramStart"/>
      <w:r>
        <w:rPr>
          <w:rFonts w:ascii="宋体" w:eastAsia="宋体" w:hAnsi="宋体" w:cs="宋体" w:hint="eastAsia"/>
          <w:sz w:val="24"/>
        </w:rPr>
        <w:t>规</w:t>
      </w:r>
      <w:proofErr w:type="gramEnd"/>
      <w:r>
        <w:rPr>
          <w:rFonts w:ascii="宋体" w:eastAsia="宋体" w:hAnsi="宋体" w:cs="宋体" w:hint="eastAsia"/>
          <w:sz w:val="24"/>
        </w:rPr>
        <w:t>隐患，避免单纯追求效益、盲目追求规模的短期行为。对内控合</w:t>
      </w:r>
      <w:proofErr w:type="gramStart"/>
      <w:r>
        <w:rPr>
          <w:rFonts w:ascii="宋体" w:eastAsia="宋体" w:hAnsi="宋体" w:cs="宋体" w:hint="eastAsia"/>
          <w:sz w:val="24"/>
        </w:rPr>
        <w:t>规</w:t>
      </w:r>
      <w:proofErr w:type="gramEnd"/>
      <w:r>
        <w:rPr>
          <w:rFonts w:ascii="宋体" w:eastAsia="宋体" w:hAnsi="宋体" w:cs="宋体" w:hint="eastAsia"/>
          <w:sz w:val="24"/>
        </w:rPr>
        <w:t>管理职能部门的绩效考核不得妨碍其独立履行职责，大力倡导合</w:t>
      </w:r>
      <w:proofErr w:type="gramStart"/>
      <w:r>
        <w:rPr>
          <w:rFonts w:ascii="宋体" w:eastAsia="宋体" w:hAnsi="宋体" w:cs="宋体" w:hint="eastAsia"/>
          <w:sz w:val="24"/>
        </w:rPr>
        <w:t>规</w:t>
      </w:r>
      <w:proofErr w:type="gramEnd"/>
      <w:r>
        <w:rPr>
          <w:rFonts w:ascii="宋体" w:eastAsia="宋体" w:hAnsi="宋体" w:cs="宋体" w:hint="eastAsia"/>
          <w:sz w:val="24"/>
        </w:rPr>
        <w:t>创造价值的理念，打造风清气正的行业生态。</w:t>
      </w:r>
    </w:p>
    <w:p w14:paraId="57234064" w14:textId="77777777" w:rsidR="00F50CD8" w:rsidRDefault="00000000">
      <w:pPr>
        <w:spacing w:afterLines="50" w:after="156" w:line="360" w:lineRule="auto"/>
        <w:ind w:firstLineChars="200" w:firstLine="482"/>
        <w:rPr>
          <w:rFonts w:ascii="宋体" w:eastAsia="宋体" w:hAnsi="宋体" w:cs="宋体" w:hint="eastAsia"/>
          <w:sz w:val="24"/>
        </w:rPr>
      </w:pPr>
      <w:r>
        <w:rPr>
          <w:rFonts w:ascii="宋体" w:eastAsia="宋体" w:hAnsi="宋体" w:cs="宋体" w:hint="eastAsia"/>
          <w:b/>
          <w:bCs/>
          <w:sz w:val="24"/>
        </w:rPr>
        <w:lastRenderedPageBreak/>
        <w:t>125.《中国银保监会关于银行业保险业常态化开展扫黑除恶有关工作的通知》</w:t>
      </w:r>
    </w:p>
    <w:p w14:paraId="7E6A20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发文机构：中国银行保险监督管理委员会(已撤销)</w:t>
      </w:r>
      <w:r>
        <w:rPr>
          <w:rFonts w:ascii="宋体" w:eastAsia="宋体" w:hAnsi="宋体" w:cs="宋体" w:hint="eastAsia"/>
          <w:sz w:val="24"/>
        </w:rPr>
        <w:tab/>
      </w:r>
    </w:p>
    <w:p w14:paraId="48796E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文号：银保监发〔2021〕23号</w:t>
      </w:r>
      <w:r>
        <w:rPr>
          <w:rFonts w:ascii="宋体" w:eastAsia="宋体" w:hAnsi="宋体" w:cs="宋体" w:hint="eastAsia"/>
          <w:sz w:val="24"/>
        </w:rPr>
        <w:tab/>
      </w:r>
    </w:p>
    <w:p w14:paraId="75A1701B"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各银保</w:t>
      </w:r>
      <w:proofErr w:type="gramEnd"/>
      <w:r>
        <w:rPr>
          <w:rFonts w:ascii="宋体" w:eastAsia="宋体" w:hAnsi="宋体" w:cs="宋体" w:hint="eastAsia"/>
          <w:sz w:val="24"/>
        </w:rPr>
        <w:t>监局，各政策性银行、大型银行、股份制银行、外资银行、直销银行、金融资产管理公司、金融资产投资公司、理财公司，各保险集团（控股）公司、保险公司、保险资产管理公司、养老金管理公司、保险专业中介机构：</w:t>
      </w:r>
    </w:p>
    <w:p w14:paraId="4D56BF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为贯彻落实党中央、国务院关于常态</w:t>
      </w:r>
      <w:proofErr w:type="gramStart"/>
      <w:r>
        <w:rPr>
          <w:rFonts w:ascii="宋体" w:eastAsia="宋体" w:hAnsi="宋体" w:cs="宋体" w:hint="eastAsia"/>
          <w:sz w:val="24"/>
        </w:rPr>
        <w:t>化开展</w:t>
      </w:r>
      <w:proofErr w:type="gramEnd"/>
      <w:r>
        <w:rPr>
          <w:rFonts w:ascii="宋体" w:eastAsia="宋体" w:hAnsi="宋体" w:cs="宋体" w:hint="eastAsia"/>
          <w:sz w:val="24"/>
        </w:rPr>
        <w:t>扫黑除恶斗争的安排部署，做好银行业保险业相关工作，现就有关事项通知如下：</w:t>
      </w:r>
    </w:p>
    <w:p w14:paraId="13F32B5B"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一</w:t>
      </w:r>
      <w:proofErr w:type="gramEnd"/>
      <w:r>
        <w:rPr>
          <w:rFonts w:ascii="宋体" w:eastAsia="宋体" w:hAnsi="宋体" w:cs="宋体" w:hint="eastAsia"/>
          <w:sz w:val="24"/>
        </w:rPr>
        <w:t> 、提高政治站位，牢记责任担当，持续推进扫黑除恶</w:t>
      </w:r>
      <w:proofErr w:type="gramStart"/>
      <w:r>
        <w:rPr>
          <w:rFonts w:ascii="宋体" w:eastAsia="宋体" w:hAnsi="宋体" w:cs="宋体" w:hint="eastAsia"/>
          <w:sz w:val="24"/>
        </w:rPr>
        <w:t>长效常治</w:t>
      </w:r>
      <w:proofErr w:type="gramEnd"/>
      <w:r>
        <w:rPr>
          <w:rFonts w:ascii="宋体" w:eastAsia="宋体" w:hAnsi="宋体" w:cs="宋体" w:hint="eastAsia"/>
          <w:sz w:val="24"/>
        </w:rPr>
        <w:t>工作</w:t>
      </w:r>
    </w:p>
    <w:p w14:paraId="72D2EB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各级银行保险监管机构要进一步提高政治站位，增强“四个意识”，坚定“四个自信”，做到“两个维护”，将常态</w:t>
      </w:r>
      <w:proofErr w:type="gramStart"/>
      <w:r>
        <w:rPr>
          <w:rFonts w:ascii="宋体" w:eastAsia="宋体" w:hAnsi="宋体" w:cs="宋体" w:hint="eastAsia"/>
          <w:sz w:val="24"/>
        </w:rPr>
        <w:t>化开展</w:t>
      </w:r>
      <w:proofErr w:type="gramEnd"/>
      <w:r>
        <w:rPr>
          <w:rFonts w:ascii="宋体" w:eastAsia="宋体" w:hAnsi="宋体" w:cs="宋体" w:hint="eastAsia"/>
          <w:sz w:val="24"/>
        </w:rPr>
        <w:t>扫黑除恶斗</w:t>
      </w:r>
      <w:proofErr w:type="gramStart"/>
      <w:r>
        <w:rPr>
          <w:rFonts w:ascii="宋体" w:eastAsia="宋体" w:hAnsi="宋体" w:cs="宋体" w:hint="eastAsia"/>
          <w:sz w:val="24"/>
        </w:rPr>
        <w:t>争作为</w:t>
      </w:r>
      <w:proofErr w:type="gramEnd"/>
      <w:r>
        <w:rPr>
          <w:rFonts w:ascii="宋体" w:eastAsia="宋体" w:hAnsi="宋体" w:cs="宋体" w:hint="eastAsia"/>
          <w:sz w:val="24"/>
        </w:rPr>
        <w:t>当前和今后一项重大政治任务抓紧抓好，列入重要议事日程。要紧紧围绕党中央、国务院关于扫黑除恶的决策部署和</w:t>
      </w:r>
      <w:proofErr w:type="gramStart"/>
      <w:r>
        <w:rPr>
          <w:rFonts w:ascii="宋体" w:eastAsia="宋体" w:hAnsi="宋体" w:cs="宋体" w:hint="eastAsia"/>
          <w:sz w:val="24"/>
        </w:rPr>
        <w:t>长效常治目标</w:t>
      </w:r>
      <w:proofErr w:type="gramEnd"/>
      <w:r>
        <w:rPr>
          <w:rFonts w:ascii="宋体" w:eastAsia="宋体" w:hAnsi="宋体" w:cs="宋体" w:hint="eastAsia"/>
          <w:sz w:val="24"/>
        </w:rPr>
        <w:t>任务，增强工作责任感和使命感，标本兼治，</w:t>
      </w:r>
      <w:proofErr w:type="gramStart"/>
      <w:r>
        <w:rPr>
          <w:rFonts w:ascii="宋体" w:eastAsia="宋体" w:hAnsi="宋体" w:cs="宋体" w:hint="eastAsia"/>
          <w:sz w:val="24"/>
        </w:rPr>
        <w:t>惩防并举</w:t>
      </w:r>
      <w:proofErr w:type="gramEnd"/>
      <w:r>
        <w:rPr>
          <w:rFonts w:ascii="宋体" w:eastAsia="宋体" w:hAnsi="宋体" w:cs="宋体" w:hint="eastAsia"/>
          <w:sz w:val="24"/>
        </w:rPr>
        <w:t>，坚决铲除黑恶势力滋生土壤，营造安全稳定的金融秩序和社会环境，增强人民群众获得感、幸福感、安全感。</w:t>
      </w:r>
    </w:p>
    <w:p w14:paraId="20988C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、强化组织领导，健全工作机制，扎实深入开展工作</w:t>
      </w:r>
    </w:p>
    <w:p w14:paraId="1745CF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根据有关工作要求，银保监会继续保留全国银行业和保险业扫黑除恶专项斗争工作领导小组机制。各级银行保险监管机构、各银行保险机构应保留相应工作机制，继续执行《中国银保监会关于银行业和保险业做好扫黑除恶专项斗争有关工作的通知》（银保监发〔2018〕45号，以下简称45号文）的要求，落实相关工作部署，并进一步强化组织领导，健全工作机制。45号文与本通知要求不一致的以本通知为准。</w:t>
      </w:r>
    </w:p>
    <w:p w14:paraId="6C3603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、深化行业治理，突出整治重点，严防黑恶势力涉足银行保险领域</w:t>
      </w:r>
    </w:p>
    <w:p w14:paraId="6F2C0A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（一）加强信贷管理，严控资金流向。各银行业金融机构要严格落实贷款管理制度，将扫黑除恶相关要求纳入贷款受理、调查及贷后检查环节，对客户资质、</w:t>
      </w:r>
      <w:r>
        <w:rPr>
          <w:rFonts w:ascii="宋体" w:eastAsia="宋体" w:hAnsi="宋体" w:cs="宋体" w:hint="eastAsia"/>
          <w:sz w:val="24"/>
        </w:rPr>
        <w:lastRenderedPageBreak/>
        <w:t>资金流向等进行把控，确保信贷业务合法合</w:t>
      </w:r>
      <w:proofErr w:type="gramStart"/>
      <w:r>
        <w:rPr>
          <w:rFonts w:ascii="宋体" w:eastAsia="宋体" w:hAnsi="宋体" w:cs="宋体" w:hint="eastAsia"/>
          <w:sz w:val="24"/>
        </w:rPr>
        <w:t>规</w:t>
      </w:r>
      <w:proofErr w:type="gramEnd"/>
      <w:r>
        <w:rPr>
          <w:rFonts w:ascii="宋体" w:eastAsia="宋体" w:hAnsi="宋体" w:cs="宋体" w:hint="eastAsia"/>
          <w:sz w:val="24"/>
        </w:rPr>
        <w:t>，严防信贷资金流向涉</w:t>
      </w:r>
      <w:proofErr w:type="gramStart"/>
      <w:r>
        <w:rPr>
          <w:rFonts w:ascii="宋体" w:eastAsia="宋体" w:hAnsi="宋体" w:cs="宋体" w:hint="eastAsia"/>
          <w:sz w:val="24"/>
        </w:rPr>
        <w:t>黑涉恶组织</w:t>
      </w:r>
      <w:proofErr w:type="gramEnd"/>
      <w:r>
        <w:rPr>
          <w:rFonts w:ascii="宋体" w:eastAsia="宋体" w:hAnsi="宋体" w:cs="宋体" w:hint="eastAsia"/>
          <w:sz w:val="24"/>
        </w:rPr>
        <w:t>和个人以及非法高利贷、“套路贷”等非法金融放贷领域。</w:t>
      </w:r>
    </w:p>
    <w:p w14:paraId="07AA62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审慎开展合作，加强第三方管理。各银行业金融机构要规范与第三方的业务合作，不得将授信审查、风险控制等核心业务外包，不得以任何形式为无放贷业务资质的机构提供放贷资金，不得与无放贷业务资质的机构共同出资放贷。要加强合作机构准入退出管理，建立健全合作机构的准入和退出管理机制，明确双方的权责关系。</w:t>
      </w:r>
    </w:p>
    <w:p w14:paraId="2EA234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（三）规范催收行为，保护消费者合法权益。各银行保险机构要加强催收业务管理，合理设定催收考核指标及奖惩机制，建立并完善催收机构准入和退出机制，严禁委托涉</w:t>
      </w:r>
      <w:proofErr w:type="gramStart"/>
      <w:r>
        <w:rPr>
          <w:rFonts w:ascii="宋体" w:eastAsia="宋体" w:hAnsi="宋体" w:cs="宋体" w:hint="eastAsia"/>
          <w:sz w:val="24"/>
        </w:rPr>
        <w:t>黑涉恶机构</w:t>
      </w:r>
      <w:proofErr w:type="gramEnd"/>
      <w:r>
        <w:rPr>
          <w:rFonts w:ascii="宋体" w:eastAsia="宋体" w:hAnsi="宋体" w:cs="宋体" w:hint="eastAsia"/>
          <w:sz w:val="24"/>
        </w:rPr>
        <w:t>和个人催收，发现催收机构采用非法手段催收的，应立即停止合作关系；进一步规范催收行为，严禁使用非法手段催收，切实保障消费者合法权益。</w:t>
      </w:r>
    </w:p>
    <w:p w14:paraId="1FCF9A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防范欺诈风险，打击诈骗活动。各银行保险机构要建立常态化、制度化的防风险反欺诈工作机制，完善重大欺诈风险监测、预警、报告及应急处置工作机制，明确不同层级的应急响应措施，及时发现识别重点业务领域面临的欺诈风险。各保险机构要继续加大保险欺诈线索或证据的摸排和收集，进一步提高数据报送质量，严厉打击有组织的保险诈骗活动，严厉打击职业化第三方及保险公司内部人员非法获取保险客户信息、误导或怂恿保险客户非正常退保、扰乱保险业正常经营秩序、损害消费者合法权益等行为。各级银行保险监管机构、各银行保险机构要持续加强典型案例警示宣传和风险提示，积极开展打击治理电信网络新型违法犯罪、跨境网络赌博违法犯罪的宣传活动，为营造全社会</w:t>
      </w:r>
      <w:proofErr w:type="gramStart"/>
      <w:r>
        <w:rPr>
          <w:rFonts w:ascii="宋体" w:eastAsia="宋体" w:hAnsi="宋体" w:cs="宋体" w:hint="eastAsia"/>
          <w:sz w:val="24"/>
        </w:rPr>
        <w:t>反诈反赌</w:t>
      </w:r>
      <w:proofErr w:type="gramEnd"/>
      <w:r>
        <w:rPr>
          <w:rFonts w:ascii="宋体" w:eastAsia="宋体" w:hAnsi="宋体" w:cs="宋体" w:hint="eastAsia"/>
          <w:sz w:val="24"/>
        </w:rPr>
        <w:t>的浓厚氛围</w:t>
      </w:r>
      <w:proofErr w:type="gramStart"/>
      <w:r>
        <w:rPr>
          <w:rFonts w:ascii="宋体" w:eastAsia="宋体" w:hAnsi="宋体" w:cs="宋体" w:hint="eastAsia"/>
          <w:sz w:val="24"/>
        </w:rPr>
        <w:t>作出</w:t>
      </w:r>
      <w:proofErr w:type="gramEnd"/>
      <w:r>
        <w:rPr>
          <w:rFonts w:ascii="宋体" w:eastAsia="宋体" w:hAnsi="宋体" w:cs="宋体" w:hint="eastAsia"/>
          <w:sz w:val="24"/>
        </w:rPr>
        <w:t>贡献。</w:t>
      </w:r>
    </w:p>
    <w:p w14:paraId="7A7447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（五）完善公司治理，杜绝黑恶势力渗透。各银行保险机构要切实履行主体责任，不断完善组织架构和治理机制，持续提升股东股权管理和公司治理有效性。各级银行保险监管机构要严格市场准入，将涉</w:t>
      </w:r>
      <w:proofErr w:type="gramStart"/>
      <w:r>
        <w:rPr>
          <w:rFonts w:ascii="宋体" w:eastAsia="宋体" w:hAnsi="宋体" w:cs="宋体" w:hint="eastAsia"/>
          <w:sz w:val="24"/>
        </w:rPr>
        <w:t>黑涉恶信息</w:t>
      </w:r>
      <w:proofErr w:type="gramEnd"/>
      <w:r>
        <w:rPr>
          <w:rFonts w:ascii="宋体" w:eastAsia="宋体" w:hAnsi="宋体" w:cs="宋体" w:hint="eastAsia"/>
          <w:sz w:val="24"/>
        </w:rPr>
        <w:t>作为银行保险机构设立、股权变更审批以及董事（理事）、监事、高级管理人员任职资格审批的重要判断依据。坚决杜绝涉</w:t>
      </w:r>
      <w:proofErr w:type="gramStart"/>
      <w:r>
        <w:rPr>
          <w:rFonts w:ascii="宋体" w:eastAsia="宋体" w:hAnsi="宋体" w:cs="宋体" w:hint="eastAsia"/>
          <w:sz w:val="24"/>
        </w:rPr>
        <w:t>黑涉恶人员</w:t>
      </w:r>
      <w:proofErr w:type="gramEnd"/>
      <w:r>
        <w:rPr>
          <w:rFonts w:ascii="宋体" w:eastAsia="宋体" w:hAnsi="宋体" w:cs="宋体" w:hint="eastAsia"/>
          <w:sz w:val="24"/>
        </w:rPr>
        <w:t>和组织参股、控股银行保险机构，坚决杜绝涉</w:t>
      </w:r>
      <w:proofErr w:type="gramStart"/>
      <w:r>
        <w:rPr>
          <w:rFonts w:ascii="宋体" w:eastAsia="宋体" w:hAnsi="宋体" w:cs="宋体" w:hint="eastAsia"/>
          <w:sz w:val="24"/>
        </w:rPr>
        <w:t>黑涉恶人员</w:t>
      </w:r>
      <w:proofErr w:type="gramEnd"/>
      <w:r>
        <w:rPr>
          <w:rFonts w:ascii="宋体" w:eastAsia="宋体" w:hAnsi="宋体" w:cs="宋体" w:hint="eastAsia"/>
          <w:sz w:val="24"/>
        </w:rPr>
        <w:t>担任董事（理事）、监事、高管人员，坚决从源头上遏制黑恶势力向银行</w:t>
      </w:r>
      <w:r>
        <w:rPr>
          <w:rFonts w:ascii="宋体" w:eastAsia="宋体" w:hAnsi="宋体" w:cs="宋体" w:hint="eastAsia"/>
          <w:sz w:val="24"/>
        </w:rPr>
        <w:lastRenderedPageBreak/>
        <w:t>业保险业渗透。</w:t>
      </w:r>
    </w:p>
    <w:p w14:paraId="59E8F7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加强员工管理，抓好源头防控工作。各银行保险机构要持续推进员工行为管控，严格落实《中国银保监会办公厅关于预防银行业保险业从业人员金融违法犯罪的指导意见》（银保监办发〔2020〕18号），进一步完善从业人员金融违法犯罪预防工作机制，重点对员工是否实施或参与非法集资、违规代客理财、内外勾结发放贷款等行为开展排查，对员工涉嫌“黄赌毒”和黑恶势力情况进行排查，对新招</w:t>
      </w:r>
      <w:proofErr w:type="gramStart"/>
      <w:r>
        <w:rPr>
          <w:rFonts w:ascii="宋体" w:eastAsia="宋体" w:hAnsi="宋体" w:cs="宋体" w:hint="eastAsia"/>
          <w:sz w:val="24"/>
        </w:rPr>
        <w:t>录员工</w:t>
      </w:r>
      <w:proofErr w:type="gramEnd"/>
      <w:r>
        <w:rPr>
          <w:rFonts w:ascii="宋体" w:eastAsia="宋体" w:hAnsi="宋体" w:cs="宋体" w:hint="eastAsia"/>
          <w:sz w:val="24"/>
        </w:rPr>
        <w:t>的履历背景进行审查，并要求新招</w:t>
      </w:r>
      <w:proofErr w:type="gramStart"/>
      <w:r>
        <w:rPr>
          <w:rFonts w:ascii="宋体" w:eastAsia="宋体" w:hAnsi="宋体" w:cs="宋体" w:hint="eastAsia"/>
          <w:sz w:val="24"/>
        </w:rPr>
        <w:t>录员工</w:t>
      </w:r>
      <w:proofErr w:type="gramEnd"/>
      <w:r>
        <w:rPr>
          <w:rFonts w:ascii="宋体" w:eastAsia="宋体" w:hAnsi="宋体" w:cs="宋体" w:hint="eastAsia"/>
          <w:sz w:val="24"/>
        </w:rPr>
        <w:t>提供</w:t>
      </w:r>
      <w:proofErr w:type="gramStart"/>
      <w:r>
        <w:rPr>
          <w:rFonts w:ascii="宋体" w:eastAsia="宋体" w:hAnsi="宋体" w:cs="宋体" w:hint="eastAsia"/>
          <w:sz w:val="24"/>
        </w:rPr>
        <w:t>不</w:t>
      </w:r>
      <w:proofErr w:type="gramEnd"/>
      <w:r>
        <w:rPr>
          <w:rFonts w:ascii="宋体" w:eastAsia="宋体" w:hAnsi="宋体" w:cs="宋体" w:hint="eastAsia"/>
          <w:sz w:val="24"/>
        </w:rPr>
        <w:t>涉</w:t>
      </w:r>
      <w:proofErr w:type="gramStart"/>
      <w:r>
        <w:rPr>
          <w:rFonts w:ascii="宋体" w:eastAsia="宋体" w:hAnsi="宋体" w:cs="宋体" w:hint="eastAsia"/>
          <w:sz w:val="24"/>
        </w:rPr>
        <w:t>黑涉恶承诺</w:t>
      </w:r>
      <w:proofErr w:type="gramEnd"/>
      <w:r>
        <w:rPr>
          <w:rFonts w:ascii="宋体" w:eastAsia="宋体" w:hAnsi="宋体" w:cs="宋体" w:hint="eastAsia"/>
          <w:sz w:val="24"/>
        </w:rPr>
        <w:t>,坚决防范和遏制有涉</w:t>
      </w:r>
      <w:proofErr w:type="gramStart"/>
      <w:r>
        <w:rPr>
          <w:rFonts w:ascii="宋体" w:eastAsia="宋体" w:hAnsi="宋体" w:cs="宋体" w:hint="eastAsia"/>
          <w:sz w:val="24"/>
        </w:rPr>
        <w:t>黑涉恶背景</w:t>
      </w:r>
      <w:proofErr w:type="gramEnd"/>
      <w:r>
        <w:rPr>
          <w:rFonts w:ascii="宋体" w:eastAsia="宋体" w:hAnsi="宋体" w:cs="宋体" w:hint="eastAsia"/>
          <w:sz w:val="24"/>
        </w:rPr>
        <w:t>的人员进入银行业保险业。要依法合</w:t>
      </w:r>
      <w:proofErr w:type="gramStart"/>
      <w:r>
        <w:rPr>
          <w:rFonts w:ascii="宋体" w:eastAsia="宋体" w:hAnsi="宋体" w:cs="宋体" w:hint="eastAsia"/>
          <w:sz w:val="24"/>
        </w:rPr>
        <w:t>规</w:t>
      </w:r>
      <w:proofErr w:type="gramEnd"/>
      <w:r>
        <w:rPr>
          <w:rFonts w:ascii="宋体" w:eastAsia="宋体" w:hAnsi="宋体" w:cs="宋体" w:hint="eastAsia"/>
          <w:sz w:val="24"/>
        </w:rPr>
        <w:t>建立从业人员异常行为排查机制，加大对违法违规从业人员的问责和处罚力度,健全内部管理制度，防止他人利用经营场所、销售渠道从事非法集资等非法金融活动。</w:t>
      </w:r>
    </w:p>
    <w:p w14:paraId="597C69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（七）突出重点风险，持续整治市场乱象。各银行保险机构要把打击防范涉</w:t>
      </w:r>
      <w:proofErr w:type="gramStart"/>
      <w:r>
        <w:rPr>
          <w:rFonts w:ascii="宋体" w:eastAsia="宋体" w:hAnsi="宋体" w:cs="宋体" w:hint="eastAsia"/>
          <w:sz w:val="24"/>
        </w:rPr>
        <w:t>黑涉恶犯罪</w:t>
      </w:r>
      <w:proofErr w:type="gramEnd"/>
      <w:r>
        <w:rPr>
          <w:rFonts w:ascii="宋体" w:eastAsia="宋体" w:hAnsi="宋体" w:cs="宋体" w:hint="eastAsia"/>
          <w:sz w:val="24"/>
        </w:rPr>
        <w:t>活动与集中整治金融乱象、化解重大金融风险结合起来。要在前四年整治市场乱象工作的基础上，继续对宏观政策执行、影子银行和交叉金融业务风险、创新业务等重点风险领域开展深入整治，严查风险隐患及违法违规行为。</w:t>
      </w:r>
    </w:p>
    <w:p w14:paraId="14DEF6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（八）落实主体责任，牢固树立合</w:t>
      </w:r>
      <w:proofErr w:type="gramStart"/>
      <w:r>
        <w:rPr>
          <w:rFonts w:ascii="宋体" w:eastAsia="宋体" w:hAnsi="宋体" w:cs="宋体" w:hint="eastAsia"/>
          <w:sz w:val="24"/>
        </w:rPr>
        <w:t>规</w:t>
      </w:r>
      <w:proofErr w:type="gramEnd"/>
      <w:r>
        <w:rPr>
          <w:rFonts w:ascii="宋体" w:eastAsia="宋体" w:hAnsi="宋体" w:cs="宋体" w:hint="eastAsia"/>
          <w:sz w:val="24"/>
        </w:rPr>
        <w:t>文化。各银行保险机构应遵循“合</w:t>
      </w:r>
      <w:proofErr w:type="gramStart"/>
      <w:r>
        <w:rPr>
          <w:rFonts w:ascii="宋体" w:eastAsia="宋体" w:hAnsi="宋体" w:cs="宋体" w:hint="eastAsia"/>
          <w:sz w:val="24"/>
        </w:rPr>
        <w:t>规</w:t>
      </w:r>
      <w:proofErr w:type="gramEnd"/>
      <w:r>
        <w:rPr>
          <w:rFonts w:ascii="宋体" w:eastAsia="宋体" w:hAnsi="宋体" w:cs="宋体" w:hint="eastAsia"/>
          <w:sz w:val="24"/>
        </w:rPr>
        <w:t>为先、风险为本，健康发展”的经营理念，把握好“合</w:t>
      </w:r>
      <w:proofErr w:type="gramStart"/>
      <w:r>
        <w:rPr>
          <w:rFonts w:ascii="宋体" w:eastAsia="宋体" w:hAnsi="宋体" w:cs="宋体" w:hint="eastAsia"/>
          <w:sz w:val="24"/>
        </w:rPr>
        <w:t>规</w:t>
      </w:r>
      <w:proofErr w:type="gramEnd"/>
      <w:r>
        <w:rPr>
          <w:rFonts w:ascii="宋体" w:eastAsia="宋体" w:hAnsi="宋体" w:cs="宋体" w:hint="eastAsia"/>
          <w:sz w:val="24"/>
        </w:rPr>
        <w:t>、风险、发展”的关系，建立科学考核和激励机制，持续开展员工职业道德教育、法制和案例警示教育，切实构建“不能违、不敢违、不愿违”的合</w:t>
      </w:r>
      <w:proofErr w:type="gramStart"/>
      <w:r>
        <w:rPr>
          <w:rFonts w:ascii="宋体" w:eastAsia="宋体" w:hAnsi="宋体" w:cs="宋体" w:hint="eastAsia"/>
          <w:sz w:val="24"/>
        </w:rPr>
        <w:t>规</w:t>
      </w:r>
      <w:proofErr w:type="gramEnd"/>
      <w:r>
        <w:rPr>
          <w:rFonts w:ascii="宋体" w:eastAsia="宋体" w:hAnsi="宋体" w:cs="宋体" w:hint="eastAsia"/>
          <w:sz w:val="24"/>
        </w:rPr>
        <w:t>文化，实现银行业保险业稳健运行。</w:t>
      </w:r>
    </w:p>
    <w:p w14:paraId="4898BC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继续做好非法放贷整治工作，防范打击非法金融活动。各银行业金融机构要积极采取多种措施，严厉打击银行业从业人员参与非法放贷活动，配合相关部门继续做好金融放贷专项整治工作，重点围绕以下四个方面开展排查和整治：违反国家规定，未经银行保险监管机构批准，或者超越银行保险监管机构批准的经营范围，以营利为目的，经常向社会不特定对象发放贷款，扰乱金融秩序的非法放贷行为；违规为非法放贷提供金融服务或便利的行为；违规向客户收取费用、损害客户个人信息合法权利、实施非法催收行为；为具有无场景依托、无指定用途、无客户群体限定等特征的非持牌金融机构发放现金</w:t>
      </w:r>
      <w:proofErr w:type="gramStart"/>
      <w:r>
        <w:rPr>
          <w:rFonts w:ascii="宋体" w:eastAsia="宋体" w:hAnsi="宋体" w:cs="宋体" w:hint="eastAsia"/>
          <w:sz w:val="24"/>
        </w:rPr>
        <w:t>贷活动</w:t>
      </w:r>
      <w:proofErr w:type="gramEnd"/>
      <w:r>
        <w:rPr>
          <w:rFonts w:ascii="宋体" w:eastAsia="宋体" w:hAnsi="宋体" w:cs="宋体" w:hint="eastAsia"/>
          <w:sz w:val="24"/>
        </w:rPr>
        <w:t>提供融资或金融服务的行为。各级银行保险监管机构要按照职责权限配合相关部门做好非法放贷整治工作，并指导辖内银行业金融机构加强风险排查，一旦发现问题，要督促辖内</w:t>
      </w:r>
      <w:r>
        <w:rPr>
          <w:rFonts w:ascii="宋体" w:eastAsia="宋体" w:hAnsi="宋体" w:cs="宋体" w:hint="eastAsia"/>
          <w:sz w:val="24"/>
        </w:rPr>
        <w:lastRenderedPageBreak/>
        <w:t>银行业金融机构立即整改，并建立内部问责机制。</w:t>
      </w:r>
    </w:p>
    <w:p w14:paraId="267511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（十）加强监测预警，有效防范非法集资、“套路贷”及“校园贷”。各银行保险机构要进一步落实监测预警工作职责，积极发挥在大额资金监控和</w:t>
      </w:r>
      <w:proofErr w:type="gramStart"/>
      <w:r>
        <w:rPr>
          <w:rFonts w:ascii="宋体" w:eastAsia="宋体" w:hAnsi="宋体" w:cs="宋体" w:hint="eastAsia"/>
          <w:sz w:val="24"/>
        </w:rPr>
        <w:t>异常资金</w:t>
      </w:r>
      <w:proofErr w:type="gramEnd"/>
      <w:r>
        <w:rPr>
          <w:rFonts w:ascii="宋体" w:eastAsia="宋体" w:hAnsi="宋体" w:cs="宋体" w:hint="eastAsia"/>
          <w:sz w:val="24"/>
        </w:rPr>
        <w:t>账户监测等方面的专业作用，利用大数据等技术手段，加强对高风险企业资金异动的监测预警，持续优化监测模型，不断提升分析、识别、报告能力。遇到可疑情况，要根据有关规定及时上报。</w:t>
      </w:r>
    </w:p>
    <w:p w14:paraId="743316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、加强协同联动，履行社会责任，发挥行业综合治理的合力</w:t>
      </w:r>
    </w:p>
    <w:p w14:paraId="66E776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各级银行保险监管机构、各银行保险机构要积极协助政法机关开展工作，配合做好“打财断血”，全力支持“黑财清底”工作。要按照涉案账户查控的有关规定和要求，充分利用先进技术手段，提升工作效率，持续做好涉案账户信息管理。积极配合政法机关“查询、冻结、扣划”，有效切断涉</w:t>
      </w:r>
      <w:proofErr w:type="gramStart"/>
      <w:r>
        <w:rPr>
          <w:rFonts w:ascii="宋体" w:eastAsia="宋体" w:hAnsi="宋体" w:cs="宋体" w:hint="eastAsia"/>
          <w:sz w:val="24"/>
        </w:rPr>
        <w:t>黑涉恶犯罪</w:t>
      </w:r>
      <w:proofErr w:type="gramEnd"/>
      <w:r>
        <w:rPr>
          <w:rFonts w:ascii="宋体" w:eastAsia="宋体" w:hAnsi="宋体" w:cs="宋体" w:hint="eastAsia"/>
          <w:sz w:val="24"/>
        </w:rPr>
        <w:t>资金流动渠道，为政法机关依法办案和有关部门依法履职提供有力保障。</w:t>
      </w:r>
    </w:p>
    <w:p w14:paraId="58C91D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（二）各级银行保险监管机构、各银行保险机构要继续完善涉</w:t>
      </w:r>
      <w:proofErr w:type="gramStart"/>
      <w:r>
        <w:rPr>
          <w:rFonts w:ascii="宋体" w:eastAsia="宋体" w:hAnsi="宋体" w:cs="宋体" w:hint="eastAsia"/>
          <w:sz w:val="24"/>
        </w:rPr>
        <w:t>黑涉恶</w:t>
      </w:r>
      <w:proofErr w:type="gramEnd"/>
      <w:r>
        <w:rPr>
          <w:rFonts w:ascii="宋体" w:eastAsia="宋体" w:hAnsi="宋体" w:cs="宋体" w:hint="eastAsia"/>
          <w:sz w:val="24"/>
        </w:rPr>
        <w:t>线索摸排核查责任制，以及与政法机关、政府相关部门的案件移送和沟通协调机制。各级银行保险监管机构、各银行保险机构要与当地扫黑办加强沟通协作，提高线索报送质量。各级银行保险监管机构、各银行保险机构要提高对扫黑除恶相关工作的敏感性，在现场检查、日常经营等工作中注意涉</w:t>
      </w:r>
      <w:proofErr w:type="gramStart"/>
      <w:r>
        <w:rPr>
          <w:rFonts w:ascii="宋体" w:eastAsia="宋体" w:hAnsi="宋体" w:cs="宋体" w:hint="eastAsia"/>
          <w:sz w:val="24"/>
        </w:rPr>
        <w:t>黑涉恶</w:t>
      </w:r>
      <w:proofErr w:type="gramEnd"/>
      <w:r>
        <w:rPr>
          <w:rFonts w:ascii="宋体" w:eastAsia="宋体" w:hAnsi="宋体" w:cs="宋体" w:hint="eastAsia"/>
          <w:sz w:val="24"/>
        </w:rPr>
        <w:t>线索的筛查和甄别，并按要求做好线索移送。各级银行保险监管机构应继续按45号文的要求接收及处理涉</w:t>
      </w:r>
      <w:proofErr w:type="gramStart"/>
      <w:r>
        <w:rPr>
          <w:rFonts w:ascii="宋体" w:eastAsia="宋体" w:hAnsi="宋体" w:cs="宋体" w:hint="eastAsia"/>
          <w:sz w:val="24"/>
        </w:rPr>
        <w:t>黑涉恶</w:t>
      </w:r>
      <w:proofErr w:type="gramEnd"/>
      <w:r>
        <w:rPr>
          <w:rFonts w:ascii="宋体" w:eastAsia="宋体" w:hAnsi="宋体" w:cs="宋体" w:hint="eastAsia"/>
          <w:sz w:val="24"/>
        </w:rPr>
        <w:t>的举报线索。</w:t>
      </w:r>
    </w:p>
    <w:p w14:paraId="367A26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各级银行保险监管机构、各银行保险机构要认真落实属地扫黑办相关工作要求，积极配合定期不定期开展的督导工作，对于督导中发现的问题要立即开展整改，并按要求反馈。积极配合监委、法院、检察院、公安等部门常态</w:t>
      </w:r>
      <w:proofErr w:type="gramStart"/>
      <w:r>
        <w:rPr>
          <w:rFonts w:ascii="宋体" w:eastAsia="宋体" w:hAnsi="宋体" w:cs="宋体" w:hint="eastAsia"/>
          <w:sz w:val="24"/>
        </w:rPr>
        <w:t>化开展</w:t>
      </w:r>
      <w:proofErr w:type="gramEnd"/>
      <w:r>
        <w:rPr>
          <w:rFonts w:ascii="宋体" w:eastAsia="宋体" w:hAnsi="宋体" w:cs="宋体" w:hint="eastAsia"/>
          <w:sz w:val="24"/>
        </w:rPr>
        <w:t>扫黑除恶斗争相关工作，充分发挥“三书一函”（即监察建议书、司法建议书、检察建议书、公安提示函）作用，认真组织核查，按时反馈意见，推动</w:t>
      </w:r>
      <w:proofErr w:type="gramStart"/>
      <w:r>
        <w:rPr>
          <w:rFonts w:ascii="宋体" w:eastAsia="宋体" w:hAnsi="宋体" w:cs="宋体" w:hint="eastAsia"/>
          <w:sz w:val="24"/>
        </w:rPr>
        <w:t>以案促治</w:t>
      </w:r>
      <w:proofErr w:type="gramEnd"/>
      <w:r>
        <w:rPr>
          <w:rFonts w:ascii="宋体" w:eastAsia="宋体" w:hAnsi="宋体" w:cs="宋体" w:hint="eastAsia"/>
          <w:sz w:val="24"/>
        </w:rPr>
        <w:t>。</w:t>
      </w:r>
    </w:p>
    <w:p w14:paraId="07200E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、总结工作经验，定期按</w:t>
      </w:r>
      <w:proofErr w:type="gramStart"/>
      <w:r>
        <w:rPr>
          <w:rFonts w:ascii="宋体" w:eastAsia="宋体" w:hAnsi="宋体" w:cs="宋体" w:hint="eastAsia"/>
          <w:sz w:val="24"/>
        </w:rPr>
        <w:t>规</w:t>
      </w:r>
      <w:proofErr w:type="gramEnd"/>
      <w:r>
        <w:rPr>
          <w:rFonts w:ascii="宋体" w:eastAsia="宋体" w:hAnsi="宋体" w:cs="宋体" w:hint="eastAsia"/>
          <w:sz w:val="24"/>
        </w:rPr>
        <w:t>报告，健全信息报送机制</w:t>
      </w:r>
    </w:p>
    <w:p w14:paraId="73D5DFE8"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各银保</w:t>
      </w:r>
      <w:proofErr w:type="gramEnd"/>
      <w:r>
        <w:rPr>
          <w:rFonts w:ascii="宋体" w:eastAsia="宋体" w:hAnsi="宋体" w:cs="宋体" w:hint="eastAsia"/>
          <w:sz w:val="24"/>
        </w:rPr>
        <w:t>监局、</w:t>
      </w:r>
      <w:proofErr w:type="gramStart"/>
      <w:r>
        <w:rPr>
          <w:rFonts w:ascii="宋体" w:eastAsia="宋体" w:hAnsi="宋体" w:cs="宋体" w:hint="eastAsia"/>
          <w:sz w:val="24"/>
        </w:rPr>
        <w:t>会机关</w:t>
      </w:r>
      <w:proofErr w:type="gramEnd"/>
      <w:r>
        <w:rPr>
          <w:rFonts w:ascii="宋体" w:eastAsia="宋体" w:hAnsi="宋体" w:cs="宋体" w:hint="eastAsia"/>
          <w:sz w:val="24"/>
        </w:rPr>
        <w:t>直接监管的银行保险机构应分别于每年6月30日、12月31日前（截止日期为国家法定节假日的，延后至节假日后第一个工作日），</w:t>
      </w:r>
      <w:r>
        <w:rPr>
          <w:rFonts w:ascii="宋体" w:eastAsia="宋体" w:hAnsi="宋体" w:cs="宋体" w:hint="eastAsia"/>
          <w:sz w:val="24"/>
        </w:rPr>
        <w:lastRenderedPageBreak/>
        <w:t>将本单位、本辖区半年（全年）扫黑除恶工作情况、典型案例、涉</w:t>
      </w:r>
      <w:proofErr w:type="gramStart"/>
      <w:r>
        <w:rPr>
          <w:rFonts w:ascii="宋体" w:eastAsia="宋体" w:hAnsi="宋体" w:cs="宋体" w:hint="eastAsia"/>
          <w:sz w:val="24"/>
        </w:rPr>
        <w:t>黑涉恶</w:t>
      </w:r>
      <w:proofErr w:type="gramEnd"/>
      <w:r>
        <w:rPr>
          <w:rFonts w:ascii="宋体" w:eastAsia="宋体" w:hAnsi="宋体" w:cs="宋体" w:hint="eastAsia"/>
          <w:sz w:val="24"/>
        </w:rPr>
        <w:t>线索数量及处理情况、配合属地有关单位督导工作情况、“三书一函”办理等情况书面报告全国银行业和保险业扫黑除恶专项斗争工作领导小组办公室；各地方法人银行保险机构应分别于每年6月15日、12月15日前（截止日期为国家法定节假日的，延后至节假日后第一个工作日），将本单位、本辖区半年（全年）扫黑除恶工作情况、典型案例、涉</w:t>
      </w:r>
      <w:proofErr w:type="gramStart"/>
      <w:r>
        <w:rPr>
          <w:rFonts w:ascii="宋体" w:eastAsia="宋体" w:hAnsi="宋体" w:cs="宋体" w:hint="eastAsia"/>
          <w:sz w:val="24"/>
        </w:rPr>
        <w:t>黑涉恶</w:t>
      </w:r>
      <w:proofErr w:type="gramEnd"/>
      <w:r>
        <w:rPr>
          <w:rFonts w:ascii="宋体" w:eastAsia="宋体" w:hAnsi="宋体" w:cs="宋体" w:hint="eastAsia"/>
          <w:sz w:val="24"/>
        </w:rPr>
        <w:t>线索数量及处理情况、配合属地有关单位督导工作情况、“三书一函”办理等情况书面报告属地银行保险监管机构。遇有重大问题，应当按照上述要求分别及时报告。</w:t>
      </w:r>
    </w:p>
    <w:p w14:paraId="6EFBBA9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 、严格考核评价，加大表彰激励，建立监督考核机制</w:t>
      </w:r>
    </w:p>
    <w:p w14:paraId="4A3248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全国银行业和保险业扫黑除恶专项斗争工作领导小组将适时对有关工作落实情况进行监督检查，根据各级银行保险监管机构、各银行保险机构开展相关工作的情况进行不定期考核评价，并对成绩突出的单位通报表扬；对重视不够、措施不力、在各级督导中被发现问题较多或落实“三书一函”较差的单位予以通报。对在开展相关工作中违法违纪的责任人员，要依法依规严肃追究党纪政纪责任；涉嫌犯罪的，依法移送监委或公安机关。</w:t>
      </w:r>
    </w:p>
    <w:p w14:paraId="060273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 、加强宣传引导，凝聚群众力量，继续做好扫黑除恶宣传工作</w:t>
      </w:r>
    </w:p>
    <w:p w14:paraId="272867E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各级银行保险监管机构、各银行保险机构要坚持以人民为中心的发展思想，以“3.15”教育宣传周活动、6月防范非法集资宣传月、“7.8”保险宣传日等多种形式为依托，开展反有组织犯罪宣传教育工作，提高公众反有组织犯罪意识。积极主动做好扫黑除恶宣传及金融知识普及工作，及时揭示非法金融活动新苗头、新动向，切实提高金融消费者和广大人民群众对有组织犯罪、“套路贷”、“校园贷”、非法集资、电信网络诈骗、跨境网络赌博等违法犯罪行为的辨别能力和防范意识。</w:t>
      </w:r>
    </w:p>
    <w:p w14:paraId="542715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中国银保监会</w:t>
      </w:r>
    </w:p>
    <w:p w14:paraId="7A72E676"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2021年7月5日</w:t>
      </w:r>
    </w:p>
    <w:p w14:paraId="25004311"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126.《非银行支付机构重大事项报告管理办法》</w:t>
      </w:r>
      <w:r>
        <w:rPr>
          <w:rFonts w:ascii="宋体" w:eastAsia="宋体" w:hAnsi="宋体" w:cs="宋体" w:hint="eastAsia"/>
          <w:b/>
          <w:bCs/>
          <w:sz w:val="24"/>
        </w:rPr>
        <w:tab/>
      </w:r>
    </w:p>
    <w:p w14:paraId="1619A2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发文机构：中国人民银行</w:t>
      </w:r>
      <w:r>
        <w:rPr>
          <w:rFonts w:ascii="宋体" w:eastAsia="宋体" w:hAnsi="宋体" w:cs="宋体" w:hint="eastAsia"/>
          <w:sz w:val="24"/>
        </w:rPr>
        <w:tab/>
        <w:t xml:space="preserve">   文号：银发〔2021〕198号</w:t>
      </w:r>
    </w:p>
    <w:p w14:paraId="708CC1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62D9F7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进一步规范非银行支付机构（以下简称支付机构）重大事项报告行为，提高支付市场风险甄别、防范和化解能力，维护支付市场稳定，根据《中华人民共和国中国人民银行法》《非金融机构支付服务管理办法》（中国人民银行令〔2010〕第2号发布）等法律法规规章，制定本办法。</w:t>
      </w:r>
    </w:p>
    <w:p w14:paraId="5EE806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支付机构报告重大事项适用本办法。</w:t>
      </w:r>
    </w:p>
    <w:p w14:paraId="0642566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重大事项是指根据法律法规和中国人民银行的规定应当事前报告的重大经营事项，以及可能对支付机构（含分公司）自身经营状况、金融消费者权益、金融和社会稳定造成重大影响应当事后报告的事项。</w:t>
      </w:r>
    </w:p>
    <w:p w14:paraId="39FA58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本办法所称重大事项不包含行政许可事项和依据相关规定应当向中国人民银行或其分支机构定期或者不定期报送的报告和报表等常规信息。</w:t>
      </w:r>
    </w:p>
    <w:p w14:paraId="5414D81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支付机构报告重大事项应当一事一报，做到及时、真实、准确、完整，不得迟报、漏报、瞒报、谎报、错报，不得有误导性陈述或者重大遗漏。</w:t>
      </w:r>
    </w:p>
    <w:p w14:paraId="3EB2B0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支付机构应当与所在地中国人民银行分支机构保持沟通，积极配合中国人民银行及其分支机构做好风险监测、防范和化解。</w:t>
      </w:r>
    </w:p>
    <w:p w14:paraId="6837E5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支付机构法人所在地中国人民银行分支机构为支付机构重大事项报告的主要监管责任人。</w:t>
      </w:r>
    </w:p>
    <w:p w14:paraId="4360CA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支付机构分公司发生应当报告的重大事项，支付机构分公司所在地中国人民银行分支机构应当按照属地原则承担监督管理职责，并与支付机构法人所在地中国人民银行分支机构实现信息共享。</w:t>
      </w:r>
    </w:p>
    <w:p w14:paraId="733F4C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中国人民银行分支机构应当与辖区内支付机构（含分公司）建立重大事项报告工作机制，</w:t>
      </w:r>
      <w:proofErr w:type="gramStart"/>
      <w:r>
        <w:rPr>
          <w:rFonts w:ascii="宋体" w:eastAsia="宋体" w:hAnsi="宋体" w:cs="宋体" w:hint="eastAsia"/>
          <w:sz w:val="24"/>
        </w:rPr>
        <w:t>明确报告</w:t>
      </w:r>
      <w:proofErr w:type="gramEnd"/>
      <w:r>
        <w:rPr>
          <w:rFonts w:ascii="宋体" w:eastAsia="宋体" w:hAnsi="宋体" w:cs="宋体" w:hint="eastAsia"/>
          <w:sz w:val="24"/>
        </w:rPr>
        <w:t>渠道和联系方式，督促支付机构落实重大事项报告要求。</w:t>
      </w:r>
    </w:p>
    <w:p w14:paraId="5E5D8C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重大事项的范围</w:t>
      </w:r>
    </w:p>
    <w:p w14:paraId="45DCE1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第五条 支付机构的下列事项，应当事前向所在地中国人民银行分支机构报告：</w:t>
      </w:r>
    </w:p>
    <w:p w14:paraId="45C409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（一）支付机构</w:t>
      </w:r>
      <w:proofErr w:type="gramStart"/>
      <w:r>
        <w:rPr>
          <w:rFonts w:ascii="宋体" w:eastAsia="宋体" w:hAnsi="宋体" w:cs="宋体" w:hint="eastAsia"/>
          <w:sz w:val="24"/>
        </w:rPr>
        <w:t>拟首次</w:t>
      </w:r>
      <w:proofErr w:type="gramEnd"/>
      <w:r>
        <w:rPr>
          <w:rFonts w:ascii="宋体" w:eastAsia="宋体" w:hAnsi="宋体" w:cs="宋体" w:hint="eastAsia"/>
          <w:sz w:val="24"/>
        </w:rPr>
        <w:t>公开发行或者增发股票的。</w:t>
      </w:r>
    </w:p>
    <w:p w14:paraId="0C9FD7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（二）支付机构的主要出资人或者实际控制人</w:t>
      </w:r>
      <w:proofErr w:type="gramStart"/>
      <w:r>
        <w:rPr>
          <w:rFonts w:ascii="宋体" w:eastAsia="宋体" w:hAnsi="宋体" w:cs="宋体" w:hint="eastAsia"/>
          <w:sz w:val="24"/>
        </w:rPr>
        <w:t>拟首次</w:t>
      </w:r>
      <w:proofErr w:type="gramEnd"/>
      <w:r>
        <w:rPr>
          <w:rFonts w:ascii="宋体" w:eastAsia="宋体" w:hAnsi="宋体" w:cs="宋体" w:hint="eastAsia"/>
          <w:sz w:val="24"/>
        </w:rPr>
        <w:t>公开发行股票，包括但不限于其直接作为首次公开发行股票的主体，或者通过协议控制架构等方式赴境外首次公开发行股票的。</w:t>
      </w:r>
    </w:p>
    <w:p w14:paraId="6B11103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（三）提供支付创新产品或者服务、与境外机构合作开展跨境支付业务、与其他机构开展重大业务合作的。</w:t>
      </w:r>
    </w:p>
    <w:p w14:paraId="08A895C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（四）支付机构拟在境外投资设立分支机构、控股附属机构或者通过协议等其他安排能够实际控制的关联机构开展支付业务的。</w:t>
      </w:r>
    </w:p>
    <w:p w14:paraId="4687C8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（五）支付机构及其实际控制人、主要出资人拟抵押、质押、托管或者变相抵押、质押支付机构股权或者超过净资产10%的重要资产的。</w:t>
      </w:r>
    </w:p>
    <w:p w14:paraId="622CF0B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（六）累计对外提供的有效担保超过净资产30%的。</w:t>
      </w:r>
    </w:p>
    <w:p w14:paraId="711CB3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（七）对外投资超过净资产5%的。</w:t>
      </w:r>
    </w:p>
    <w:p w14:paraId="751BD6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（八）支付业务设施发生重大调整，可能对支付业务产生重大影响的，包括但不限于变更系统应用架构或者重要版本、迁移生产中心机房</w:t>
      </w:r>
      <w:proofErr w:type="gramStart"/>
      <w:r>
        <w:rPr>
          <w:rFonts w:ascii="宋体" w:eastAsia="宋体" w:hAnsi="宋体" w:cs="宋体" w:hint="eastAsia"/>
          <w:sz w:val="24"/>
        </w:rPr>
        <w:t>或者灾备机房</w:t>
      </w:r>
      <w:proofErr w:type="gramEnd"/>
      <w:r>
        <w:rPr>
          <w:rFonts w:ascii="宋体" w:eastAsia="宋体" w:hAnsi="宋体" w:cs="宋体" w:hint="eastAsia"/>
          <w:sz w:val="24"/>
        </w:rPr>
        <w:t>等。</w:t>
      </w:r>
    </w:p>
    <w:p w14:paraId="47F37EB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（九）拟变更会计师事务所等外部重点合作机构，可能影响支付机构商誉或者外部审计、检测质量的。</w:t>
      </w:r>
    </w:p>
    <w:p w14:paraId="6350352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（十）中国人民银行规定的其他应当事前报告的事项。</w:t>
      </w:r>
    </w:p>
    <w:p w14:paraId="1712EA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支付机构发生风险事件或者突发情况的，应当按照中国人民银行相关规定和本办法的要求及时报告。事后报告事项分为一类事项和二类事项。</w:t>
      </w:r>
    </w:p>
    <w:p w14:paraId="4BC9CD4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一类事项包括下列情形：</w:t>
      </w:r>
    </w:p>
    <w:p w14:paraId="17D4C2D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（一）涉及影响社会公共秩序的群体性事件或者重大负面舆情的。</w:t>
      </w:r>
    </w:p>
    <w:p w14:paraId="58442FE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（二）支付机构受益所有人发生非正常死亡、</w:t>
      </w:r>
      <w:proofErr w:type="gramStart"/>
      <w:r>
        <w:rPr>
          <w:rFonts w:ascii="宋体" w:eastAsia="宋体" w:hAnsi="宋体" w:cs="宋体" w:hint="eastAsia"/>
          <w:sz w:val="24"/>
        </w:rPr>
        <w:t>失联等</w:t>
      </w:r>
      <w:proofErr w:type="gramEnd"/>
      <w:r>
        <w:rPr>
          <w:rFonts w:ascii="宋体" w:eastAsia="宋体" w:hAnsi="宋体" w:cs="宋体" w:hint="eastAsia"/>
          <w:sz w:val="24"/>
        </w:rPr>
        <w:t>异常变故，未履行审批程序而发生变更的。</w:t>
      </w:r>
    </w:p>
    <w:p w14:paraId="4AEDF9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（三）发生客户个人信息泄露等信息安全事件一次性涉及客户信息数据超过5000条或者客户数量超过500户的。</w:t>
      </w:r>
    </w:p>
    <w:p w14:paraId="268E20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（四）因突发情况导致支付业务中断或者功能故障，超过2小时或者影响支付业务笔数超过10万笔，或者可能造成重大负面舆情的。</w:t>
      </w:r>
    </w:p>
    <w:p w14:paraId="358782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（五）客户、特约商户或者外包服务机构涉嫌利用本机构渠道从事欺诈、洗钱、非法集资、网络赌博等违法犯罪活动，造成重大影响的。</w:t>
      </w:r>
    </w:p>
    <w:p w14:paraId="2AB8A8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（六）发生客户备付金被挪用或者重复结算等风险事件，可能影响正常资金结算或者损害客户合法权益的。</w:t>
      </w:r>
    </w:p>
    <w:p w14:paraId="092A13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（七）其他可能对支付机构经营管理造成重大影响或者损害金融消费者合法权益且可能引发区域性、系统性金融风险的重大风险事件和紧急情况。</w:t>
      </w:r>
    </w:p>
    <w:p w14:paraId="2E34A4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二类事项包括下列情形：</w:t>
      </w:r>
    </w:p>
    <w:p w14:paraId="34A44A0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（一）支付机构及其主要出资人、实际控制人涉及涉案金额超过净资产10%的重大诉讼、仲裁纠纷，超过净资产10%的重要资产被查封或者冻结、刑事案件等法律问题的。</w:t>
      </w:r>
    </w:p>
    <w:p w14:paraId="1DB805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（二）支付机构董事、监事、高级管理人员涉及刑事案件，或者发生非正常死亡、</w:t>
      </w:r>
      <w:proofErr w:type="gramStart"/>
      <w:r>
        <w:rPr>
          <w:rFonts w:ascii="宋体" w:eastAsia="宋体" w:hAnsi="宋体" w:cs="宋体" w:hint="eastAsia"/>
          <w:sz w:val="24"/>
        </w:rPr>
        <w:t>失联等</w:t>
      </w:r>
      <w:proofErr w:type="gramEnd"/>
      <w:r>
        <w:rPr>
          <w:rFonts w:ascii="宋体" w:eastAsia="宋体" w:hAnsi="宋体" w:cs="宋体" w:hint="eastAsia"/>
          <w:sz w:val="24"/>
        </w:rPr>
        <w:t>异常变故，可能影响其正常履行岗位职责的。</w:t>
      </w:r>
    </w:p>
    <w:p w14:paraId="37AEFA0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（三）发生客户个人信息泄露等信息安全事件一次性涉及客户信息数据不超过5000条，且涉及客户数量不超过500户的。</w:t>
      </w:r>
    </w:p>
    <w:p w14:paraId="4EBB20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（四）因突发情况导致支付业务中断或者功能故障，但不超过2小时且影响支付业务笔数不超过10万笔，不会造成重大负面舆情的。</w:t>
      </w:r>
    </w:p>
    <w:p w14:paraId="7BDBE5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（五）涉及其他监管部门、司法机关通报的支付风险案件，或者被其他监管部门采取列入经营异常名录、行政处罚等监管措施的。</w:t>
      </w:r>
    </w:p>
    <w:p w14:paraId="3E009F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（六）支付机构在内、外部审计或者检测中被发现存在重大问题，可能影响支付机构经营或者损害金融消费者合法权益的。</w:t>
      </w:r>
    </w:p>
    <w:p w14:paraId="3900DF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（七）其他可能对支付机构造成影响或者损害金融消费者合法权益的重大风</w:t>
      </w:r>
      <w:r>
        <w:rPr>
          <w:rFonts w:ascii="宋体" w:eastAsia="宋体" w:hAnsi="宋体" w:cs="宋体" w:hint="eastAsia"/>
          <w:sz w:val="24"/>
        </w:rPr>
        <w:lastRenderedPageBreak/>
        <w:t>险事件和紧急情况。</w:t>
      </w:r>
    </w:p>
    <w:p w14:paraId="718887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重大事项报告程序</w:t>
      </w:r>
    </w:p>
    <w:p w14:paraId="1DC251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支付机构报告本办法第五条第一项至第四项事项的，应当于相关事项实施或者生效前至少30个自然日向所在地中国人民银行分支机构提交书面报告。</w:t>
      </w:r>
    </w:p>
    <w:p w14:paraId="42C050C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支付机构报告本办法第五条所列其他事项的，应当于相关事项实施或者生效前至少5个工作日向所在地中国人民银行分支机构提交书面报告。</w:t>
      </w:r>
    </w:p>
    <w:p w14:paraId="66E82D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报告的内容包括但不限于基本情况、实施计划，对公司经营、金融消费者合法权益、支付市场的潜在影响等，可能造成支付业务中断、功能故障或者其他负面影响的，还应当包括应急处置、舆情监测等工作预案。支付机构的主要出资人、实际控制人通过协议控制架构等方式赴境外首次公开发行股票的，还应当说明协议控制架构的具体安排。</w:t>
      </w:r>
    </w:p>
    <w:p w14:paraId="7431D1D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法律、行政法规、国务院决定、规章另有规定的，依照其规定。</w:t>
      </w:r>
    </w:p>
    <w:p w14:paraId="364BD9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支付机构发生本办法第七条所列一类事项的，应当在事项发生后2小时内通过电话、传真或者电子邮件等形式向所在地中国人民银行分支机构及时报告，并在事项发生后2个工作日内向所在地中国人民银行分支机构提交书面报告。</w:t>
      </w:r>
    </w:p>
    <w:p w14:paraId="16EBBC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支付机构发生本办法第八条所列二类事项的，支付机构应当在事项发生后24小时内通过电话、传真或者电子邮件等形式向所在地中国人民银行分支机构及时报告，并在事项发生后5个工作日内向所在地中国人民银行分支机构提交书面报告。</w:t>
      </w:r>
    </w:p>
    <w:p w14:paraId="6C988E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事后报告事项的报告应当包括但不限于以下内容：</w:t>
      </w:r>
    </w:p>
    <w:p w14:paraId="33B165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基本情况。说明事件的起因、时间、地点、过程、影响等内容。涉及支付机构受益所有人变更的，还应提交变更后的支付机构受益所有人信息，包括受益所有人的姓名、地址、身份证件或者身份证明文件的种类、号码和有效期限。</w:t>
      </w:r>
    </w:p>
    <w:p w14:paraId="378952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（二）处置情况。涉及风险处置的，应当说明事件后续发展预判、可能造成</w:t>
      </w:r>
      <w:r>
        <w:rPr>
          <w:rFonts w:ascii="宋体" w:eastAsia="宋体" w:hAnsi="宋体" w:cs="宋体" w:hint="eastAsia"/>
          <w:sz w:val="24"/>
        </w:rPr>
        <w:lastRenderedPageBreak/>
        <w:t>的影响和损失、拟采取的处置措施等内容。已完成处置的，应当说明造成的影响和损失、处置措施、处置效果、对事件的总结分析、后续加强管理的措施等内容。</w:t>
      </w:r>
    </w:p>
    <w:p w14:paraId="2A295D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事后报告事项涉及风险处置的，支付机构应当根据所在地中国人民银行分支机构要求持续报告处置进展，并在处置完毕后5个工作日内向所在地中国人民银行分支机构提交书面报告。</w:t>
      </w:r>
    </w:p>
    <w:p w14:paraId="0FE770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对一类事项和涉及风险处置的二类事项，支付机构法人所在地中国人民银行分支机构应当分别在接报后半小时内、1小时内通过电话、传真或者电子邮件等形式报告总行，并及时提交书面报告。涉及风险处置的，应当持续报告处置进展。</w:t>
      </w:r>
    </w:p>
    <w:p w14:paraId="3CDFDE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支付机构境外分支机构、控股附属机构或者通过协议等其他安排能够实际控制的关联机构发生的重大事项，支付机构应当按照本办法第九条、第十条、第十一条、第十二条、第十三条的规定向所在地中国人民银行分支机构报告。</w:t>
      </w:r>
    </w:p>
    <w:p w14:paraId="737A5A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重大事项涉及支付机构分公司的，支付机构分公司应当按照本办法第九条、第十条、第十一条、第十二条、第十三条的规定同步报告所在地中国人民银行分支机构。</w:t>
      </w:r>
    </w:p>
    <w:p w14:paraId="37E797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支付机构经营管理地与支付机构法人所在地不一致的，支付机构应当按照本办法第九条、第十条、第十一条、第十二条、第十三条的规定同步报告经营管理地中国人民银行分支机构。支付机构经营管理地中国人民银行分支机构应配合支付机构法人所在地中国人民银行分支机构做好相关工作。</w:t>
      </w:r>
    </w:p>
    <w:p w14:paraId="4A9B1F2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支付机构机房部署地与支付机构法人所在地不一致的，涉及系统故障等重大事项，支付机构应当按照本办法第九条、第十条、第十一条、第十二条、第十三条的规定同步报告故障发生地中国人民银行分支机构。支付机构故障发生地中国人民银行分支机构应配合支付机构法人所在地中国人民银行分支机构做好相关工作。</w:t>
      </w:r>
    </w:p>
    <w:p w14:paraId="3C06C2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支付机构报送的重大事项报告、处置情况报告应当由其法定代表人或者主要负责人签发并加盖公章。法定代表人或者主要负责人因特殊原因无法</w:t>
      </w:r>
      <w:r>
        <w:rPr>
          <w:rFonts w:ascii="宋体" w:eastAsia="宋体" w:hAnsi="宋体" w:cs="宋体" w:hint="eastAsia"/>
          <w:sz w:val="24"/>
        </w:rPr>
        <w:lastRenderedPageBreak/>
        <w:t>签发的，应当及时授权其他负责人签发。</w:t>
      </w:r>
    </w:p>
    <w:p w14:paraId="6A63966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监管与责任</w:t>
      </w:r>
    </w:p>
    <w:p w14:paraId="098F05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中国人民银行分支机构应当将支付机构重大事项报告执行情况纳入支付机构年度分类评级考核。</w:t>
      </w:r>
    </w:p>
    <w:p w14:paraId="4EC0BC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中国人民银行及其分支机构根据审慎监管的需要，可以要求支付机构就重大事项有关情况</w:t>
      </w:r>
      <w:proofErr w:type="gramStart"/>
      <w:r>
        <w:rPr>
          <w:rFonts w:ascii="宋体" w:eastAsia="宋体" w:hAnsi="宋体" w:cs="宋体" w:hint="eastAsia"/>
          <w:sz w:val="24"/>
        </w:rPr>
        <w:t>作出</w:t>
      </w:r>
      <w:proofErr w:type="gramEnd"/>
      <w:r>
        <w:rPr>
          <w:rFonts w:ascii="宋体" w:eastAsia="宋体" w:hAnsi="宋体" w:cs="宋体" w:hint="eastAsia"/>
          <w:sz w:val="24"/>
        </w:rPr>
        <w:t>说明，并可以对支付机构重大事项报告执行情况进行现场检查。</w:t>
      </w:r>
    </w:p>
    <w:p w14:paraId="52FFF3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支付机构报告的重大事项涉及商业秘密的，中国人民银行及其分支机构工作人员应当遵守各项保密制度规定，合理确定知悉范围，妥善保管相关材料。</w:t>
      </w:r>
    </w:p>
    <w:p w14:paraId="40405B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中国人民银行及其分支机构的工作人员违反规定泄露支付机构商业秘密的，依法给予处分；涉嫌构成犯罪的，依法移送司法机关处理。</w:t>
      </w:r>
    </w:p>
    <w:p w14:paraId="000F6D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支付机构应当健全重大事项报告、风险事件防控、处置等工作机制，明确重大事项报告、风险事件处置责任部门和应急处置流程、措施，提高风险预警、监控和处置能力。</w:t>
      </w:r>
    </w:p>
    <w:p w14:paraId="6AE84B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支付机构未按本办法规定建立重大事项报告、风险事件防控、处置等工作机制或者报告重大事项的，中国人民银行及其分支机构责令其限期整改，可以采取约谈等监管措施，并可以依据《非金融机构支付服务管理办法》有关规定予以处罚。</w:t>
      </w:r>
    </w:p>
    <w:p w14:paraId="6C9E6C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支付机构履行重大事项报告义务，不豁免其应承担的相关法律责任；支付机构涉嫌犯罪的，依法移送司法机关处理。</w:t>
      </w:r>
    </w:p>
    <w:p w14:paraId="14BEA8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附 则</w:t>
      </w:r>
    </w:p>
    <w:p w14:paraId="715299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本办法所称中国人民银行分支机构是指中国人民银行副省级城市中心支行以上分支机构。</w:t>
      </w:r>
    </w:p>
    <w:p w14:paraId="08E337E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本办法所称支付机构分公司是指支付机构为落实本地化经营、管理要求设立的，已在分公司所在地中国人民银行分支机构完成备案手续的分支机构。</w:t>
      </w:r>
    </w:p>
    <w:p w14:paraId="0FE33D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本办法所称支付机构法人所在地、分公司所在地指支付机构法人、分公司的经公司登记机关登记的住所或营业场所。</w:t>
      </w:r>
    </w:p>
    <w:p w14:paraId="1BADE48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本办法所称支付机构经营管理地是指支付机构的主要经营管理团队实际办公地址。支付机构机房部署地是指支付机构的支付业务系统机房部署地址。</w:t>
      </w:r>
    </w:p>
    <w:p w14:paraId="7924BC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本办法所称实际控制人是指通过投资关系、协议或者其他安排，能够实际支配支付机构行为的自然人、法人或者其他组织。</w:t>
      </w:r>
    </w:p>
    <w:p w14:paraId="117283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支付机构受益所有人是指最终拥有或者实际控制支付机构的一个或多个自然人，包括间接拥有25%（含）以上支付机构股权的自然人，通过表决权、控制权或者其他协议安排等方式实际控制支付机构的自然人，以及享有25%（含）以上支付机构直接或间接股权收益的自然人。</w:t>
      </w:r>
    </w:p>
    <w:p w14:paraId="712DDC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本办法所称对外投资是指支付机构以货币资金、实物资产、无形资产等方式向其他单位形成的债权或股权投资。</w:t>
      </w:r>
    </w:p>
    <w:p w14:paraId="076CC1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本办法所称“超过”均包含本数，“不超过”均不包含本数。</w:t>
      </w:r>
    </w:p>
    <w:p w14:paraId="723C5F1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本办法由中国人民银行负责解释。中国人民银行分支机构可以结合本地实际制定相应实施细则。</w:t>
      </w:r>
    </w:p>
    <w:p w14:paraId="111A1E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本办法自2021年9月1日起施行。支付机构应自本办法施行之日起10个工作日内向法人所在地中国人民银行分支机构首次报送</w:t>
      </w:r>
      <w:proofErr w:type="gramStart"/>
      <w:r>
        <w:rPr>
          <w:rFonts w:ascii="宋体" w:eastAsia="宋体" w:hAnsi="宋体" w:cs="宋体" w:hint="eastAsia"/>
          <w:sz w:val="24"/>
        </w:rPr>
        <w:t>本支付</w:t>
      </w:r>
      <w:proofErr w:type="gramEnd"/>
      <w:r>
        <w:rPr>
          <w:rFonts w:ascii="宋体" w:eastAsia="宋体" w:hAnsi="宋体" w:cs="宋体" w:hint="eastAsia"/>
          <w:sz w:val="24"/>
        </w:rPr>
        <w:t>机构实际控制人、受益所有人的基本信息及对应的控制关系、受益关系等情况。</w:t>
      </w:r>
    </w:p>
    <w:p w14:paraId="321C5FBD"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《非金融机构支付服务管理办法实施细则》（中国人民银行公告〔2010〕第17号公布）第三十七条同时废止。</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05919128"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127.《关于进一步深化法治央企建设的意见》</w:t>
      </w:r>
      <w:r>
        <w:rPr>
          <w:rFonts w:ascii="宋体" w:eastAsia="宋体" w:hAnsi="宋体" w:cs="宋体" w:hint="eastAsia"/>
          <w:b/>
          <w:bCs/>
          <w:sz w:val="24"/>
        </w:rPr>
        <w:tab/>
      </w:r>
    </w:p>
    <w:p w14:paraId="3C7A67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发文机构：国务院国有资产监督管理委员会</w:t>
      </w:r>
      <w:r>
        <w:rPr>
          <w:rFonts w:ascii="宋体" w:eastAsia="宋体" w:hAnsi="宋体" w:cs="宋体" w:hint="eastAsia"/>
          <w:sz w:val="24"/>
        </w:rPr>
        <w:tab/>
      </w:r>
    </w:p>
    <w:p w14:paraId="3EE352A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w:t>
      </w:r>
      <w:proofErr w:type="gramStart"/>
      <w:r>
        <w:rPr>
          <w:rFonts w:ascii="宋体" w:eastAsia="宋体" w:hAnsi="宋体" w:cs="宋体" w:hint="eastAsia"/>
          <w:sz w:val="24"/>
        </w:rPr>
        <w:t>国资发法规规</w:t>
      </w:r>
      <w:proofErr w:type="gramEnd"/>
      <w:r>
        <w:rPr>
          <w:rFonts w:ascii="宋体" w:eastAsia="宋体" w:hAnsi="宋体" w:cs="宋体" w:hint="eastAsia"/>
          <w:sz w:val="24"/>
        </w:rPr>
        <w:t>〔2021〕80号</w:t>
      </w:r>
    </w:p>
    <w:p w14:paraId="31E6C6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为深入学习贯彻习近平法治思想，认真落实全面依法治国战略部署，持续深化</w:t>
      </w:r>
      <w:proofErr w:type="gramStart"/>
      <w:r>
        <w:rPr>
          <w:rFonts w:ascii="宋体" w:eastAsia="宋体" w:hAnsi="宋体" w:cs="宋体" w:hint="eastAsia"/>
          <w:sz w:val="24"/>
        </w:rPr>
        <w:t>法治央企建设</w:t>
      </w:r>
      <w:proofErr w:type="gramEnd"/>
      <w:r>
        <w:rPr>
          <w:rFonts w:ascii="宋体" w:eastAsia="宋体" w:hAnsi="宋体" w:cs="宋体" w:hint="eastAsia"/>
          <w:sz w:val="24"/>
        </w:rPr>
        <w:t>，更好发挥法治工作对“十四五”时期中央企业改革发展的支撑保障作用，根据《法治中国建设规划（2020-2025年）》《法治社会建设实施纲要（2020-2025年）》等文件精神，现就进一步做好中央企业法治工作提出如下意见：</w:t>
      </w:r>
    </w:p>
    <w:p w14:paraId="7D6C5DC0"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一</w:t>
      </w:r>
      <w:proofErr w:type="gramEnd"/>
      <w:r>
        <w:rPr>
          <w:rFonts w:ascii="宋体" w:eastAsia="宋体" w:hAnsi="宋体" w:cs="宋体" w:hint="eastAsia"/>
          <w:sz w:val="24"/>
        </w:rPr>
        <w:t> 、总体要求</w:t>
      </w:r>
    </w:p>
    <w:p w14:paraId="415595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（一）指导思想。坚持以习近平新时代中国特色社会主义思想为指导，认真落</w:t>
      </w:r>
      <w:proofErr w:type="gramStart"/>
      <w:r>
        <w:rPr>
          <w:rFonts w:ascii="宋体" w:eastAsia="宋体" w:hAnsi="宋体" w:cs="宋体" w:hint="eastAsia"/>
          <w:sz w:val="24"/>
        </w:rPr>
        <w:t>实习近</w:t>
      </w:r>
      <w:proofErr w:type="gramEnd"/>
      <w:r>
        <w:rPr>
          <w:rFonts w:ascii="宋体" w:eastAsia="宋体" w:hAnsi="宋体" w:cs="宋体" w:hint="eastAsia"/>
          <w:sz w:val="24"/>
        </w:rPr>
        <w:t>平法治思想，深入贯彻党的十九大和十九届二中、三中、四中、五中全会精神，按照中央全面依法治国工作会议部署，立足新发展阶段，贯彻新发展理念，构建新发展格局，紧紧围绕国企改革三年行动和中央企业“十四五”发展规划，着力健全领导责任体系、依法治理体系、规章制度体系、合</w:t>
      </w:r>
      <w:proofErr w:type="gramStart"/>
      <w:r>
        <w:rPr>
          <w:rFonts w:ascii="宋体" w:eastAsia="宋体" w:hAnsi="宋体" w:cs="宋体" w:hint="eastAsia"/>
          <w:sz w:val="24"/>
        </w:rPr>
        <w:t>规</w:t>
      </w:r>
      <w:proofErr w:type="gramEnd"/>
      <w:r>
        <w:rPr>
          <w:rFonts w:ascii="宋体" w:eastAsia="宋体" w:hAnsi="宋体" w:cs="宋体" w:hint="eastAsia"/>
          <w:sz w:val="24"/>
        </w:rPr>
        <w:t>管理体系、工作组织体系，持续提升法治工作引领支撑能力、风险管控能力、涉外保障能力、主动维权能力和数字化管理能力，不断深化治理完善、经营合</w:t>
      </w:r>
      <w:proofErr w:type="gramStart"/>
      <w:r>
        <w:rPr>
          <w:rFonts w:ascii="宋体" w:eastAsia="宋体" w:hAnsi="宋体" w:cs="宋体" w:hint="eastAsia"/>
          <w:sz w:val="24"/>
        </w:rPr>
        <w:t>规</w:t>
      </w:r>
      <w:proofErr w:type="gramEnd"/>
      <w:r>
        <w:rPr>
          <w:rFonts w:ascii="宋体" w:eastAsia="宋体" w:hAnsi="宋体" w:cs="宋体" w:hint="eastAsia"/>
          <w:sz w:val="24"/>
        </w:rPr>
        <w:t>、管理规范、守法诚信的</w:t>
      </w:r>
      <w:proofErr w:type="gramStart"/>
      <w:r>
        <w:rPr>
          <w:rFonts w:ascii="宋体" w:eastAsia="宋体" w:hAnsi="宋体" w:cs="宋体" w:hint="eastAsia"/>
          <w:sz w:val="24"/>
        </w:rPr>
        <w:t>法治央企建设</w:t>
      </w:r>
      <w:proofErr w:type="gramEnd"/>
      <w:r>
        <w:rPr>
          <w:rFonts w:ascii="宋体" w:eastAsia="宋体" w:hAnsi="宋体" w:cs="宋体" w:hint="eastAsia"/>
          <w:sz w:val="24"/>
        </w:rPr>
        <w:t>，为加快建设世界一流企业筑牢坚实法治基础。</w:t>
      </w:r>
    </w:p>
    <w:p w14:paraId="0B512D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（二）基本原则。</w:t>
      </w:r>
    </w:p>
    <w:p w14:paraId="444260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坚持融入中心、服务大局。以服务国企改革三年行动和中央企业“十四五”发展规划为目标，牢固树立全局意识和系统观念，法治工作全面融入完善中国特色现代企业制度、深化混合所有制改革、科技创新、国际化经营等重点任务，充分发挥支撑保障作用。</w:t>
      </w:r>
    </w:p>
    <w:p w14:paraId="418D01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坚持完善制度、夯基固本。以强化制度建设为基础，坚持尊法、学法、守法、用法，将行之有效的经验做法，及时转化为企业规章制度，嵌入业务流程，加强制度执行情况监督检查，强化制度刚性约束。</w:t>
      </w:r>
    </w:p>
    <w:p w14:paraId="5986D9D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坚持突出重点、全面深化。以落实法治建设第一责任人职责、</w:t>
      </w:r>
      <w:proofErr w:type="gramStart"/>
      <w:r>
        <w:rPr>
          <w:rFonts w:ascii="宋体" w:eastAsia="宋体" w:hAnsi="宋体" w:cs="宋体" w:hint="eastAsia"/>
          <w:sz w:val="24"/>
        </w:rPr>
        <w:t>完善总</w:t>
      </w:r>
      <w:proofErr w:type="gramEnd"/>
      <w:r>
        <w:rPr>
          <w:rFonts w:ascii="宋体" w:eastAsia="宋体" w:hAnsi="宋体" w:cs="宋体" w:hint="eastAsia"/>
          <w:sz w:val="24"/>
        </w:rPr>
        <w:t>法律顾</w:t>
      </w:r>
      <w:r>
        <w:rPr>
          <w:rFonts w:ascii="宋体" w:eastAsia="宋体" w:hAnsi="宋体" w:cs="宋体" w:hint="eastAsia"/>
          <w:sz w:val="24"/>
        </w:rPr>
        <w:lastRenderedPageBreak/>
        <w:t>问制度、健全法律风险防范机制、强化合</w:t>
      </w:r>
      <w:proofErr w:type="gramStart"/>
      <w:r>
        <w:rPr>
          <w:rFonts w:ascii="宋体" w:eastAsia="宋体" w:hAnsi="宋体" w:cs="宋体" w:hint="eastAsia"/>
          <w:sz w:val="24"/>
        </w:rPr>
        <w:t>规</w:t>
      </w:r>
      <w:proofErr w:type="gramEnd"/>
      <w:r>
        <w:rPr>
          <w:rFonts w:ascii="宋体" w:eastAsia="宋体" w:hAnsi="宋体" w:cs="宋体" w:hint="eastAsia"/>
          <w:sz w:val="24"/>
        </w:rPr>
        <w:t>管理为重点，坚持问题导向，在做深做细做实上下更大功夫，真正发挥强管理、促经营、防风险、</w:t>
      </w:r>
      <w:proofErr w:type="gramStart"/>
      <w:r>
        <w:rPr>
          <w:rFonts w:ascii="宋体" w:eastAsia="宋体" w:hAnsi="宋体" w:cs="宋体" w:hint="eastAsia"/>
          <w:sz w:val="24"/>
        </w:rPr>
        <w:t>创价值</w:t>
      </w:r>
      <w:proofErr w:type="gramEnd"/>
      <w:r>
        <w:rPr>
          <w:rFonts w:ascii="宋体" w:eastAsia="宋体" w:hAnsi="宋体" w:cs="宋体" w:hint="eastAsia"/>
          <w:sz w:val="24"/>
        </w:rPr>
        <w:t>作用。</w:t>
      </w:r>
    </w:p>
    <w:p w14:paraId="255FCE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坚持勇于创新、拓展升级。以适应市场化、法治化、国际化发展需要为方向，结合实际拓宽法治工作领域，探索优化法</w:t>
      </w:r>
      <w:proofErr w:type="gramStart"/>
      <w:r>
        <w:rPr>
          <w:rFonts w:ascii="宋体" w:eastAsia="宋体" w:hAnsi="宋体" w:cs="宋体" w:hint="eastAsia"/>
          <w:sz w:val="24"/>
        </w:rPr>
        <w:t>务</w:t>
      </w:r>
      <w:proofErr w:type="gramEnd"/>
      <w:r>
        <w:rPr>
          <w:rFonts w:ascii="宋体" w:eastAsia="宋体" w:hAnsi="宋体" w:cs="宋体" w:hint="eastAsia"/>
          <w:sz w:val="24"/>
        </w:rPr>
        <w:t>管理职能，创新工作方式，加快提升信息化、数字化、智能化水平。</w:t>
      </w:r>
    </w:p>
    <w:p w14:paraId="67770E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总体目标。“十四五”时期，中央企业法治理念更加强化、治理机制更加完善、制度体系更加优化、组织机构更加健全、管理方式更加科学、作用发挥更加有效，法治建设取得更大进展，部分企业率先达到世界一流水平，为企业深化改革、高质量发展提供更加有力的支撑保障。</w:t>
      </w:r>
    </w:p>
    <w:p w14:paraId="5D6B0A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、着力健全法治工作体系</w:t>
      </w:r>
    </w:p>
    <w:p w14:paraId="6E906B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（四）着力健全领导责任体系。坚持企业党委（党组）对依法治企工作的全面领导，不断完善党委（党组）定期专题学法、定期听取工作汇报、干部任前法治谈话、述职</w:t>
      </w:r>
      <w:proofErr w:type="gramStart"/>
      <w:r>
        <w:rPr>
          <w:rFonts w:ascii="宋体" w:eastAsia="宋体" w:hAnsi="宋体" w:cs="宋体" w:hint="eastAsia"/>
          <w:sz w:val="24"/>
        </w:rPr>
        <w:t>必述法</w:t>
      </w:r>
      <w:proofErr w:type="gramEnd"/>
      <w:r>
        <w:rPr>
          <w:rFonts w:ascii="宋体" w:eastAsia="宋体" w:hAnsi="宋体" w:cs="宋体" w:hint="eastAsia"/>
          <w:sz w:val="24"/>
        </w:rPr>
        <w:t>等制度，切实发挥党委（党组）把方向、管大局、促落实作用。强化董事会定战略、作决策、防风险职能，明确专门委员会推进法治建设职责，把法治建设纳入整体工作统筹谋划，</w:t>
      </w:r>
      <w:proofErr w:type="gramStart"/>
      <w:r>
        <w:rPr>
          <w:rFonts w:ascii="宋体" w:eastAsia="宋体" w:hAnsi="宋体" w:cs="宋体" w:hint="eastAsia"/>
          <w:sz w:val="24"/>
        </w:rPr>
        <w:t>将进展</w:t>
      </w:r>
      <w:proofErr w:type="gramEnd"/>
      <w:r>
        <w:rPr>
          <w:rFonts w:ascii="宋体" w:eastAsia="宋体" w:hAnsi="宋体" w:cs="宋体" w:hint="eastAsia"/>
          <w:sz w:val="24"/>
        </w:rPr>
        <w:t>情况作为年度工作报告的重要内容。健全中央企业主要负责人履行推进法治建设第一责任人职责工作机制，党委（党组）书记、董事长、总经理各司其职，对重点问题亲自研究、部署协调、推动解决。将第一责任人职责要求向子企业延伸，把落实情况纳入领导人员综合考核评价体系，将法治素养和依法履职情况作为考察使用干部的重要内容。</w:t>
      </w:r>
    </w:p>
    <w:p w14:paraId="357598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（五）着力健全依法治理体系。高度重视章程在公司治理中的统领地位，切实</w:t>
      </w:r>
      <w:proofErr w:type="gramStart"/>
      <w:r>
        <w:rPr>
          <w:rFonts w:ascii="宋体" w:eastAsia="宋体" w:hAnsi="宋体" w:cs="宋体" w:hint="eastAsia"/>
          <w:sz w:val="24"/>
        </w:rPr>
        <w:t>发挥总</w:t>
      </w:r>
      <w:proofErr w:type="gramEnd"/>
      <w:r>
        <w:rPr>
          <w:rFonts w:ascii="宋体" w:eastAsia="宋体" w:hAnsi="宋体" w:cs="宋体" w:hint="eastAsia"/>
          <w:sz w:val="24"/>
        </w:rPr>
        <w:t>法律顾问和法</w:t>
      </w:r>
      <w:proofErr w:type="gramStart"/>
      <w:r>
        <w:rPr>
          <w:rFonts w:ascii="宋体" w:eastAsia="宋体" w:hAnsi="宋体" w:cs="宋体" w:hint="eastAsia"/>
          <w:sz w:val="24"/>
        </w:rPr>
        <w:t>务</w:t>
      </w:r>
      <w:proofErr w:type="gramEnd"/>
      <w:r>
        <w:rPr>
          <w:rFonts w:ascii="宋体" w:eastAsia="宋体" w:hAnsi="宋体" w:cs="宋体" w:hint="eastAsia"/>
          <w:sz w:val="24"/>
        </w:rPr>
        <w:t>管理机构专业审核把关作用，科学配置</w:t>
      </w:r>
      <w:proofErr w:type="gramStart"/>
      <w:r>
        <w:rPr>
          <w:rFonts w:ascii="宋体" w:eastAsia="宋体" w:hAnsi="宋体" w:cs="宋体" w:hint="eastAsia"/>
          <w:sz w:val="24"/>
        </w:rPr>
        <w:t>各治理</w:t>
      </w:r>
      <w:proofErr w:type="gramEnd"/>
      <w:r>
        <w:rPr>
          <w:rFonts w:ascii="宋体" w:eastAsia="宋体" w:hAnsi="宋体" w:cs="宋体" w:hint="eastAsia"/>
          <w:sz w:val="24"/>
        </w:rPr>
        <w:t>主体权利、义务和责任，明晰履职程序和要求，保障章程依法制定、依法实施。多元投资主体企业严格依据法律法规、国有资产监管规定和公司章程，明确股东权利义务、股东会定位与职权，规范议事决策方式和程序，完善运作制度机制，强化决议执行和监督，切实维护股东合法权益。优化董事会知识结构，通过选聘法律专业背景人员担任董事、加强法律培训等方式，提升董事会依法决策水平。落实总法律顾问列席党委（党组）会、董事会参与研究讨论或审议涉及法律合</w:t>
      </w:r>
      <w:proofErr w:type="gramStart"/>
      <w:r>
        <w:rPr>
          <w:rFonts w:ascii="宋体" w:eastAsia="宋体" w:hAnsi="宋体" w:cs="宋体" w:hint="eastAsia"/>
          <w:sz w:val="24"/>
        </w:rPr>
        <w:t>规</w:t>
      </w:r>
      <w:proofErr w:type="gramEnd"/>
      <w:r>
        <w:rPr>
          <w:rFonts w:ascii="宋体" w:eastAsia="宋体" w:hAnsi="宋体" w:cs="宋体" w:hint="eastAsia"/>
          <w:sz w:val="24"/>
        </w:rPr>
        <w:t>相关议题，参加总经理办公会等重要决策会议制度，将合法合</w:t>
      </w:r>
      <w:proofErr w:type="gramStart"/>
      <w:r>
        <w:rPr>
          <w:rFonts w:ascii="宋体" w:eastAsia="宋体" w:hAnsi="宋体" w:cs="宋体" w:hint="eastAsia"/>
          <w:sz w:val="24"/>
        </w:rPr>
        <w:t>规</w:t>
      </w:r>
      <w:proofErr w:type="gramEnd"/>
      <w:r>
        <w:rPr>
          <w:rFonts w:ascii="宋体" w:eastAsia="宋体" w:hAnsi="宋体" w:cs="宋体" w:hint="eastAsia"/>
          <w:sz w:val="24"/>
        </w:rPr>
        <w:t>性审查和重大风险评估作为</w:t>
      </w:r>
      <w:r>
        <w:rPr>
          <w:rFonts w:ascii="宋体" w:eastAsia="宋体" w:hAnsi="宋体" w:cs="宋体" w:hint="eastAsia"/>
          <w:sz w:val="24"/>
        </w:rPr>
        <w:lastRenderedPageBreak/>
        <w:t>重大决策事项必经前置程序。依法对子企业规范行使股东权，认真研究制定子企业章程，严格按照公司治理结构，通过股东（大）会决议、派出董事监事、推荐高级管理人员等方式行权履职，切实防范公司人格混同等风险。</w:t>
      </w:r>
    </w:p>
    <w:p w14:paraId="7B683B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（六）着力健全规章制度体系。明确法</w:t>
      </w:r>
      <w:proofErr w:type="gramStart"/>
      <w:r>
        <w:rPr>
          <w:rFonts w:ascii="宋体" w:eastAsia="宋体" w:hAnsi="宋体" w:cs="宋体" w:hint="eastAsia"/>
          <w:sz w:val="24"/>
        </w:rPr>
        <w:t>务</w:t>
      </w:r>
      <w:proofErr w:type="gramEnd"/>
      <w:r>
        <w:rPr>
          <w:rFonts w:ascii="宋体" w:eastAsia="宋体" w:hAnsi="宋体" w:cs="宋体" w:hint="eastAsia"/>
          <w:sz w:val="24"/>
        </w:rPr>
        <w:t>管理机构归口管理职责，健全规章制度制定、执行、评估、改进等工作机制，加强法律审核把关，强化对制度的全生命周期管理。根据适用范围、重要程度、管理幅度等，构建分层分类的制度体系框架，确保结构清晰、内容完整，相互衔接、有效协同，切实提高科学性和系统性。定期开展制度梳理，编制</w:t>
      </w:r>
      <w:proofErr w:type="gramStart"/>
      <w:r>
        <w:rPr>
          <w:rFonts w:ascii="宋体" w:eastAsia="宋体" w:hAnsi="宋体" w:cs="宋体" w:hint="eastAsia"/>
          <w:sz w:val="24"/>
        </w:rPr>
        <w:t>立改废</w:t>
      </w:r>
      <w:proofErr w:type="gramEnd"/>
      <w:r>
        <w:rPr>
          <w:rFonts w:ascii="宋体" w:eastAsia="宋体" w:hAnsi="宋体" w:cs="宋体" w:hint="eastAsia"/>
          <w:sz w:val="24"/>
        </w:rPr>
        <w:t>计划，完善重点改革任务配套制度，及时修订重要领域管理规范，不断增强针对性和实效性。加强对规章制度的宣贯培训，定期对执行情况开展监督检查和综合评价，增强制度刚性约束，推动制度有效落实。</w:t>
      </w:r>
    </w:p>
    <w:p w14:paraId="68D262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（七）着力健全合</w:t>
      </w:r>
      <w:proofErr w:type="gramStart"/>
      <w:r>
        <w:rPr>
          <w:rFonts w:ascii="宋体" w:eastAsia="宋体" w:hAnsi="宋体" w:cs="宋体" w:hint="eastAsia"/>
          <w:sz w:val="24"/>
        </w:rPr>
        <w:t>规</w:t>
      </w:r>
      <w:proofErr w:type="gramEnd"/>
      <w:r>
        <w:rPr>
          <w:rFonts w:ascii="宋体" w:eastAsia="宋体" w:hAnsi="宋体" w:cs="宋体" w:hint="eastAsia"/>
          <w:sz w:val="24"/>
        </w:rPr>
        <w:t>管理体系。持续完善合</w:t>
      </w:r>
      <w:proofErr w:type="gramStart"/>
      <w:r>
        <w:rPr>
          <w:rFonts w:ascii="宋体" w:eastAsia="宋体" w:hAnsi="宋体" w:cs="宋体" w:hint="eastAsia"/>
          <w:sz w:val="24"/>
        </w:rPr>
        <w:t>规</w:t>
      </w:r>
      <w:proofErr w:type="gramEnd"/>
      <w:r>
        <w:rPr>
          <w:rFonts w:ascii="宋体" w:eastAsia="宋体" w:hAnsi="宋体" w:cs="宋体" w:hint="eastAsia"/>
          <w:sz w:val="24"/>
        </w:rPr>
        <w:t>管理工作机制，健全企业主要负责人领导、总法律顾问牵头、法</w:t>
      </w:r>
      <w:proofErr w:type="gramStart"/>
      <w:r>
        <w:rPr>
          <w:rFonts w:ascii="宋体" w:eastAsia="宋体" w:hAnsi="宋体" w:cs="宋体" w:hint="eastAsia"/>
          <w:sz w:val="24"/>
        </w:rPr>
        <w:t>务</w:t>
      </w:r>
      <w:proofErr w:type="gramEnd"/>
      <w:r>
        <w:rPr>
          <w:rFonts w:ascii="宋体" w:eastAsia="宋体" w:hAnsi="宋体" w:cs="宋体" w:hint="eastAsia"/>
          <w:sz w:val="24"/>
        </w:rPr>
        <w:t>管理机构归口、相关部门协同联动的合</w:t>
      </w:r>
      <w:proofErr w:type="gramStart"/>
      <w:r>
        <w:rPr>
          <w:rFonts w:ascii="宋体" w:eastAsia="宋体" w:hAnsi="宋体" w:cs="宋体" w:hint="eastAsia"/>
          <w:sz w:val="24"/>
        </w:rPr>
        <w:t>规</w:t>
      </w:r>
      <w:proofErr w:type="gramEnd"/>
      <w:r>
        <w:rPr>
          <w:rFonts w:ascii="宋体" w:eastAsia="宋体" w:hAnsi="宋体" w:cs="宋体" w:hint="eastAsia"/>
          <w:sz w:val="24"/>
        </w:rPr>
        <w:t>管理体系。发挥法</w:t>
      </w:r>
      <w:proofErr w:type="gramStart"/>
      <w:r>
        <w:rPr>
          <w:rFonts w:ascii="宋体" w:eastAsia="宋体" w:hAnsi="宋体" w:cs="宋体" w:hint="eastAsia"/>
          <w:sz w:val="24"/>
        </w:rPr>
        <w:t>务</w:t>
      </w:r>
      <w:proofErr w:type="gramEnd"/>
      <w:r>
        <w:rPr>
          <w:rFonts w:ascii="宋体" w:eastAsia="宋体" w:hAnsi="宋体" w:cs="宋体" w:hint="eastAsia"/>
          <w:sz w:val="24"/>
        </w:rPr>
        <w:t>管理机构统筹协调、组织推动、督促落实作用，加强合规制度建设，开展合</w:t>
      </w:r>
      <w:proofErr w:type="gramStart"/>
      <w:r>
        <w:rPr>
          <w:rFonts w:ascii="宋体" w:eastAsia="宋体" w:hAnsi="宋体" w:cs="宋体" w:hint="eastAsia"/>
          <w:sz w:val="24"/>
        </w:rPr>
        <w:t>规</w:t>
      </w:r>
      <w:proofErr w:type="gramEnd"/>
      <w:r>
        <w:rPr>
          <w:rFonts w:ascii="宋体" w:eastAsia="宋体" w:hAnsi="宋体" w:cs="宋体" w:hint="eastAsia"/>
          <w:sz w:val="24"/>
        </w:rPr>
        <w:t>审查与考核，保障体系有效运行。强化业务部门、经营单位和项目一线主体责任，通过设置兼职合</w:t>
      </w:r>
      <w:proofErr w:type="gramStart"/>
      <w:r>
        <w:rPr>
          <w:rFonts w:ascii="宋体" w:eastAsia="宋体" w:hAnsi="宋体" w:cs="宋体" w:hint="eastAsia"/>
          <w:sz w:val="24"/>
        </w:rPr>
        <w:t>规</w:t>
      </w:r>
      <w:proofErr w:type="gramEnd"/>
      <w:r>
        <w:rPr>
          <w:rFonts w:ascii="宋体" w:eastAsia="宋体" w:hAnsi="宋体" w:cs="宋体" w:hint="eastAsia"/>
          <w:sz w:val="24"/>
        </w:rPr>
        <w:t>管理员、将合</w:t>
      </w:r>
      <w:proofErr w:type="gramStart"/>
      <w:r>
        <w:rPr>
          <w:rFonts w:ascii="宋体" w:eastAsia="宋体" w:hAnsi="宋体" w:cs="宋体" w:hint="eastAsia"/>
          <w:sz w:val="24"/>
        </w:rPr>
        <w:t>规</w:t>
      </w:r>
      <w:proofErr w:type="gramEnd"/>
      <w:r>
        <w:rPr>
          <w:rFonts w:ascii="宋体" w:eastAsia="宋体" w:hAnsi="宋体" w:cs="宋体" w:hint="eastAsia"/>
          <w:sz w:val="24"/>
        </w:rPr>
        <w:t>要求嵌入岗位职责和业务流程、抓好重点领域合</w:t>
      </w:r>
      <w:proofErr w:type="gramStart"/>
      <w:r>
        <w:rPr>
          <w:rFonts w:ascii="宋体" w:eastAsia="宋体" w:hAnsi="宋体" w:cs="宋体" w:hint="eastAsia"/>
          <w:sz w:val="24"/>
        </w:rPr>
        <w:t>规</w:t>
      </w:r>
      <w:proofErr w:type="gramEnd"/>
      <w:r>
        <w:rPr>
          <w:rFonts w:ascii="宋体" w:eastAsia="宋体" w:hAnsi="宋体" w:cs="宋体" w:hint="eastAsia"/>
          <w:sz w:val="24"/>
        </w:rPr>
        <w:t>管理等措施，有效防范、及时处置合</w:t>
      </w:r>
      <w:proofErr w:type="gramStart"/>
      <w:r>
        <w:rPr>
          <w:rFonts w:ascii="宋体" w:eastAsia="宋体" w:hAnsi="宋体" w:cs="宋体" w:hint="eastAsia"/>
          <w:sz w:val="24"/>
        </w:rPr>
        <w:t>规</w:t>
      </w:r>
      <w:proofErr w:type="gramEnd"/>
      <w:r>
        <w:rPr>
          <w:rFonts w:ascii="宋体" w:eastAsia="宋体" w:hAnsi="宋体" w:cs="宋体" w:hint="eastAsia"/>
          <w:sz w:val="24"/>
        </w:rPr>
        <w:t>风险。探索构建法律、合</w:t>
      </w:r>
      <w:proofErr w:type="gramStart"/>
      <w:r>
        <w:rPr>
          <w:rFonts w:ascii="宋体" w:eastAsia="宋体" w:hAnsi="宋体" w:cs="宋体" w:hint="eastAsia"/>
          <w:sz w:val="24"/>
        </w:rPr>
        <w:t>规</w:t>
      </w:r>
      <w:proofErr w:type="gramEnd"/>
      <w:r>
        <w:rPr>
          <w:rFonts w:ascii="宋体" w:eastAsia="宋体" w:hAnsi="宋体" w:cs="宋体" w:hint="eastAsia"/>
          <w:sz w:val="24"/>
        </w:rPr>
        <w:t>、内控、风险管理协同运作机制，加强统筹协调，提高管理效能。推动合</w:t>
      </w:r>
      <w:proofErr w:type="gramStart"/>
      <w:r>
        <w:rPr>
          <w:rFonts w:ascii="宋体" w:eastAsia="宋体" w:hAnsi="宋体" w:cs="宋体" w:hint="eastAsia"/>
          <w:sz w:val="24"/>
        </w:rPr>
        <w:t>规</w:t>
      </w:r>
      <w:proofErr w:type="gramEnd"/>
      <w:r>
        <w:rPr>
          <w:rFonts w:ascii="宋体" w:eastAsia="宋体" w:hAnsi="宋体" w:cs="宋体" w:hint="eastAsia"/>
          <w:sz w:val="24"/>
        </w:rPr>
        <w:t>要求向各级子企业延伸，加大基层单位特别是涉外机构合</w:t>
      </w:r>
      <w:proofErr w:type="gramStart"/>
      <w:r>
        <w:rPr>
          <w:rFonts w:ascii="宋体" w:eastAsia="宋体" w:hAnsi="宋体" w:cs="宋体" w:hint="eastAsia"/>
          <w:sz w:val="24"/>
        </w:rPr>
        <w:t>规</w:t>
      </w:r>
      <w:proofErr w:type="gramEnd"/>
      <w:r>
        <w:rPr>
          <w:rFonts w:ascii="宋体" w:eastAsia="宋体" w:hAnsi="宋体" w:cs="宋体" w:hint="eastAsia"/>
          <w:sz w:val="24"/>
        </w:rPr>
        <w:t>管理力度，到2025年中央企业基本建立全面覆盖、有效运行的合</w:t>
      </w:r>
      <w:proofErr w:type="gramStart"/>
      <w:r>
        <w:rPr>
          <w:rFonts w:ascii="宋体" w:eastAsia="宋体" w:hAnsi="宋体" w:cs="宋体" w:hint="eastAsia"/>
          <w:sz w:val="24"/>
        </w:rPr>
        <w:t>规</w:t>
      </w:r>
      <w:proofErr w:type="gramEnd"/>
      <w:r>
        <w:rPr>
          <w:rFonts w:ascii="宋体" w:eastAsia="宋体" w:hAnsi="宋体" w:cs="宋体" w:hint="eastAsia"/>
          <w:sz w:val="24"/>
        </w:rPr>
        <w:t>管理体系。</w:t>
      </w:r>
    </w:p>
    <w:p w14:paraId="6A244E8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着力健全工作组织体系。加大企业法律专业领导干部培养选拔力度，在市场化国际化程度较高、法律服务需求大的国有大型骨干企业，推进符合条件的具有法律教育背景或法律职业资格的专业人才进入领导班子。持续</w:t>
      </w:r>
      <w:proofErr w:type="gramStart"/>
      <w:r>
        <w:rPr>
          <w:rFonts w:ascii="宋体" w:eastAsia="宋体" w:hAnsi="宋体" w:cs="宋体" w:hint="eastAsia"/>
          <w:sz w:val="24"/>
        </w:rPr>
        <w:t>完善总</w:t>
      </w:r>
      <w:proofErr w:type="gramEnd"/>
      <w:r>
        <w:rPr>
          <w:rFonts w:ascii="宋体" w:eastAsia="宋体" w:hAnsi="宋体" w:cs="宋体" w:hint="eastAsia"/>
          <w:sz w:val="24"/>
        </w:rPr>
        <w:t>法律顾问制度，2022年中央企业及其重要子企业全面写入章程，明确高级管理人员定位，由董事会聘任，领导法</w:t>
      </w:r>
      <w:proofErr w:type="gramStart"/>
      <w:r>
        <w:rPr>
          <w:rFonts w:ascii="宋体" w:eastAsia="宋体" w:hAnsi="宋体" w:cs="宋体" w:hint="eastAsia"/>
          <w:sz w:val="24"/>
        </w:rPr>
        <w:t>务</w:t>
      </w:r>
      <w:proofErr w:type="gramEnd"/>
      <w:r>
        <w:rPr>
          <w:rFonts w:ascii="宋体" w:eastAsia="宋体" w:hAnsi="宋体" w:cs="宋体" w:hint="eastAsia"/>
          <w:sz w:val="24"/>
        </w:rPr>
        <w:t>管理机构开展工作。坚持总法律顾问专职化、专业化方向，直接向企业主要负责人负责，2025年中央企业及其重要子企业全面配备到位，具有法律教育背景或法律职业资格的比例达到80%。加强法</w:t>
      </w:r>
      <w:proofErr w:type="gramStart"/>
      <w:r>
        <w:rPr>
          <w:rFonts w:ascii="宋体" w:eastAsia="宋体" w:hAnsi="宋体" w:cs="宋体" w:hint="eastAsia"/>
          <w:sz w:val="24"/>
        </w:rPr>
        <w:t>务</w:t>
      </w:r>
      <w:proofErr w:type="gramEnd"/>
      <w:r>
        <w:rPr>
          <w:rFonts w:ascii="宋体" w:eastAsia="宋体" w:hAnsi="宋体" w:cs="宋体" w:hint="eastAsia"/>
          <w:sz w:val="24"/>
        </w:rPr>
        <w:t>管理机构建设，中央企业及其重要子企业原则上独立设置，充实专业力量，配备与企业</w:t>
      </w:r>
      <w:r>
        <w:rPr>
          <w:rFonts w:ascii="宋体" w:eastAsia="宋体" w:hAnsi="宋体" w:cs="宋体" w:hint="eastAsia"/>
          <w:sz w:val="24"/>
        </w:rPr>
        <w:lastRenderedPageBreak/>
        <w:t>规模和需求相适应的法治工作队伍。健全法</w:t>
      </w:r>
      <w:proofErr w:type="gramStart"/>
      <w:r>
        <w:rPr>
          <w:rFonts w:ascii="宋体" w:eastAsia="宋体" w:hAnsi="宋体" w:cs="宋体" w:hint="eastAsia"/>
          <w:sz w:val="24"/>
        </w:rPr>
        <w:t>务</w:t>
      </w:r>
      <w:proofErr w:type="gramEnd"/>
      <w:r>
        <w:rPr>
          <w:rFonts w:ascii="宋体" w:eastAsia="宋体" w:hAnsi="宋体" w:cs="宋体" w:hint="eastAsia"/>
          <w:sz w:val="24"/>
        </w:rPr>
        <w:t>管理职能，持续完善合同管理、案件管理、普法宣传等职能，积极拓展制度管理、合</w:t>
      </w:r>
      <w:proofErr w:type="gramStart"/>
      <w:r>
        <w:rPr>
          <w:rFonts w:ascii="宋体" w:eastAsia="宋体" w:hAnsi="宋体" w:cs="宋体" w:hint="eastAsia"/>
          <w:sz w:val="24"/>
        </w:rPr>
        <w:t>规</w:t>
      </w:r>
      <w:proofErr w:type="gramEnd"/>
      <w:r>
        <w:rPr>
          <w:rFonts w:ascii="宋体" w:eastAsia="宋体" w:hAnsi="宋体" w:cs="宋体" w:hint="eastAsia"/>
          <w:sz w:val="24"/>
        </w:rPr>
        <w:t>管理等业务领域。加强队伍建设，拓宽法</w:t>
      </w:r>
      <w:proofErr w:type="gramStart"/>
      <w:r>
        <w:rPr>
          <w:rFonts w:ascii="宋体" w:eastAsia="宋体" w:hAnsi="宋体" w:cs="宋体" w:hint="eastAsia"/>
          <w:sz w:val="24"/>
        </w:rPr>
        <w:t>务</w:t>
      </w:r>
      <w:proofErr w:type="gramEnd"/>
      <w:r>
        <w:rPr>
          <w:rFonts w:ascii="宋体" w:eastAsia="宋体" w:hAnsi="宋体" w:cs="宋体" w:hint="eastAsia"/>
          <w:sz w:val="24"/>
        </w:rPr>
        <w:t>人员职业发展通道，完善高素质法治人才市场化选聘、管理和薪酬制度，采取有效激励方式充分调动积极性、主动性。</w:t>
      </w:r>
    </w:p>
    <w:p w14:paraId="0DE549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、全面提升依法治企能力</w:t>
      </w:r>
    </w:p>
    <w:p w14:paraId="30430B5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着力提升引领支撑能力。坚持运用法治思维和法治方式深化改革、推动发展，紧盯国企改革三年行动、中央企业“十四五”发展规划重点工作，深入分析对企业提出的新任务新要求，提前研究可能出现的法律合</w:t>
      </w:r>
      <w:proofErr w:type="gramStart"/>
      <w:r>
        <w:rPr>
          <w:rFonts w:ascii="宋体" w:eastAsia="宋体" w:hAnsi="宋体" w:cs="宋体" w:hint="eastAsia"/>
          <w:sz w:val="24"/>
        </w:rPr>
        <w:t>规</w:t>
      </w:r>
      <w:proofErr w:type="gramEnd"/>
      <w:r>
        <w:rPr>
          <w:rFonts w:ascii="宋体" w:eastAsia="宋体" w:hAnsi="宋体" w:cs="宋体" w:hint="eastAsia"/>
          <w:sz w:val="24"/>
        </w:rPr>
        <w:t>问题，及时制定应对方案和防范措施。法</w:t>
      </w:r>
      <w:proofErr w:type="gramStart"/>
      <w:r>
        <w:rPr>
          <w:rFonts w:ascii="宋体" w:eastAsia="宋体" w:hAnsi="宋体" w:cs="宋体" w:hint="eastAsia"/>
          <w:sz w:val="24"/>
        </w:rPr>
        <w:t>务</w:t>
      </w:r>
      <w:proofErr w:type="gramEnd"/>
      <w:r>
        <w:rPr>
          <w:rFonts w:ascii="宋体" w:eastAsia="宋体" w:hAnsi="宋体" w:cs="宋体" w:hint="eastAsia"/>
          <w:sz w:val="24"/>
        </w:rPr>
        <w:t>人员全程参与混合所有制改革、投资并购等重大项目，加强法律审核把关，坚持依法依规操作，严控法律合</w:t>
      </w:r>
      <w:proofErr w:type="gramStart"/>
      <w:r>
        <w:rPr>
          <w:rFonts w:ascii="宋体" w:eastAsia="宋体" w:hAnsi="宋体" w:cs="宋体" w:hint="eastAsia"/>
          <w:sz w:val="24"/>
        </w:rPr>
        <w:t>规</w:t>
      </w:r>
      <w:proofErr w:type="gramEnd"/>
      <w:r>
        <w:rPr>
          <w:rFonts w:ascii="宋体" w:eastAsia="宋体" w:hAnsi="宋体" w:cs="宋体" w:hint="eastAsia"/>
          <w:sz w:val="24"/>
        </w:rPr>
        <w:t>风险。加强对民法典等法律法规的学习研究，深入分析对企业生产经营、业务模式可能产生的影响，推动从健全制度、强化管理等方面及时</w:t>
      </w:r>
      <w:proofErr w:type="gramStart"/>
      <w:r>
        <w:rPr>
          <w:rFonts w:ascii="宋体" w:eastAsia="宋体" w:hAnsi="宋体" w:cs="宋体" w:hint="eastAsia"/>
          <w:sz w:val="24"/>
        </w:rPr>
        <w:t>作出</w:t>
      </w:r>
      <w:proofErr w:type="gramEnd"/>
      <w:r>
        <w:rPr>
          <w:rFonts w:ascii="宋体" w:eastAsia="宋体" w:hAnsi="宋体" w:cs="宋体" w:hint="eastAsia"/>
          <w:sz w:val="24"/>
        </w:rPr>
        <w:t>调整。结合企业、行业实际，对相关立法研究提出完善建议，为改革发展创造良好政策环境。</w:t>
      </w:r>
    </w:p>
    <w:p w14:paraId="171640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（十）着力提升风险管控能力。持续巩固规章制度、经济合同、重要决策法律审核制度，在确保100%审核率的同时，通过跟进采纳情况、完善后评估机制，反向查找工作不足，持续提升审核质量。常态</w:t>
      </w:r>
      <w:proofErr w:type="gramStart"/>
      <w:r>
        <w:rPr>
          <w:rFonts w:ascii="宋体" w:eastAsia="宋体" w:hAnsi="宋体" w:cs="宋体" w:hint="eastAsia"/>
          <w:sz w:val="24"/>
        </w:rPr>
        <w:t>化开展</w:t>
      </w:r>
      <w:proofErr w:type="gramEnd"/>
      <w:r>
        <w:rPr>
          <w:rFonts w:ascii="宋体" w:eastAsia="宋体" w:hAnsi="宋体" w:cs="宋体" w:hint="eastAsia"/>
          <w:sz w:val="24"/>
        </w:rPr>
        <w:t>风险隐患排查处置，针对共性风险通过提示函、案件通报、法律建议书等形式及时开展预警，有效防范化解。加强知识产权管理，完善专利、商标、商号、商业秘密等保护制度，坚决打击侵权行为，切实维护企业无形资产安全和合法权益。严格落实重大法律合</w:t>
      </w:r>
      <w:proofErr w:type="gramStart"/>
      <w:r>
        <w:rPr>
          <w:rFonts w:ascii="宋体" w:eastAsia="宋体" w:hAnsi="宋体" w:cs="宋体" w:hint="eastAsia"/>
          <w:sz w:val="24"/>
        </w:rPr>
        <w:t>规</w:t>
      </w:r>
      <w:proofErr w:type="gramEnd"/>
      <w:r>
        <w:rPr>
          <w:rFonts w:ascii="宋体" w:eastAsia="宋体" w:hAnsi="宋体" w:cs="宋体" w:hint="eastAsia"/>
          <w:sz w:val="24"/>
        </w:rPr>
        <w:t>风险事件报告制度，中央企业发生重大法律合</w:t>
      </w:r>
      <w:proofErr w:type="gramStart"/>
      <w:r>
        <w:rPr>
          <w:rFonts w:ascii="宋体" w:eastAsia="宋体" w:hAnsi="宋体" w:cs="宋体" w:hint="eastAsia"/>
          <w:sz w:val="24"/>
        </w:rPr>
        <w:t>规</w:t>
      </w:r>
      <w:proofErr w:type="gramEnd"/>
      <w:r>
        <w:rPr>
          <w:rFonts w:ascii="宋体" w:eastAsia="宋体" w:hAnsi="宋体" w:cs="宋体" w:hint="eastAsia"/>
          <w:sz w:val="24"/>
        </w:rPr>
        <w:t>风险事件，应当及时向国资委报告。</w:t>
      </w:r>
    </w:p>
    <w:p w14:paraId="4BC777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（十一）着力提升涉外保障能力。加强涉外法律合</w:t>
      </w:r>
      <w:proofErr w:type="gramStart"/>
      <w:r>
        <w:rPr>
          <w:rFonts w:ascii="宋体" w:eastAsia="宋体" w:hAnsi="宋体" w:cs="宋体" w:hint="eastAsia"/>
          <w:sz w:val="24"/>
        </w:rPr>
        <w:t>规</w:t>
      </w:r>
      <w:proofErr w:type="gramEnd"/>
      <w:r>
        <w:rPr>
          <w:rFonts w:ascii="宋体" w:eastAsia="宋体" w:hAnsi="宋体" w:cs="宋体" w:hint="eastAsia"/>
          <w:sz w:val="24"/>
        </w:rPr>
        <w:t>风险防范，健全工作机制，推动在境外投资经营规模较大、风险较高的重点企业、区域或项目设置专门机构，配备专职法</w:t>
      </w:r>
      <w:proofErr w:type="gramStart"/>
      <w:r>
        <w:rPr>
          <w:rFonts w:ascii="宋体" w:eastAsia="宋体" w:hAnsi="宋体" w:cs="宋体" w:hint="eastAsia"/>
          <w:sz w:val="24"/>
        </w:rPr>
        <w:t>务</w:t>
      </w:r>
      <w:proofErr w:type="gramEnd"/>
      <w:r>
        <w:rPr>
          <w:rFonts w:ascii="宋体" w:eastAsia="宋体" w:hAnsi="宋体" w:cs="宋体" w:hint="eastAsia"/>
          <w:sz w:val="24"/>
        </w:rPr>
        <w:t>人员，具备条件的设立总法律顾问。完善涉外重大项目和重要业务法</w:t>
      </w:r>
      <w:proofErr w:type="gramStart"/>
      <w:r>
        <w:rPr>
          <w:rFonts w:ascii="宋体" w:eastAsia="宋体" w:hAnsi="宋体" w:cs="宋体" w:hint="eastAsia"/>
          <w:sz w:val="24"/>
        </w:rPr>
        <w:t>务</w:t>
      </w:r>
      <w:proofErr w:type="gramEnd"/>
      <w:r>
        <w:rPr>
          <w:rFonts w:ascii="宋体" w:eastAsia="宋体" w:hAnsi="宋体" w:cs="宋体" w:hint="eastAsia"/>
          <w:sz w:val="24"/>
        </w:rPr>
        <w:t>人员全程参与制度，形成事前审核把关、事中跟踪控制、事后监督评估的管理闭环。深入研究、掌握运用所在国法律，加强国际规则学习研究，密切关注高风险国家和地区法律法规与政策变化，提前做好预案，切实防范风险。重视涉外法治人才培养，强化顶层设计，健全市场化选聘和激励制度，形成重视人才、吸引人才、留住人才的良好机制。</w:t>
      </w:r>
    </w:p>
    <w:p w14:paraId="3E4B20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十二）着力提升主动维权能力。加大法律纠纷案件处置力度，综合运用诉讼、仲裁、调解等多种手段妥善解决，探索建立集团内部纠纷调解机制。加强积案清理，健全激励机制，力争2025年中央企业历史遗留重大法律纠纷案件得到妥善解决。深化案件管理“压存控增、提质创效”专项工作，加强典型案件分析，及时发现管理问题，堵塞管理漏洞，推动“以案促管、以管创效”。严格落实案件报告制度，中央企业发生重大法律纠纷案件应当及时报告，按时报送年度法律纠纷案件综合分析报告。</w:t>
      </w:r>
    </w:p>
    <w:p w14:paraId="631792D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（十三）着力提升数字化管理能力。</w:t>
      </w:r>
      <w:proofErr w:type="gramStart"/>
      <w:r>
        <w:rPr>
          <w:rFonts w:ascii="宋体" w:eastAsia="宋体" w:hAnsi="宋体" w:cs="宋体" w:hint="eastAsia"/>
          <w:sz w:val="24"/>
        </w:rPr>
        <w:t>运用区</w:t>
      </w:r>
      <w:proofErr w:type="gramEnd"/>
      <w:r>
        <w:rPr>
          <w:rFonts w:ascii="宋体" w:eastAsia="宋体" w:hAnsi="宋体" w:cs="宋体" w:hint="eastAsia"/>
          <w:sz w:val="24"/>
        </w:rPr>
        <w:t>块链、大数据、云计算、人工智能等新一代信息技术，推动法</w:t>
      </w:r>
      <w:proofErr w:type="gramStart"/>
      <w:r>
        <w:rPr>
          <w:rFonts w:ascii="宋体" w:eastAsia="宋体" w:hAnsi="宋体" w:cs="宋体" w:hint="eastAsia"/>
          <w:sz w:val="24"/>
        </w:rPr>
        <w:t>务</w:t>
      </w:r>
      <w:proofErr w:type="gramEnd"/>
      <w:r>
        <w:rPr>
          <w:rFonts w:ascii="宋体" w:eastAsia="宋体" w:hAnsi="宋体" w:cs="宋体" w:hint="eastAsia"/>
          <w:sz w:val="24"/>
        </w:rPr>
        <w:t>管理从信息化向数字化升级，探索智能化应用场景，有效提高管理效能。深化合同管理、案件管理、合</w:t>
      </w:r>
      <w:proofErr w:type="gramStart"/>
      <w:r>
        <w:rPr>
          <w:rFonts w:ascii="宋体" w:eastAsia="宋体" w:hAnsi="宋体" w:cs="宋体" w:hint="eastAsia"/>
          <w:sz w:val="24"/>
        </w:rPr>
        <w:t>规</w:t>
      </w:r>
      <w:proofErr w:type="gramEnd"/>
      <w:r>
        <w:rPr>
          <w:rFonts w:ascii="宋体" w:eastAsia="宋体" w:hAnsi="宋体" w:cs="宋体" w:hint="eastAsia"/>
          <w:sz w:val="24"/>
        </w:rPr>
        <w:t>管理等重点领域信息化、数字化建设，将法律审核嵌入重大决策、重要业务管理流程，通过大数据等手段，实现法律合</w:t>
      </w:r>
      <w:proofErr w:type="gramStart"/>
      <w:r>
        <w:rPr>
          <w:rFonts w:ascii="宋体" w:eastAsia="宋体" w:hAnsi="宋体" w:cs="宋体" w:hint="eastAsia"/>
          <w:sz w:val="24"/>
        </w:rPr>
        <w:t>规</w:t>
      </w:r>
      <w:proofErr w:type="gramEnd"/>
      <w:r>
        <w:rPr>
          <w:rFonts w:ascii="宋体" w:eastAsia="宋体" w:hAnsi="宋体" w:cs="宋体" w:hint="eastAsia"/>
          <w:sz w:val="24"/>
        </w:rPr>
        <w:t>风险在线识别、分析、评估、防控。推动法</w:t>
      </w:r>
      <w:proofErr w:type="gramStart"/>
      <w:r>
        <w:rPr>
          <w:rFonts w:ascii="宋体" w:eastAsia="宋体" w:hAnsi="宋体" w:cs="宋体" w:hint="eastAsia"/>
          <w:sz w:val="24"/>
        </w:rPr>
        <w:t>务</w:t>
      </w:r>
      <w:proofErr w:type="gramEnd"/>
      <w:r>
        <w:rPr>
          <w:rFonts w:ascii="宋体" w:eastAsia="宋体" w:hAnsi="宋体" w:cs="宋体" w:hint="eastAsia"/>
          <w:sz w:val="24"/>
        </w:rPr>
        <w:t>管理系统向各级子企业和重要项目延伸，2025年实现上下贯通、全面覆盖。推动法</w:t>
      </w:r>
      <w:proofErr w:type="gramStart"/>
      <w:r>
        <w:rPr>
          <w:rFonts w:ascii="宋体" w:eastAsia="宋体" w:hAnsi="宋体" w:cs="宋体" w:hint="eastAsia"/>
          <w:sz w:val="24"/>
        </w:rPr>
        <w:t>务</w:t>
      </w:r>
      <w:proofErr w:type="gramEnd"/>
      <w:r>
        <w:rPr>
          <w:rFonts w:ascii="宋体" w:eastAsia="宋体" w:hAnsi="宋体" w:cs="宋体" w:hint="eastAsia"/>
          <w:sz w:val="24"/>
        </w:rPr>
        <w:t>管理系统与财务、产权、投资等系统的互联互通，做好与国资国企在线监管系统的对接，促进业务数据相互融合、风险防范共同响应。</w:t>
      </w:r>
    </w:p>
    <w:p w14:paraId="1A6A13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、保障任务顺利完成</w:t>
      </w:r>
    </w:p>
    <w:p w14:paraId="727E19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四）加强组织领导。充分发挥法治建设领导机构作用，将法治工作纳入中央企业“十四五”发展规划和年度计划统筹谋划、同步推进，加强部门协同，强化人员、资金等保障，形成工作合力。制定本企业未来五年法治建设实施方案，与“十四五”规划相衔接，提出目标任务，明确责任分工，细化工作措施。建立法治工作专项考评制度，将法治建设成效纳入对子企业考核体系。统筹推进法治工作与违规经营投资责任追究等监督工作，完善内部协同机制，提高责任追究体系效能。</w:t>
      </w:r>
      <w:proofErr w:type="gramStart"/>
      <w:r>
        <w:rPr>
          <w:rFonts w:ascii="宋体" w:eastAsia="宋体" w:hAnsi="宋体" w:cs="宋体" w:hint="eastAsia"/>
          <w:sz w:val="24"/>
        </w:rPr>
        <w:t>加大问</w:t>
      </w:r>
      <w:proofErr w:type="gramEnd"/>
      <w:r>
        <w:rPr>
          <w:rFonts w:ascii="宋体" w:eastAsia="宋体" w:hAnsi="宋体" w:cs="宋体" w:hint="eastAsia"/>
          <w:sz w:val="24"/>
        </w:rPr>
        <w:t>责力度，对未经法律审核或未采纳正确法律意见、违法违规经营投资决策造成损失或其他严重不良后果的，严肃追究责任。</w:t>
      </w:r>
    </w:p>
    <w:p w14:paraId="6A9838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（十五）持续深化对标。综合分析国际大企业优秀实践，研究归纳世界一流企业法</w:t>
      </w:r>
      <w:proofErr w:type="gramStart"/>
      <w:r>
        <w:rPr>
          <w:rFonts w:ascii="宋体" w:eastAsia="宋体" w:hAnsi="宋体" w:cs="宋体" w:hint="eastAsia"/>
          <w:sz w:val="24"/>
        </w:rPr>
        <w:t>务</w:t>
      </w:r>
      <w:proofErr w:type="gramEnd"/>
      <w:r>
        <w:rPr>
          <w:rFonts w:ascii="宋体" w:eastAsia="宋体" w:hAnsi="宋体" w:cs="宋体" w:hint="eastAsia"/>
          <w:sz w:val="24"/>
        </w:rPr>
        <w:t>管理基本要素和具体指标。立足行业特点、发展阶段、管理基础等实际，有针对性地制定对标举措，确保目标量化、任务明确、措施有力。将法</w:t>
      </w:r>
      <w:proofErr w:type="gramStart"/>
      <w:r>
        <w:rPr>
          <w:rFonts w:ascii="宋体" w:eastAsia="宋体" w:hAnsi="宋体" w:cs="宋体" w:hint="eastAsia"/>
          <w:sz w:val="24"/>
        </w:rPr>
        <w:t>务</w:t>
      </w:r>
      <w:proofErr w:type="gramEnd"/>
      <w:r>
        <w:rPr>
          <w:rFonts w:ascii="宋体" w:eastAsia="宋体" w:hAnsi="宋体" w:cs="宋体" w:hint="eastAsia"/>
          <w:sz w:val="24"/>
        </w:rPr>
        <w:t>管理对标工作纳入本企业对</w:t>
      </w:r>
      <w:proofErr w:type="gramStart"/>
      <w:r>
        <w:rPr>
          <w:rFonts w:ascii="宋体" w:eastAsia="宋体" w:hAnsi="宋体" w:cs="宋体" w:hint="eastAsia"/>
          <w:sz w:val="24"/>
        </w:rPr>
        <w:t>标世界</w:t>
      </w:r>
      <w:proofErr w:type="gramEnd"/>
      <w:r>
        <w:rPr>
          <w:rFonts w:ascii="宋体" w:eastAsia="宋体" w:hAnsi="宋体" w:cs="宋体" w:hint="eastAsia"/>
          <w:sz w:val="24"/>
        </w:rPr>
        <w:t>一流管理提升行动。国资</w:t>
      </w:r>
      <w:proofErr w:type="gramStart"/>
      <w:r>
        <w:rPr>
          <w:rFonts w:ascii="宋体" w:eastAsia="宋体" w:hAnsi="宋体" w:cs="宋体" w:hint="eastAsia"/>
          <w:sz w:val="24"/>
        </w:rPr>
        <w:t>委创建</w:t>
      </w:r>
      <w:proofErr w:type="gramEnd"/>
      <w:r>
        <w:rPr>
          <w:rFonts w:ascii="宋体" w:eastAsia="宋体" w:hAnsi="宋体" w:cs="宋体" w:hint="eastAsia"/>
          <w:sz w:val="24"/>
        </w:rPr>
        <w:t>世界一流示范企业和</w:t>
      </w:r>
      <w:r>
        <w:rPr>
          <w:rFonts w:ascii="宋体" w:eastAsia="宋体" w:hAnsi="宋体" w:cs="宋体" w:hint="eastAsia"/>
          <w:sz w:val="24"/>
        </w:rPr>
        <w:lastRenderedPageBreak/>
        <w:t>国有资本投资、运营公司要充分发挥引领作用，率先在法治工作上达到世界一流水平。其他中央企业要全面开展对标，努力补齐短板，加快提升依法合</w:t>
      </w:r>
      <w:proofErr w:type="gramStart"/>
      <w:r>
        <w:rPr>
          <w:rFonts w:ascii="宋体" w:eastAsia="宋体" w:hAnsi="宋体" w:cs="宋体" w:hint="eastAsia"/>
          <w:sz w:val="24"/>
        </w:rPr>
        <w:t>规</w:t>
      </w:r>
      <w:proofErr w:type="gramEnd"/>
      <w:r>
        <w:rPr>
          <w:rFonts w:ascii="宋体" w:eastAsia="宋体" w:hAnsi="宋体" w:cs="宋体" w:hint="eastAsia"/>
          <w:sz w:val="24"/>
        </w:rPr>
        <w:t>经营管理水平。</w:t>
      </w:r>
    </w:p>
    <w:p w14:paraId="6CBD459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六）强化指导交流。国资委将根据企业法治建设实施方案，定期组织调研督导，深入了解落实情况，推动解决难点问题。完善法治讲堂、协作组等学习交流机制，聚焦重点难点，创新方式方法，增强交流实效。中央企业要进一步加强对子企业法治建设的督促指导，通过加大考核力度、细化工作要求、定期开展调研等方式，层层传导压力，确保目标任务在子企业真正落实到位。</w:t>
      </w:r>
    </w:p>
    <w:p w14:paraId="3424AF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（十七）厚植法治文化。深入学习宣传习近平法治思想，将培育法治文化作为法治建设的基础工程，使依法合</w:t>
      </w:r>
      <w:proofErr w:type="gramStart"/>
      <w:r>
        <w:rPr>
          <w:rFonts w:ascii="宋体" w:eastAsia="宋体" w:hAnsi="宋体" w:cs="宋体" w:hint="eastAsia"/>
          <w:sz w:val="24"/>
        </w:rPr>
        <w:t>规</w:t>
      </w:r>
      <w:proofErr w:type="gramEnd"/>
      <w:r>
        <w:rPr>
          <w:rFonts w:ascii="宋体" w:eastAsia="宋体" w:hAnsi="宋体" w:cs="宋体" w:hint="eastAsia"/>
          <w:sz w:val="24"/>
        </w:rPr>
        <w:t>、守法诚信成为全体员工的自觉行为和基本准则。落实“八五”普法要求，进一步推进法治宣传教育制度化、常态化、多样化，将法治学习作为干部职工入职学习、职业培训、继续教育的必修课，广泛宣传与企业经营管理和职工切身利益密切相关的法律法规。总结法治建设典型做法、成功经验和进展成果，通过开展选树典型、评比表彰、集中宣传等形式，营造学习先进、争当先进、赶超先进的良好氛围。</w:t>
      </w:r>
    </w:p>
    <w:p w14:paraId="7E6F25C2"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地方国有资产监督管理机构参照本意见，积极推进所出资企业法治建设。</w:t>
      </w:r>
      <w:r>
        <w:rPr>
          <w:rFonts w:ascii="宋体" w:eastAsia="宋体" w:hAnsi="宋体" w:cs="宋体" w:hint="eastAsia"/>
          <w:sz w:val="24"/>
        </w:rPr>
        <w:tab/>
      </w:r>
    </w:p>
    <w:p w14:paraId="09088182"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128.《全国银行业保险业法治建设实施方案》</w:t>
      </w:r>
    </w:p>
    <w:p w14:paraId="265D1FC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发文机构：中国银行保险监督管理委员会(已撤销)</w:t>
      </w:r>
      <w:r>
        <w:rPr>
          <w:rFonts w:ascii="宋体" w:eastAsia="宋体" w:hAnsi="宋体" w:cs="宋体" w:hint="eastAsia"/>
          <w:sz w:val="24"/>
        </w:rPr>
        <w:tab/>
      </w:r>
    </w:p>
    <w:p w14:paraId="5D9927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文号：银保监发〔2022〕7号</w:t>
      </w:r>
    </w:p>
    <w:p w14:paraId="57897B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深入贯彻习近平法治思想，落实《法治中国建设规划（2020—2025年）》《法治社会建设实施纲要（2020—2025年）》《法治政府建设实施纲要（2021—2025年）》要求，全面推进银行业保险业法治建设工作，制定本实施方案。</w:t>
      </w:r>
    </w:p>
    <w:p w14:paraId="50630C75"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一</w:t>
      </w:r>
      <w:proofErr w:type="gramEnd"/>
      <w:r>
        <w:rPr>
          <w:rFonts w:ascii="宋体" w:eastAsia="宋体" w:hAnsi="宋体" w:cs="宋体" w:hint="eastAsia"/>
          <w:sz w:val="24"/>
        </w:rPr>
        <w:t> 、总体要求</w:t>
      </w:r>
    </w:p>
    <w:p w14:paraId="02E1BF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指导思想。高举中国特色社会主义伟大旗帜，坚持以马克思列宁主义、毛泽东思想、邓小平理论、“三个代表”重要思想、科学发展观、习近平新时代中国特色社会主义思想为指导，全面贯彻党的十九大和十九届历次全会精神，全面贯彻习近平法治思想，增强“四个意识”、坚定“四个自信”、做到“两个维护”，认真落实党中央、国务院决策部署，深入推进银行业保险业法治建设，建立健全具有中国特色的现代金融监管体系，为全面建设社会主义现代化国家、实现中华民族伟大复兴的中国</w:t>
      </w:r>
      <w:proofErr w:type="gramStart"/>
      <w:r>
        <w:rPr>
          <w:rFonts w:ascii="宋体" w:eastAsia="宋体" w:hAnsi="宋体" w:cs="宋体" w:hint="eastAsia"/>
          <w:sz w:val="24"/>
        </w:rPr>
        <w:t>梦贡献</w:t>
      </w:r>
      <w:proofErr w:type="gramEnd"/>
      <w:r>
        <w:rPr>
          <w:rFonts w:ascii="宋体" w:eastAsia="宋体" w:hAnsi="宋体" w:cs="宋体" w:hint="eastAsia"/>
          <w:sz w:val="24"/>
        </w:rPr>
        <w:t>监管法治力量。</w:t>
      </w:r>
    </w:p>
    <w:p w14:paraId="297E05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主要原则。坚持党中央对金融工作的集中统一领导，确保银行业保险业法治建设正确方向；坚持以人民为中心，始终把维护人民群众根本利益作为依法监管的出发点和落脚点；坚持问题导向，运用法治方式深化改革、推动发展、化解矛盾、应对风险，切实解决银行业保险业法治领域的突出问题，确保各项制度设计行得通、真管用；坚持改革创新，在法治下推动改革，在改革中完善法治，在法治轨道上推进金融监管体系和治理水平现代化；坚持统筹推进，将银行业保险业法治建设与监管中心工作同部署、同推进、同督促，强化法治建设的整体推动、协同发展。</w:t>
      </w:r>
    </w:p>
    <w:p w14:paraId="62A896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（三）总体目标。到2025年，银行业保险业法律体系更加完备，各项监管行为和金融活动全部纳入法治轨道，权责一致、全面覆盖、统筹协调、有力有效的现代金融监管体系日益健全，机构守法合规程</w:t>
      </w:r>
      <w:proofErr w:type="gramStart"/>
      <w:r>
        <w:rPr>
          <w:rFonts w:ascii="宋体" w:eastAsia="宋体" w:hAnsi="宋体" w:cs="宋体" w:hint="eastAsia"/>
          <w:sz w:val="24"/>
        </w:rPr>
        <w:t>度显著</w:t>
      </w:r>
      <w:proofErr w:type="gramEnd"/>
      <w:r>
        <w:rPr>
          <w:rFonts w:ascii="宋体" w:eastAsia="宋体" w:hAnsi="宋体" w:cs="宋体" w:hint="eastAsia"/>
          <w:sz w:val="24"/>
        </w:rPr>
        <w:t>增强，“八五”普法规划实施完成，法治观念深入人心，金融监管透明度和法治化水平显著提升。</w:t>
      </w:r>
    </w:p>
    <w:p w14:paraId="7897CD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、增强法治观念</w:t>
      </w:r>
    </w:p>
    <w:p w14:paraId="72B60AB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四）坚持把宪法作为根本活动准则。坚持宪法法律至上，维护国家法制的统一和尊严，一切法律法规规章规范性文件都不得同宪法相抵触，一切违反宪法和法律的行为都必须予以追究。遵循宪法宗旨和立法精神，勇于担当，主动作为。普及宪法知识，弘扬宪法精神，全面落实宪法宣誓制度。</w:t>
      </w:r>
    </w:p>
    <w:p w14:paraId="4CC6F7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（五）牢固树立法治意识。坚持法律面前人人平等、权由法定、权</w:t>
      </w:r>
      <w:proofErr w:type="gramStart"/>
      <w:r>
        <w:rPr>
          <w:rFonts w:ascii="宋体" w:eastAsia="宋体" w:hAnsi="宋体" w:cs="宋体" w:hint="eastAsia"/>
          <w:sz w:val="24"/>
        </w:rPr>
        <w:t>依法使</w:t>
      </w:r>
      <w:proofErr w:type="gramEnd"/>
      <w:r>
        <w:rPr>
          <w:rFonts w:ascii="宋体" w:eastAsia="宋体" w:hAnsi="宋体" w:cs="宋体" w:hint="eastAsia"/>
          <w:sz w:val="24"/>
        </w:rPr>
        <w:t>的基本原则。坚持依法治国和以德治国相结合，把法律规范和道德规范结合起来，以道德滋养法治，以法治保障道德。坚持程序正义和结果正义并重，行政执法要使人民群众感受到过程的公平性和合理性，做到结果正当和过程正当融为一体，密不可分。非因法定事由、非经法定程序不得限制、剥夺公民、法人和其他组织的财产和权利。</w:t>
      </w:r>
    </w:p>
    <w:p w14:paraId="08140F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w:t>
      </w:r>
      <w:proofErr w:type="gramStart"/>
      <w:r>
        <w:rPr>
          <w:rFonts w:ascii="宋体" w:eastAsia="宋体" w:hAnsi="宋体" w:cs="宋体" w:hint="eastAsia"/>
          <w:sz w:val="24"/>
        </w:rPr>
        <w:t>做尊法学</w:t>
      </w:r>
      <w:proofErr w:type="gramEnd"/>
      <w:r>
        <w:rPr>
          <w:rFonts w:ascii="宋体" w:eastAsia="宋体" w:hAnsi="宋体" w:cs="宋体" w:hint="eastAsia"/>
          <w:sz w:val="24"/>
        </w:rPr>
        <w:t>法守法用法的模范。充分发挥领导干部带头尊法学法守法用法对全系统的示范带动作用，牢记法律红线不可逾越、法律底线不可触碰。落实恪尽职守、敢于监管、精于监管、</w:t>
      </w:r>
      <w:proofErr w:type="gramStart"/>
      <w:r>
        <w:rPr>
          <w:rFonts w:ascii="宋体" w:eastAsia="宋体" w:hAnsi="宋体" w:cs="宋体" w:hint="eastAsia"/>
          <w:sz w:val="24"/>
        </w:rPr>
        <w:t>严格问</w:t>
      </w:r>
      <w:proofErr w:type="gramEnd"/>
      <w:r>
        <w:rPr>
          <w:rFonts w:ascii="宋体" w:eastAsia="宋体" w:hAnsi="宋体" w:cs="宋体" w:hint="eastAsia"/>
          <w:sz w:val="24"/>
        </w:rPr>
        <w:t>责的要求。不断完善党委中心组集体学法制度，推动领导干部学法用法制度化。各级领导干部要以身作则，以法治意识约束监管行为，确保在法治的框架内想问题、做决策、办事情。加强对法律法规的熟练应用，提升全系统依法监管的意识和能力。</w:t>
      </w:r>
    </w:p>
    <w:p w14:paraId="049EBB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深入开展普法工作。把学习宣传习近平法治思想作为行业普法的首要政治任务，深入学习宣传习近平法治思想的重大意义、丰富内涵、精神实质和实践要求。落实《全国银行业保险业开展法治宣传教育的第八个五年规划（2021—2025年）》要求，坚持法治宣传教育与法治实践相结合，弘扬法治文化，让法治成为监管干部、从业人员和金融消费者的基本思维方式和行为习惯。通过监督检查、行政处罚、案件警示，持续引导银行保险机构从业人员牢固树立依法经营意识与合</w:t>
      </w:r>
      <w:proofErr w:type="gramStart"/>
      <w:r>
        <w:rPr>
          <w:rFonts w:ascii="宋体" w:eastAsia="宋体" w:hAnsi="宋体" w:cs="宋体" w:hint="eastAsia"/>
          <w:sz w:val="24"/>
        </w:rPr>
        <w:t>规</w:t>
      </w:r>
      <w:proofErr w:type="gramEnd"/>
      <w:r>
        <w:rPr>
          <w:rFonts w:ascii="宋体" w:eastAsia="宋体" w:hAnsi="宋体" w:cs="宋体" w:hint="eastAsia"/>
          <w:sz w:val="24"/>
        </w:rPr>
        <w:t>理念。扎实开展金融消费者教育保护工作，揭示金融风险、普及金融知识，提升金融消费者依法维权意识和风险识别能力。</w:t>
      </w:r>
    </w:p>
    <w:p w14:paraId="58855D1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、优化监管职能</w:t>
      </w:r>
    </w:p>
    <w:p w14:paraId="0F51BB9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推动监管机构职能优化。提高监管质效，推动监管体制改革，使机构设置更加科学、职能更加优化、权责更加协同。全面实行政府权责清单制度，促进依法行政、规范权力运行、推动政府职能转变。把更多监管资源从事前审批转</w:t>
      </w:r>
      <w:r>
        <w:rPr>
          <w:rFonts w:ascii="宋体" w:eastAsia="宋体" w:hAnsi="宋体" w:cs="宋体" w:hint="eastAsia"/>
          <w:sz w:val="24"/>
        </w:rPr>
        <w:lastRenderedPageBreak/>
        <w:t>到事中事后监管上来，根据不同机构、行业特点和风险程度确定监管内容、方式和频次，提升监管能力水平，强化监管科学性、精准性、有效性。结合问题导向、风险导向，在现场检查工作中稳步推进“双随机、</w:t>
      </w:r>
      <w:proofErr w:type="gramStart"/>
      <w:r>
        <w:rPr>
          <w:rFonts w:ascii="宋体" w:eastAsia="宋体" w:hAnsi="宋体" w:cs="宋体" w:hint="eastAsia"/>
          <w:sz w:val="24"/>
        </w:rPr>
        <w:t>一</w:t>
      </w:r>
      <w:proofErr w:type="gramEnd"/>
      <w:r>
        <w:rPr>
          <w:rFonts w:ascii="宋体" w:eastAsia="宋体" w:hAnsi="宋体" w:cs="宋体" w:hint="eastAsia"/>
          <w:sz w:val="24"/>
        </w:rPr>
        <w:t>公开”。</w:t>
      </w:r>
    </w:p>
    <w:p w14:paraId="4D9731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九）推进“放管服”改革，持续优化法治化营商环境。围绕贯彻新发展理念、构建新发展格局，打造稳定公平透明、可预期的法治化营商环境。深入实施《优化营商环境条例》。切实防止滥用行政权力排除、限制市场竞争行为，强化公平竞争审查机制。持续推动银行业保险业简政放权，进一步完善市场准入规则、精简市场准入事项、缩减审批范围、提高行政审批效率。坚决防止以备案、登记、行政确认、征求意见等方式变相设置行政许可事项。</w:t>
      </w:r>
    </w:p>
    <w:p w14:paraId="3C56CA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（十）提升金融支持服务实体经济质效。坚决贯彻落实国家宏观调控政策与支持实体经济发展的各项工作要求，支持国家重大战略发展和产业结构转型升级，依法合</w:t>
      </w:r>
      <w:proofErr w:type="gramStart"/>
      <w:r>
        <w:rPr>
          <w:rFonts w:ascii="宋体" w:eastAsia="宋体" w:hAnsi="宋体" w:cs="宋体" w:hint="eastAsia"/>
          <w:sz w:val="24"/>
        </w:rPr>
        <w:t>规</w:t>
      </w:r>
      <w:proofErr w:type="gramEnd"/>
      <w:r>
        <w:rPr>
          <w:rFonts w:ascii="宋体" w:eastAsia="宋体" w:hAnsi="宋体" w:cs="宋体" w:hint="eastAsia"/>
          <w:sz w:val="24"/>
        </w:rPr>
        <w:t>配合地方政府化解大型企业债务风险，支持科技创新，大力推进普惠金融发展，形成全面支持实体经济发展的战略新格局。</w:t>
      </w:r>
    </w:p>
    <w:p w14:paraId="689B87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一）健全突发事件应对体系。提高突发事件应对法治化水平，研究完善银行业保险业应对突发事件长效机制，强化突发事件监测预警、信息报告、应急响应、恢复重建、调查评估等机制作用。完善银行保险机构应急保障机制，持续做好支持抗击疫情等各项工作，确保金融秩序不乱、服务不断。</w:t>
      </w:r>
    </w:p>
    <w:p w14:paraId="31BA39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二）强化监管协同。强化政策协同，着力加强审慎监管与行为监管，监管政策与货币政策、财政政策、产业政策的协同。强化机制协同，推动建立跨部门专项工作机制，与人民银行等相关部门深入合作，共同行动，形成监管合力。强化工作协同，在反垄断和反不正当竞争、反洗钱、反欺诈、打击非法集资、保护金融消费者等方面，加强与有关部门协作。加强行政执法与刑事司法有机衔接，着力解决金融腐败与业务违法违规交织问题，坚决克服有案不移、有案难移、以罚代刑等现象。</w:t>
      </w:r>
    </w:p>
    <w:p w14:paraId="502BC37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 、健全法律体系</w:t>
      </w:r>
    </w:p>
    <w:p w14:paraId="39F7D1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（十三）推进重点领域立法。准确把握行业改革发展新形势，统筹推进各项立法工作。全力做好银行业监督管理法修改工作；持续推动信托公司条例制定工</w:t>
      </w:r>
      <w:r>
        <w:rPr>
          <w:rFonts w:ascii="宋体" w:eastAsia="宋体" w:hAnsi="宋体" w:cs="宋体" w:hint="eastAsia"/>
          <w:sz w:val="24"/>
        </w:rPr>
        <w:lastRenderedPageBreak/>
        <w:t>作，以及商业银行法、保险法、信托法、金融资产管理公司条例修改工作；加快推进金融稳定法立法工作。加强新兴领域、涉外领域立法，完善金融领域反垄断长效机制。</w:t>
      </w:r>
    </w:p>
    <w:p w14:paraId="732096B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四）完善立法工作机制。坚持科学立法、民主立法、依法立法，实现立法质量和效率并重并进，增强法律制度的针对性、及时性、系统性、可操作性。在制定修改法律、行政法规、规章、规范性文件过程中充分听取银行保险机构、专家学者以及行业协会意见。坚持立法和改革相衔接相促进，做到重大改革于法有据。着力解决违法成本过低、处罚力度不足问题。</w:t>
      </w:r>
    </w:p>
    <w:p w14:paraId="4442F5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五）加强规章、规范性文件管理。依法制定行政规章、规范性文件，严禁越权发文、严控发文数量、严格制发程序。全面落实规章、规范性文件合法性审核机制，严格落实规范性文件备案审查制度。提高法律制度的统一性，防止政出多门、政策效应相互抵消，持续做好规章、规范性文件动态清理工作。</w:t>
      </w:r>
    </w:p>
    <w:p w14:paraId="57DE59F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 、提升执法效能</w:t>
      </w:r>
    </w:p>
    <w:p w14:paraId="082EA4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（十六）坚持依法决策。系统各单位负责人要牢固树立依法决策意识，严格遵循法定权限和程序</w:t>
      </w:r>
      <w:proofErr w:type="gramStart"/>
      <w:r>
        <w:rPr>
          <w:rFonts w:ascii="宋体" w:eastAsia="宋体" w:hAnsi="宋体" w:cs="宋体" w:hint="eastAsia"/>
          <w:sz w:val="24"/>
        </w:rPr>
        <w:t>作出</w:t>
      </w:r>
      <w:proofErr w:type="gramEnd"/>
      <w:r>
        <w:rPr>
          <w:rFonts w:ascii="宋体" w:eastAsia="宋体" w:hAnsi="宋体" w:cs="宋体" w:hint="eastAsia"/>
          <w:sz w:val="24"/>
        </w:rPr>
        <w:t>决策，确保决策内容符合法律法规规定，主要负责人</w:t>
      </w:r>
      <w:proofErr w:type="gramStart"/>
      <w:r>
        <w:rPr>
          <w:rFonts w:ascii="宋体" w:eastAsia="宋体" w:hAnsi="宋体" w:cs="宋体" w:hint="eastAsia"/>
          <w:sz w:val="24"/>
        </w:rPr>
        <w:t>作出</w:t>
      </w:r>
      <w:proofErr w:type="gramEnd"/>
      <w:r>
        <w:rPr>
          <w:rFonts w:ascii="宋体" w:eastAsia="宋体" w:hAnsi="宋体" w:cs="宋体" w:hint="eastAsia"/>
          <w:sz w:val="24"/>
        </w:rPr>
        <w:t>重大决策前，应当听取合法性审查机构的意见，注重听取法律顾问、公职律师或有关专家学者的意见。严格执行《重大行政决策程序暂行条例》，确保所有重大行政决策都严格履行合法性审查和集体讨论决定程序。建立健全重大行政决策跟踪反馈制度，依法推进决策后评估工作，将决策后评估结果作为调整重大行政决策的重要依据。严格落实重大行政决策终身责任追究制度和责任倒查机制。</w:t>
      </w:r>
    </w:p>
    <w:p w14:paraId="007C37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七）完善执法程序。全面严格落实行政执法公示、执法全过程记录、重大执法决定法治审核制度。统一行政执法人员资格管理，推动系统执法人员资格考试、证件制发、在岗轮训等工作。完善非现场监管和现场检查制度，严格执行工作纪律、保密纪律、廉洁纪律，把监管活动始终置于法律的监督和约束之下。统一行政执法案卷、文书基本标准，提高执法案卷、文书规范化水平。完善行政执法文书送达制度。全面落实行政裁量权基准制度。</w:t>
      </w:r>
    </w:p>
    <w:p w14:paraId="385FAA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（十八）提高行政处罚力度，创新行政执法方式。完善行政处罚制度，确保</w:t>
      </w:r>
      <w:r>
        <w:rPr>
          <w:rFonts w:ascii="宋体" w:eastAsia="宋体" w:hAnsi="宋体" w:cs="宋体" w:hint="eastAsia"/>
          <w:sz w:val="24"/>
        </w:rPr>
        <w:lastRenderedPageBreak/>
        <w:t>行政处罚依法公开公正，提高取证规范性，依法保障行政当事人陈述、申辩、听证等权力。坚持过罚相当，罚款数额要与违法行为的事实、性质、情节以及社会危害程度相当。努力做到宽严相济、法理相容，违法行为轻微</w:t>
      </w:r>
      <w:proofErr w:type="gramStart"/>
      <w:r>
        <w:rPr>
          <w:rFonts w:ascii="宋体" w:eastAsia="宋体" w:hAnsi="宋体" w:cs="宋体" w:hint="eastAsia"/>
          <w:sz w:val="24"/>
        </w:rPr>
        <w:t>且及时</w:t>
      </w:r>
      <w:proofErr w:type="gramEnd"/>
      <w:r>
        <w:rPr>
          <w:rFonts w:ascii="宋体" w:eastAsia="宋体" w:hAnsi="宋体" w:cs="宋体" w:hint="eastAsia"/>
          <w:sz w:val="24"/>
        </w:rPr>
        <w:t>改正，没有造成危害后果的，不予行政处罚。加强以案释法，定期发布指导案例。推动联合监管，对处罚中发现的违反其他部门规定的违法违规行为，依法移送处理。加强多方联动，及时主动向纪检部门、组织部门共享行政处罚信息。</w:t>
      </w:r>
    </w:p>
    <w:p w14:paraId="491EAE1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 、化解矛盾纠纷</w:t>
      </w:r>
    </w:p>
    <w:p w14:paraId="390905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十九）保护消费者合法权益。依法加强消费者权益保护，加大重点领域执法力度。推动完善金融机构处理投诉、第三方机构组织调解、诉讼与调解相衔接的纠纷多元化解机制。推动银行保险机构发挥主体责任，畅通投诉渠道，做好投诉处理工作，加强源头治理，规范经营行为，提升服务能力和水平。完善银行业保险业纠纷在线调解和</w:t>
      </w:r>
      <w:proofErr w:type="gramStart"/>
      <w:r>
        <w:rPr>
          <w:rFonts w:ascii="宋体" w:eastAsia="宋体" w:hAnsi="宋体" w:cs="宋体" w:hint="eastAsia"/>
          <w:sz w:val="24"/>
        </w:rPr>
        <w:t>诉调</w:t>
      </w:r>
      <w:proofErr w:type="gramEnd"/>
      <w:r>
        <w:rPr>
          <w:rFonts w:ascii="宋体" w:eastAsia="宋体" w:hAnsi="宋体" w:cs="宋体" w:hint="eastAsia"/>
          <w:sz w:val="24"/>
        </w:rPr>
        <w:t>对接机制，加强行业调解与司法裁判协作联动，推动新时代“枫桥经验”在银行业保险业落地见效。</w:t>
      </w:r>
    </w:p>
    <w:p w14:paraId="2A30E0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发挥行政复议化解行政争议主渠道作用。增强行政复议的专业性、透明度和公信力，着力发挥行政复议的监督功能和化解行政纠纷的重要作用，发挥行政复议制度效能，依法纠正行政复议过程中发现的银行保险机构故意侵害当事人合法权益的违法行为。全面推进行政复议规范化、专业化、信息化建设，不断提高办案质量和效率。健全优化行政复议审理机制，重大、疑难、复杂案件由行政复议委员会审议决定。</w:t>
      </w:r>
    </w:p>
    <w:p w14:paraId="30220DA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一）提升行政应诉工作能力。主动接受司法监督，认真执行行政机关负责人出庭应诉制度，支持法院依法受理和审理行政案件，切实履行生效裁判。认真做好司法建议、检察建议落实和反馈工作。高度重视行政处罚、行政复议、信访举报引起的行政诉讼，提升对行政审判典型案例的分析研究水平，从源头上预防和减少行政纠纷。</w:t>
      </w:r>
    </w:p>
    <w:p w14:paraId="2571C5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 、强化权力监督</w:t>
      </w:r>
    </w:p>
    <w:p w14:paraId="18C52E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（二十二）完善监督机制。加强党内监督，主动接受人大监督、民主监督、行政监督、司法监督、群众监督、舆论监督，充分发挥审计监督、财会监督、执</w:t>
      </w:r>
      <w:r>
        <w:rPr>
          <w:rFonts w:ascii="宋体" w:eastAsia="宋体" w:hAnsi="宋体" w:cs="宋体" w:hint="eastAsia"/>
          <w:sz w:val="24"/>
        </w:rPr>
        <w:lastRenderedPageBreak/>
        <w:t>法监督、行政复议等监督作用。自觉接受纪检监察机关监督，对监管工作人员违法行为严格追究法律责任。坚持严管和厚爱结合、激励和约束并重，做到依规依纪依法严肃问责、规范问责、精准问责、慎重问责，既要</w:t>
      </w:r>
      <w:proofErr w:type="gramStart"/>
      <w:r>
        <w:rPr>
          <w:rFonts w:ascii="宋体" w:eastAsia="宋体" w:hAnsi="宋体" w:cs="宋体" w:hint="eastAsia"/>
          <w:sz w:val="24"/>
        </w:rPr>
        <w:t>防止问</w:t>
      </w:r>
      <w:proofErr w:type="gramEnd"/>
      <w:r>
        <w:rPr>
          <w:rFonts w:ascii="宋体" w:eastAsia="宋体" w:hAnsi="宋体" w:cs="宋体" w:hint="eastAsia"/>
          <w:sz w:val="24"/>
        </w:rPr>
        <w:t>责不力，也要</w:t>
      </w:r>
      <w:proofErr w:type="gramStart"/>
      <w:r>
        <w:rPr>
          <w:rFonts w:ascii="宋体" w:eastAsia="宋体" w:hAnsi="宋体" w:cs="宋体" w:hint="eastAsia"/>
          <w:sz w:val="24"/>
        </w:rPr>
        <w:t>防止问</w:t>
      </w:r>
      <w:proofErr w:type="gramEnd"/>
      <w:r>
        <w:rPr>
          <w:rFonts w:ascii="宋体" w:eastAsia="宋体" w:hAnsi="宋体" w:cs="宋体" w:hint="eastAsia"/>
          <w:sz w:val="24"/>
        </w:rPr>
        <w:t>责泛化、简单化。落实“三个区分开来”要求，建立健全担当作为的激励和保护机制，切实调动监管工作人员特别是基层监管人员的积极性，从实际出发担当作为、干事创业。</w:t>
      </w:r>
    </w:p>
    <w:p w14:paraId="5FA85C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三）加强行政执法监督。加强对监管权力运行的监督。加强行政执法监督机制和能力建设，充分发挥行政执法监督统筹协调、规范保障、督促指导作用。全面落实行政执法责任，围绕监管中心工作部署开展行政执法监督专项行动，大力整治重点领域行政执法不作为、乱作为、不严格、不规范等突出问题。</w:t>
      </w:r>
    </w:p>
    <w:p w14:paraId="58F55EB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（二十四）</w:t>
      </w:r>
      <w:proofErr w:type="gramStart"/>
      <w:r>
        <w:rPr>
          <w:rFonts w:ascii="宋体" w:eastAsia="宋体" w:hAnsi="宋体" w:cs="宋体" w:hint="eastAsia"/>
          <w:sz w:val="24"/>
        </w:rPr>
        <w:t>全面主动</w:t>
      </w:r>
      <w:proofErr w:type="gramEnd"/>
      <w:r>
        <w:rPr>
          <w:rFonts w:ascii="宋体" w:eastAsia="宋体" w:hAnsi="宋体" w:cs="宋体" w:hint="eastAsia"/>
          <w:sz w:val="24"/>
        </w:rPr>
        <w:t>落实政务公开。坚持以公开为常态、不公开为例外，推进决策、执行、管理、服务和结果公开。加强公开制度化、标准化、信息化建设，提高政务公开能力和水平。加强部门规章和行政规范性文件集中公开，便于公众查询获取。全面提升政府信息公开申请办理工作质量，依法保障人民群众合理信息需求。不断完善政务信息发布机制，及时回应社会热点问题，主动接受新闻媒体监督和社会监督。</w:t>
      </w:r>
    </w:p>
    <w:p w14:paraId="583FFD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 、加强党的领导，完善推进保障机制</w:t>
      </w:r>
    </w:p>
    <w:p w14:paraId="29DFBD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五）坚持党的全面领导。党的领导是推进银行业保险业法治建设的根本保证，必须坚持党总揽全局、协调各方的作用。充分发挥各级党委的领导作用，把银行业保险业法治建设摆到工作全局更加突出的位置。各级党委要切实履行推进法治建设领导职责，安排听取有关工作汇报，及时研究解决影响银行业保险业法治建设的重大问题。</w:t>
      </w:r>
    </w:p>
    <w:p w14:paraId="0774B1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六）完善工作机制。成立推进银行业保险业法治建设领导小组，研究、部署、组织、督导银保监会系统和银行保险机构法治建设贯彻落实工作。银保监会党委书记、主席担任领导小组组长，领导小组办公室设在银保监</w:t>
      </w:r>
      <w:proofErr w:type="gramStart"/>
      <w:r>
        <w:rPr>
          <w:rFonts w:ascii="宋体" w:eastAsia="宋体" w:hAnsi="宋体" w:cs="宋体" w:hint="eastAsia"/>
          <w:sz w:val="24"/>
        </w:rPr>
        <w:t>会法规</w:t>
      </w:r>
      <w:proofErr w:type="gramEnd"/>
      <w:r>
        <w:rPr>
          <w:rFonts w:ascii="宋体" w:eastAsia="宋体" w:hAnsi="宋体" w:cs="宋体" w:hint="eastAsia"/>
          <w:sz w:val="24"/>
        </w:rPr>
        <w:t>部，承担领导小组日常工作。</w:t>
      </w:r>
    </w:p>
    <w:p w14:paraId="22DA01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（二十七）加强考核监督。加大考核力度，提升考核权重，将依法行政情况</w:t>
      </w:r>
      <w:r>
        <w:rPr>
          <w:rFonts w:ascii="宋体" w:eastAsia="宋体" w:hAnsi="宋体" w:cs="宋体" w:hint="eastAsia"/>
          <w:sz w:val="24"/>
        </w:rPr>
        <w:lastRenderedPageBreak/>
        <w:t>作为对领导干部综合绩效考核的重要内容。建立健全法治政府建设指标体系，强化指标引领。对在法治政府建设中</w:t>
      </w:r>
      <w:proofErr w:type="gramStart"/>
      <w:r>
        <w:rPr>
          <w:rFonts w:ascii="宋体" w:eastAsia="宋体" w:hAnsi="宋体" w:cs="宋体" w:hint="eastAsia"/>
          <w:sz w:val="24"/>
        </w:rPr>
        <w:t>作出</w:t>
      </w:r>
      <w:proofErr w:type="gramEnd"/>
      <w:r>
        <w:rPr>
          <w:rFonts w:ascii="宋体" w:eastAsia="宋体" w:hAnsi="宋体" w:cs="宋体" w:hint="eastAsia"/>
          <w:sz w:val="24"/>
        </w:rPr>
        <w:t>突出贡献的单位和个人，按规定给予表彰奖励。</w:t>
      </w:r>
    </w:p>
    <w:p w14:paraId="206AEFE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（二十八）加大培训力度。建立系统工作人员应知应会法律法规清单，定期开展本系统法治专题培训。把法治教育纳入系统工作人员初任培训、任职培训的必训内容。着重抓好新录用人员、监管一线干部和法规条</w:t>
      </w:r>
      <w:proofErr w:type="gramStart"/>
      <w:r>
        <w:rPr>
          <w:rFonts w:ascii="宋体" w:eastAsia="宋体" w:hAnsi="宋体" w:cs="宋体" w:hint="eastAsia"/>
          <w:sz w:val="24"/>
        </w:rPr>
        <w:t>线干部</w:t>
      </w:r>
      <w:proofErr w:type="gramEnd"/>
      <w:r>
        <w:rPr>
          <w:rFonts w:ascii="宋体" w:eastAsia="宋体" w:hAnsi="宋体" w:cs="宋体" w:hint="eastAsia"/>
          <w:sz w:val="24"/>
        </w:rPr>
        <w:t>的培训。将法律法规的培训学习贯穿于规则制定、市场准入、非现场监管、现场检查、行政处罚等各个监管流程之中，在完成政治理论教育和党性教育学时的基础上，确保每名监管干部每年接受不少于60学时的业务知识和法律法规培训。</w:t>
      </w:r>
    </w:p>
    <w:p w14:paraId="4182A7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十九）加强队伍建设。加快推动法治建设与监管工作的全面融合，锻造一支政治坚定、担当作为、风清气正的干部队伍。建设专业化、职业化的法治队伍，从人员、经费等方面加强保障。充分发挥法律顾问、公职律师在促进依法行政中的积极作用。加强公职律师队伍建设，制定相应培训制度和培训计划，有效开展政策理论培训和实务技能培训，提升公职律师参与重大决策的能力。</w:t>
      </w:r>
    </w:p>
    <w:p w14:paraId="4C5026D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十）加强科技支撑。健全监管法治建设科技保障。坚持运用互联网、大数据、人工智能等技术手段促进依法监管。加快推进监管大数据平台建设，推动监管数据标准统一，实现数据共享共用。推动监管流程和监管行为线上化，加快推进监管数字化智能化转型，将规则制定、市场准入、非现场监管、现场检查、行政处罚等各项监管工作的主要流程和环节全面纳入线上运行，实现监管行为信息可查询、可记录，为监管绩效评估、落实监管责任、强化监管问</w:t>
      </w:r>
      <w:proofErr w:type="gramStart"/>
      <w:r>
        <w:rPr>
          <w:rFonts w:ascii="宋体" w:eastAsia="宋体" w:hAnsi="宋体" w:cs="宋体" w:hint="eastAsia"/>
          <w:sz w:val="24"/>
        </w:rPr>
        <w:t>责提供</w:t>
      </w:r>
      <w:proofErr w:type="gramEnd"/>
      <w:r>
        <w:rPr>
          <w:rFonts w:ascii="宋体" w:eastAsia="宋体" w:hAnsi="宋体" w:cs="宋体" w:hint="eastAsia"/>
          <w:sz w:val="24"/>
        </w:rPr>
        <w:t>基础信息。加快“互联网+监管”系统建设，积极参与各方监管平台数据联通汇聚。充分发挥会管行业基础设施监管支持作用，提升数据治理和应用水平。</w:t>
      </w:r>
    </w:p>
    <w:p w14:paraId="39EE127E"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roofErr w:type="gramStart"/>
      <w:r>
        <w:rPr>
          <w:rFonts w:ascii="宋体" w:eastAsia="宋体" w:hAnsi="宋体" w:cs="宋体" w:hint="eastAsia"/>
          <w:sz w:val="24"/>
        </w:rPr>
        <w:t>各银保</w:t>
      </w:r>
      <w:proofErr w:type="gramEnd"/>
      <w:r>
        <w:rPr>
          <w:rFonts w:ascii="宋体" w:eastAsia="宋体" w:hAnsi="宋体" w:cs="宋体" w:hint="eastAsia"/>
          <w:sz w:val="24"/>
        </w:rPr>
        <w:t>监局及各银行保险机构要全面准确贯彻本实施方案精神和要求，压实责任、狠抓落实，力戒形式主义、官僚主义。银保监会及各级派出机构法律部门要抓好督办落实，确保实施方案各项任务措施落到实处。</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7D483B32"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129.《关于持续加大工作力度 提升非银机构不良资产处置质效的指导意见》</w:t>
      </w:r>
    </w:p>
    <w:p w14:paraId="5713DBA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发文机构：中国银行保险监督管理委员会其他非银行金融机构监管部（已撤销）</w:t>
      </w:r>
    </w:p>
    <w:p w14:paraId="2FDF9F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文号：非银发〔2022〕19号</w:t>
      </w:r>
    </w:p>
    <w:p w14:paraId="30F3935B"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各银保</w:t>
      </w:r>
      <w:proofErr w:type="gramEnd"/>
      <w:r>
        <w:rPr>
          <w:rFonts w:ascii="宋体" w:eastAsia="宋体" w:hAnsi="宋体" w:cs="宋体" w:hint="eastAsia"/>
          <w:sz w:val="24"/>
        </w:rPr>
        <w:t>监局非银行金融机构监管处室，各金融资产管理公司：</w:t>
      </w:r>
    </w:p>
    <w:p w14:paraId="0B68C8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为贯彻落实银保监会决策部署，做好 2022 年金融资产管理公司、金融租赁公司、企业集团财务公司、消费金融公司及汽车金融公司(以下</w:t>
      </w:r>
      <w:proofErr w:type="gramStart"/>
      <w:r>
        <w:rPr>
          <w:rFonts w:ascii="宋体" w:eastAsia="宋体" w:hAnsi="宋体" w:cs="宋体" w:hint="eastAsia"/>
          <w:sz w:val="24"/>
        </w:rPr>
        <w:t>简称非银机构</w:t>
      </w:r>
      <w:proofErr w:type="gramEnd"/>
      <w:r>
        <w:rPr>
          <w:rFonts w:ascii="宋体" w:eastAsia="宋体" w:hAnsi="宋体" w:cs="宋体" w:hint="eastAsia"/>
          <w:sz w:val="24"/>
        </w:rPr>
        <w:t>)不良资产处置工作提升处置质效，现就有关事项提出如下指导意见:</w:t>
      </w:r>
    </w:p>
    <w:p w14:paraId="4DDFAF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一、提高认识</w:t>
      </w:r>
    </w:p>
    <w:p w14:paraId="195EE67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当前，非</w:t>
      </w:r>
      <w:proofErr w:type="gramStart"/>
      <w:r>
        <w:rPr>
          <w:rFonts w:ascii="宋体" w:eastAsia="宋体" w:hAnsi="宋体" w:cs="宋体" w:hint="eastAsia"/>
          <w:sz w:val="24"/>
        </w:rPr>
        <w:t>银机构</w:t>
      </w:r>
      <w:proofErr w:type="gramEnd"/>
      <w:r>
        <w:rPr>
          <w:rFonts w:ascii="宋体" w:eastAsia="宋体" w:hAnsi="宋体" w:cs="宋体" w:hint="eastAsia"/>
          <w:sz w:val="24"/>
        </w:rPr>
        <w:t>风险防控形势严峻，问题机构和问题资产频繁暴露。</w:t>
      </w:r>
      <w:proofErr w:type="gramStart"/>
      <w:r>
        <w:rPr>
          <w:rFonts w:ascii="宋体" w:eastAsia="宋体" w:hAnsi="宋体" w:cs="宋体" w:hint="eastAsia"/>
          <w:sz w:val="24"/>
        </w:rPr>
        <w:t>各银保</w:t>
      </w:r>
      <w:proofErr w:type="gramEnd"/>
      <w:r>
        <w:rPr>
          <w:rFonts w:ascii="宋体" w:eastAsia="宋体" w:hAnsi="宋体" w:cs="宋体" w:hint="eastAsia"/>
          <w:sz w:val="24"/>
        </w:rPr>
        <w:t>监局和非</w:t>
      </w:r>
      <w:proofErr w:type="gramStart"/>
      <w:r>
        <w:rPr>
          <w:rFonts w:ascii="宋体" w:eastAsia="宋体" w:hAnsi="宋体" w:cs="宋体" w:hint="eastAsia"/>
          <w:sz w:val="24"/>
        </w:rPr>
        <w:t>银机构</w:t>
      </w:r>
      <w:proofErr w:type="gramEnd"/>
      <w:r>
        <w:rPr>
          <w:rFonts w:ascii="宋体" w:eastAsia="宋体" w:hAnsi="宋体" w:cs="宋体" w:hint="eastAsia"/>
          <w:sz w:val="24"/>
        </w:rPr>
        <w:t>要始终牢记“国之大者”，聚焦金融工作“三项任务”，站在维护金融安全乃至国家安全的角度，深刻认识化解金融风险的重要性。要充分认识到有效处置不良资产是</w:t>
      </w:r>
      <w:proofErr w:type="gramStart"/>
      <w:r>
        <w:rPr>
          <w:rFonts w:ascii="宋体" w:eastAsia="宋体" w:hAnsi="宋体" w:cs="宋体" w:hint="eastAsia"/>
          <w:sz w:val="24"/>
        </w:rPr>
        <w:t>夯实非银机构</w:t>
      </w:r>
      <w:proofErr w:type="gramEnd"/>
      <w:r>
        <w:rPr>
          <w:rFonts w:ascii="宋体" w:eastAsia="宋体" w:hAnsi="宋体" w:cs="宋体" w:hint="eastAsia"/>
          <w:sz w:val="24"/>
        </w:rPr>
        <w:t>稳健发展的基础只有把自身的风险化解好，才能更好地做好金融服务，聚焦主责主业，服务于经济社会发展。</w:t>
      </w:r>
    </w:p>
    <w:p w14:paraId="68BCB4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二、落实责任</w:t>
      </w:r>
    </w:p>
    <w:p w14:paraId="2A73FE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)压实机构主体责任。非</w:t>
      </w:r>
      <w:proofErr w:type="gramStart"/>
      <w:r>
        <w:rPr>
          <w:rFonts w:ascii="宋体" w:eastAsia="宋体" w:hAnsi="宋体" w:cs="宋体" w:hint="eastAsia"/>
          <w:sz w:val="24"/>
        </w:rPr>
        <w:t>银机构</w:t>
      </w:r>
      <w:proofErr w:type="gramEnd"/>
      <w:r>
        <w:rPr>
          <w:rFonts w:ascii="宋体" w:eastAsia="宋体" w:hAnsi="宋体" w:cs="宋体" w:hint="eastAsia"/>
          <w:sz w:val="24"/>
        </w:rPr>
        <w:t>要落实不良资产处置的主体责任，国有非</w:t>
      </w:r>
      <w:proofErr w:type="gramStart"/>
      <w:r>
        <w:rPr>
          <w:rFonts w:ascii="宋体" w:eastAsia="宋体" w:hAnsi="宋体" w:cs="宋体" w:hint="eastAsia"/>
          <w:sz w:val="24"/>
        </w:rPr>
        <w:t>银机构</w:t>
      </w:r>
      <w:proofErr w:type="gramEnd"/>
      <w:r>
        <w:rPr>
          <w:rFonts w:ascii="宋体" w:eastAsia="宋体" w:hAnsi="宋体" w:cs="宋体" w:hint="eastAsia"/>
          <w:sz w:val="24"/>
        </w:rPr>
        <w:t>要强化党建引领，加强党建与业务的深度融合，把不良资产处置工作纳入党委议事日程。党委班子成员，高管人员等要牵头挂帅，建立包户到人、目标到人、责任到人、措施到人、考核到人的管理模式。纪检部门要充分发挥监督作用，把不良资产及时有效处置作为重要的监督事项，实现不良资产处置效益最大化。民营非</w:t>
      </w:r>
      <w:proofErr w:type="gramStart"/>
      <w:r>
        <w:rPr>
          <w:rFonts w:ascii="宋体" w:eastAsia="宋体" w:hAnsi="宋体" w:cs="宋体" w:hint="eastAsia"/>
          <w:sz w:val="24"/>
        </w:rPr>
        <w:t>银机构</w:t>
      </w:r>
      <w:proofErr w:type="gramEnd"/>
      <w:r>
        <w:rPr>
          <w:rFonts w:ascii="宋体" w:eastAsia="宋体" w:hAnsi="宋体" w:cs="宋体" w:hint="eastAsia"/>
          <w:sz w:val="24"/>
        </w:rPr>
        <w:t>也要落实大股东、董事会、高管层以及监事会对不良资产处置的治理责任。</w:t>
      </w:r>
    </w:p>
    <w:p w14:paraId="3EF431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(二)强化监管责任。</w:t>
      </w:r>
      <w:proofErr w:type="gramStart"/>
      <w:r>
        <w:rPr>
          <w:rFonts w:ascii="宋体" w:eastAsia="宋体" w:hAnsi="宋体" w:cs="宋体" w:hint="eastAsia"/>
          <w:sz w:val="24"/>
        </w:rPr>
        <w:t>各银保</w:t>
      </w:r>
      <w:proofErr w:type="gramEnd"/>
      <w:r>
        <w:rPr>
          <w:rFonts w:ascii="宋体" w:eastAsia="宋体" w:hAnsi="宋体" w:cs="宋体" w:hint="eastAsia"/>
          <w:sz w:val="24"/>
        </w:rPr>
        <w:t>监局要建立监管推动机制,逐家制定辖内非</w:t>
      </w:r>
      <w:proofErr w:type="gramStart"/>
      <w:r>
        <w:rPr>
          <w:rFonts w:ascii="宋体" w:eastAsia="宋体" w:hAnsi="宋体" w:cs="宋体" w:hint="eastAsia"/>
          <w:sz w:val="24"/>
        </w:rPr>
        <w:t>银机构</w:t>
      </w:r>
      <w:proofErr w:type="gramEnd"/>
      <w:r>
        <w:rPr>
          <w:rFonts w:ascii="宋体" w:eastAsia="宋体" w:hAnsi="宋体" w:cs="宋体" w:hint="eastAsia"/>
          <w:sz w:val="24"/>
        </w:rPr>
        <w:t>(含资产管理公司分公司)不良资产处置监督方案，明确处置要求和监督方式，建立处置监督台账，按季评估机构不良资产处置工作效果，推动风险化解取得实效。形成“奖罚分明”的监管导向，对于不良资产处置工作机制健全、措施得力、</w:t>
      </w:r>
      <w:r>
        <w:rPr>
          <w:rFonts w:ascii="宋体" w:eastAsia="宋体" w:hAnsi="宋体" w:cs="宋体" w:hint="eastAsia"/>
          <w:sz w:val="24"/>
        </w:rPr>
        <w:lastRenderedPageBreak/>
        <w:t>效果明显的非银机构，在监管评级、董监事及高管履职评价、市场准入等方面，依法依规给予适当的监管激励，对不良资产处置工作重视不够、机制欠缺、敷衍腾挪、弄虚作假的，视其问题性质和严重程度，通过监管约谈、监管通报、评级降级、处罚问责等多种措施，加大惩戒力度。</w:t>
      </w:r>
    </w:p>
    <w:p w14:paraId="390F712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(三)加强多方</w:t>
      </w:r>
      <w:proofErr w:type="gramStart"/>
      <w:r>
        <w:rPr>
          <w:rFonts w:ascii="宋体" w:eastAsia="宋体" w:hAnsi="宋体" w:cs="宋体" w:hint="eastAsia"/>
          <w:sz w:val="24"/>
        </w:rPr>
        <w:t>联动各银保</w:t>
      </w:r>
      <w:proofErr w:type="gramEnd"/>
      <w:r>
        <w:rPr>
          <w:rFonts w:ascii="宋体" w:eastAsia="宋体" w:hAnsi="宋体" w:cs="宋体" w:hint="eastAsia"/>
          <w:sz w:val="24"/>
        </w:rPr>
        <w:t>监局和非</w:t>
      </w:r>
      <w:proofErr w:type="gramStart"/>
      <w:r>
        <w:rPr>
          <w:rFonts w:ascii="宋体" w:eastAsia="宋体" w:hAnsi="宋体" w:cs="宋体" w:hint="eastAsia"/>
          <w:sz w:val="24"/>
        </w:rPr>
        <w:t>银机构</w:t>
      </w:r>
      <w:proofErr w:type="gramEnd"/>
      <w:r>
        <w:rPr>
          <w:rFonts w:ascii="宋体" w:eastAsia="宋体" w:hAnsi="宋体" w:cs="宋体" w:hint="eastAsia"/>
          <w:sz w:val="24"/>
        </w:rPr>
        <w:t>要积极争取地方有关部门、股东等多方支持，通过召开股东联席会议区域座谈会、现场走访等形式，传导不良资产处置政策要求压实股东风险化解责任。对高风险非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要与地方政府加强信息互通，合力推动机构加快风险处置进程。</w:t>
      </w:r>
    </w:p>
    <w:p w14:paraId="20759F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三、提升质效</w:t>
      </w:r>
    </w:p>
    <w:p w14:paraId="5B719E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(四)加大不良资产处置力度。非</w:t>
      </w:r>
      <w:proofErr w:type="gramStart"/>
      <w:r>
        <w:rPr>
          <w:rFonts w:ascii="宋体" w:eastAsia="宋体" w:hAnsi="宋体" w:cs="宋体" w:hint="eastAsia"/>
          <w:sz w:val="24"/>
        </w:rPr>
        <w:t>银机构</w:t>
      </w:r>
      <w:proofErr w:type="gramEnd"/>
      <w:r>
        <w:rPr>
          <w:rFonts w:ascii="宋体" w:eastAsia="宋体" w:hAnsi="宋体" w:cs="宋体" w:hint="eastAsia"/>
          <w:sz w:val="24"/>
        </w:rPr>
        <w:t>要以损失最小化、时间最快化为目标，制定年度不良资产处置计划和方案打好不良资产处置攻坚战，争取 2022 年取得阶段性成效。公司领导要靠前指挥，承担风险化解主体责任，牵头对重点风险客户逐户制定处置化解计划，细化处置任务、目标、路线图，加强考核监督，逐项销号。公司要部署加强不良资产处置全流程廉政风险点排查措施，严防暗箱操作，防范道德风险，坚决杜绝通过处置不良资产进行利益输送行为。不良资产处置工作进展应于每季末 10日内报送监管部门。</w:t>
      </w:r>
    </w:p>
    <w:p w14:paraId="30C9D5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(五)加大核销力度。非</w:t>
      </w:r>
      <w:proofErr w:type="gramStart"/>
      <w:r>
        <w:rPr>
          <w:rFonts w:ascii="宋体" w:eastAsia="宋体" w:hAnsi="宋体" w:cs="宋体" w:hint="eastAsia"/>
          <w:sz w:val="24"/>
        </w:rPr>
        <w:t>银机构</w:t>
      </w:r>
      <w:proofErr w:type="gramEnd"/>
      <w:r>
        <w:rPr>
          <w:rFonts w:ascii="宋体" w:eastAsia="宋体" w:hAnsi="宋体" w:cs="宋体" w:hint="eastAsia"/>
          <w:sz w:val="24"/>
        </w:rPr>
        <w:t>要充分运用财务、拨备资源，统筹风险管理、财务能力、内部控制、审慎合</w:t>
      </w:r>
      <w:proofErr w:type="gramStart"/>
      <w:r>
        <w:rPr>
          <w:rFonts w:ascii="宋体" w:eastAsia="宋体" w:hAnsi="宋体" w:cs="宋体" w:hint="eastAsia"/>
          <w:sz w:val="24"/>
        </w:rPr>
        <w:t>规</w:t>
      </w:r>
      <w:proofErr w:type="gramEnd"/>
      <w:r>
        <w:rPr>
          <w:rFonts w:ascii="宋体" w:eastAsia="宋体" w:hAnsi="宋体" w:cs="宋体" w:hint="eastAsia"/>
          <w:sz w:val="24"/>
        </w:rPr>
        <w:t>等因素，依法依规核销，提高拨</w:t>
      </w:r>
      <w:proofErr w:type="gramStart"/>
      <w:r>
        <w:rPr>
          <w:rFonts w:ascii="宋体" w:eastAsia="宋体" w:hAnsi="宋体" w:cs="宋体" w:hint="eastAsia"/>
          <w:sz w:val="24"/>
        </w:rPr>
        <w:t>备利用</w:t>
      </w:r>
      <w:proofErr w:type="gramEnd"/>
      <w:r>
        <w:rPr>
          <w:rFonts w:ascii="宋体" w:eastAsia="宋体" w:hAnsi="宋体" w:cs="宋体" w:hint="eastAsia"/>
          <w:sz w:val="24"/>
        </w:rPr>
        <w:t>效率，对符合核销条件的不良资产，做到应核尽核。对于历史遗留或长期</w:t>
      </w:r>
      <w:proofErr w:type="gramStart"/>
      <w:r>
        <w:rPr>
          <w:rFonts w:ascii="宋体" w:eastAsia="宋体" w:hAnsi="宋体" w:cs="宋体" w:hint="eastAsia"/>
          <w:sz w:val="24"/>
        </w:rPr>
        <w:t>挂账未</w:t>
      </w:r>
      <w:proofErr w:type="gramEnd"/>
      <w:r>
        <w:rPr>
          <w:rFonts w:ascii="宋体" w:eastAsia="宋体" w:hAnsi="宋体" w:cs="宋体" w:hint="eastAsia"/>
          <w:sz w:val="24"/>
        </w:rPr>
        <w:t>处置的不良资产，应抓紧核销、实质性化解。</w:t>
      </w:r>
    </w:p>
    <w:p w14:paraId="4A22D5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(六)充分运用差异化处置手段</w:t>
      </w:r>
    </w:p>
    <w:p w14:paraId="3575B3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金融资产管理公司要发挥自身不良资产处置的专业能力，借助人才、信息、网络等方面资源优势，加强对内生不良资产的精细化管理，用好处置工具和手段，依法合</w:t>
      </w:r>
      <w:proofErr w:type="gramStart"/>
      <w:r>
        <w:rPr>
          <w:rFonts w:ascii="宋体" w:eastAsia="宋体" w:hAnsi="宋体" w:cs="宋体" w:hint="eastAsia"/>
          <w:sz w:val="24"/>
        </w:rPr>
        <w:t>规</w:t>
      </w:r>
      <w:proofErr w:type="gramEnd"/>
      <w:r>
        <w:rPr>
          <w:rFonts w:ascii="宋体" w:eastAsia="宋体" w:hAnsi="宋体" w:cs="宋体" w:hint="eastAsia"/>
          <w:sz w:val="24"/>
        </w:rPr>
        <w:t>提升处置质效，减轻经营包袱，有效化解自身风险。</w:t>
      </w:r>
    </w:p>
    <w:p w14:paraId="7F7302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金融租赁公司要用好债权追索和</w:t>
      </w:r>
      <w:proofErr w:type="gramStart"/>
      <w:r>
        <w:rPr>
          <w:rFonts w:ascii="宋体" w:eastAsia="宋体" w:hAnsi="宋体" w:cs="宋体" w:hint="eastAsia"/>
          <w:sz w:val="24"/>
        </w:rPr>
        <w:t>物权</w:t>
      </w:r>
      <w:proofErr w:type="gramEnd"/>
      <w:r>
        <w:rPr>
          <w:rFonts w:ascii="宋体" w:eastAsia="宋体" w:hAnsi="宋体" w:cs="宋体" w:hint="eastAsia"/>
          <w:sz w:val="24"/>
        </w:rPr>
        <w:t>处置双重手段。对于易取回变现、具备经济价值的租赁物或明显不具备偿付能力的承租人，可优先考虑处置租赁物</w:t>
      </w:r>
      <w:proofErr w:type="gramStart"/>
      <w:r>
        <w:rPr>
          <w:rFonts w:ascii="宋体" w:eastAsia="宋体" w:hAnsi="宋体" w:cs="宋体" w:hint="eastAsia"/>
          <w:sz w:val="24"/>
        </w:rPr>
        <w:t>物</w:t>
      </w:r>
      <w:proofErr w:type="gramEnd"/>
      <w:r>
        <w:rPr>
          <w:rFonts w:ascii="宋体" w:eastAsia="宋体" w:hAnsi="宋体" w:cs="宋体" w:hint="eastAsia"/>
          <w:sz w:val="24"/>
        </w:rPr>
        <w:t>权，提早做好租赁物保全，统筹考虑采取自力救济、诉讼等取回手段，合理评估残值，</w:t>
      </w:r>
      <w:r>
        <w:rPr>
          <w:rFonts w:ascii="宋体" w:eastAsia="宋体" w:hAnsi="宋体" w:cs="宋体" w:hint="eastAsia"/>
          <w:sz w:val="24"/>
        </w:rPr>
        <w:lastRenderedPageBreak/>
        <w:t>拓宽处置渠道，力争在租赁</w:t>
      </w:r>
      <w:proofErr w:type="gramStart"/>
      <w:r>
        <w:rPr>
          <w:rFonts w:ascii="宋体" w:eastAsia="宋体" w:hAnsi="宋体" w:cs="宋体" w:hint="eastAsia"/>
          <w:sz w:val="24"/>
        </w:rPr>
        <w:t>物最大</w:t>
      </w:r>
      <w:proofErr w:type="gramEnd"/>
      <w:r>
        <w:rPr>
          <w:rFonts w:ascii="宋体" w:eastAsia="宋体" w:hAnsi="宋体" w:cs="宋体" w:hint="eastAsia"/>
          <w:sz w:val="24"/>
        </w:rPr>
        <w:t>价值内受偿</w:t>
      </w:r>
    </w:p>
    <w:p w14:paraId="7A395E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财务公司要发挥依托集团、服务集团的优势，努力减少信息不对称，督促集团成员单位债务人及时偿还财务公司贷款;要充分挖掘和运用集团在不良处置方面的经验和资源丰富不良资产处置手段。</w:t>
      </w:r>
    </w:p>
    <w:p w14:paraId="05D9874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消费金融公司和汽车金融公司要加强科技赋能。充分利用信息科技和大数据手段，探索多元化的清收辅助方式，提升催收效能。支持消费金融公司、汽车金融公司将互联网诉前调解和网络仲裁、第三方调解等纳入不良资产处置常规手段。尝试利用外部风险监测系统，作为风险识别化解的有效补充。</w:t>
      </w:r>
    </w:p>
    <w:p w14:paraId="052709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四、完善机制保障</w:t>
      </w:r>
    </w:p>
    <w:p w14:paraId="459ADC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(七)树立管理效益理念。非</w:t>
      </w:r>
      <w:proofErr w:type="gramStart"/>
      <w:r>
        <w:rPr>
          <w:rFonts w:ascii="宋体" w:eastAsia="宋体" w:hAnsi="宋体" w:cs="宋体" w:hint="eastAsia"/>
          <w:sz w:val="24"/>
        </w:rPr>
        <w:t>银机构</w:t>
      </w:r>
      <w:proofErr w:type="gramEnd"/>
      <w:r>
        <w:rPr>
          <w:rFonts w:ascii="宋体" w:eastAsia="宋体" w:hAnsi="宋体" w:cs="宋体" w:hint="eastAsia"/>
          <w:sz w:val="24"/>
        </w:rPr>
        <w:t>要树立提升不良资产处置质</w:t>
      </w:r>
      <w:proofErr w:type="gramStart"/>
      <w:r>
        <w:rPr>
          <w:rFonts w:ascii="宋体" w:eastAsia="宋体" w:hAnsi="宋体" w:cs="宋体" w:hint="eastAsia"/>
          <w:sz w:val="24"/>
        </w:rPr>
        <w:t>效就是</w:t>
      </w:r>
      <w:proofErr w:type="gramEnd"/>
      <w:r>
        <w:rPr>
          <w:rFonts w:ascii="宋体" w:eastAsia="宋体" w:hAnsi="宋体" w:cs="宋体" w:hint="eastAsia"/>
          <w:sz w:val="24"/>
        </w:rPr>
        <w:t>增加经营效益管理理念。通过提升处置效率，在较短时间内将损失减少到最小，防止风险资产进一步劣变失控。</w:t>
      </w:r>
    </w:p>
    <w:p w14:paraId="61053F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(八)完善不良资产处置体系。非</w:t>
      </w:r>
      <w:proofErr w:type="gramStart"/>
      <w:r>
        <w:rPr>
          <w:rFonts w:ascii="宋体" w:eastAsia="宋体" w:hAnsi="宋体" w:cs="宋体" w:hint="eastAsia"/>
          <w:sz w:val="24"/>
        </w:rPr>
        <w:t>银机构</w:t>
      </w:r>
      <w:proofErr w:type="gramEnd"/>
      <w:r>
        <w:rPr>
          <w:rFonts w:ascii="宋体" w:eastAsia="宋体" w:hAnsi="宋体" w:cs="宋体" w:hint="eastAsia"/>
          <w:sz w:val="24"/>
        </w:rPr>
        <w:t>要建立健全规范的不良资产处置业务制度及执行体系，加强尽职调查、资产定价、资产处置方案制定、审核审批、执行监督、追责问责等全流程管理。强化合</w:t>
      </w:r>
      <w:proofErr w:type="gramStart"/>
      <w:r>
        <w:rPr>
          <w:rFonts w:ascii="宋体" w:eastAsia="宋体" w:hAnsi="宋体" w:cs="宋体" w:hint="eastAsia"/>
          <w:sz w:val="24"/>
        </w:rPr>
        <w:t>规</w:t>
      </w:r>
      <w:proofErr w:type="gramEnd"/>
      <w:r>
        <w:rPr>
          <w:rFonts w:ascii="宋体" w:eastAsia="宋体" w:hAnsi="宋体" w:cs="宋体" w:hint="eastAsia"/>
          <w:sz w:val="24"/>
        </w:rPr>
        <w:t>管理，建立不良资产处置岗位制衡机制，实行评估、审查审批、清收转让岗位分离，有效隔离操作风险。</w:t>
      </w:r>
    </w:p>
    <w:p w14:paraId="2172DE10"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(九)改进激励约束机制。非</w:t>
      </w:r>
      <w:proofErr w:type="gramStart"/>
      <w:r>
        <w:rPr>
          <w:rFonts w:ascii="宋体" w:eastAsia="宋体" w:hAnsi="宋体" w:cs="宋体" w:hint="eastAsia"/>
          <w:sz w:val="24"/>
        </w:rPr>
        <w:t>银机构</w:t>
      </w:r>
      <w:proofErr w:type="gramEnd"/>
      <w:r>
        <w:rPr>
          <w:rFonts w:ascii="宋体" w:eastAsia="宋体" w:hAnsi="宋体" w:cs="宋体" w:hint="eastAsia"/>
          <w:sz w:val="24"/>
        </w:rPr>
        <w:t>要将不良资产处置情况纳入绩效考核体系。完善不良资产处置尽职免责、</w:t>
      </w:r>
      <w:proofErr w:type="gramStart"/>
      <w:r>
        <w:rPr>
          <w:rFonts w:ascii="宋体" w:eastAsia="宋体" w:hAnsi="宋体" w:cs="宋体" w:hint="eastAsia"/>
          <w:sz w:val="24"/>
        </w:rPr>
        <w:t>失职问</w:t>
      </w:r>
      <w:proofErr w:type="gramEnd"/>
      <w:r>
        <w:rPr>
          <w:rFonts w:ascii="宋体" w:eastAsia="宋体" w:hAnsi="宋体" w:cs="宋体" w:hint="eastAsia"/>
          <w:sz w:val="24"/>
        </w:rPr>
        <w:t>责机制，建立激励、约束措施，激发相关岗位人员处置不良资产内生动力;对因履职不力等主观原因形成资产损失的，按有关规定对责任人员进行责任认定，并严肃追责。</w:t>
      </w:r>
    </w:p>
    <w:p w14:paraId="4EBDD9AA" w14:textId="77777777" w:rsidR="00F50CD8" w:rsidRDefault="00000000">
      <w:pPr>
        <w:spacing w:afterLines="50" w:after="156" w:line="360" w:lineRule="auto"/>
        <w:ind w:firstLineChars="200" w:firstLine="482"/>
        <w:rPr>
          <w:rFonts w:ascii="宋体" w:eastAsia="宋体" w:hAnsi="宋体" w:cs="宋体" w:hint="eastAsia"/>
          <w:sz w:val="24"/>
        </w:rPr>
      </w:pPr>
      <w:r>
        <w:rPr>
          <w:rFonts w:ascii="宋体" w:eastAsia="宋体" w:hAnsi="宋体" w:cs="宋体" w:hint="eastAsia"/>
          <w:b/>
          <w:bCs/>
          <w:sz w:val="24"/>
        </w:rPr>
        <w:lastRenderedPageBreak/>
        <w:t>130.《中国银保监会办公厅关于高风险非银行金融机构风险处置的指导意见》</w:t>
      </w:r>
      <w:r>
        <w:rPr>
          <w:rFonts w:ascii="宋体" w:eastAsia="宋体" w:hAnsi="宋体" w:cs="宋体" w:hint="eastAsia"/>
          <w:sz w:val="24"/>
        </w:rPr>
        <w:tab/>
      </w:r>
    </w:p>
    <w:p w14:paraId="64541E0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发文机构：中国银行保险监督管理委员会办公厅（已撤销）</w:t>
      </w:r>
    </w:p>
    <w:p w14:paraId="0A10F97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w:t>
      </w:r>
      <w:r>
        <w:rPr>
          <w:rFonts w:ascii="宋体" w:eastAsia="宋体" w:hAnsi="宋体" w:cs="宋体" w:hint="eastAsia"/>
          <w:sz w:val="24"/>
        </w:rPr>
        <w:tab/>
        <w:t>银保监办发〔2022〕56号</w:t>
      </w:r>
    </w:p>
    <w:p w14:paraId="48400F6B"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各银保</w:t>
      </w:r>
      <w:proofErr w:type="gramEnd"/>
      <w:r>
        <w:rPr>
          <w:rFonts w:ascii="宋体" w:eastAsia="宋体" w:hAnsi="宋体" w:cs="宋体" w:hint="eastAsia"/>
          <w:sz w:val="24"/>
        </w:rPr>
        <w:t>监局:</w:t>
      </w:r>
    </w:p>
    <w:p w14:paraId="5C9C61F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为落实中央巡视整改要求以及银保监会工作会议决策部署，建立统一、规范的风险处置机制，提升金融租赁公司、企业集团财务公司、汽车金融公司、消费金融公司及货币经纪公司等非银行金融机构 (以下</w:t>
      </w:r>
      <w:proofErr w:type="gramStart"/>
      <w:r>
        <w:rPr>
          <w:rFonts w:ascii="宋体" w:eastAsia="宋体" w:hAnsi="宋体" w:cs="宋体" w:hint="eastAsia"/>
          <w:sz w:val="24"/>
        </w:rPr>
        <w:t>简称非银机构</w:t>
      </w:r>
      <w:proofErr w:type="gramEnd"/>
      <w:r>
        <w:rPr>
          <w:rFonts w:ascii="宋体" w:eastAsia="宋体" w:hAnsi="宋体" w:cs="宋体" w:hint="eastAsia"/>
          <w:sz w:val="24"/>
        </w:rPr>
        <w:t>)的风险处置工作有效性，</w:t>
      </w:r>
      <w:proofErr w:type="gramStart"/>
      <w:r>
        <w:rPr>
          <w:rFonts w:ascii="宋体" w:eastAsia="宋体" w:hAnsi="宋体" w:cs="宋体" w:hint="eastAsia"/>
          <w:sz w:val="24"/>
        </w:rPr>
        <w:t>经银保</w:t>
      </w:r>
      <w:proofErr w:type="gramEnd"/>
      <w:r>
        <w:rPr>
          <w:rFonts w:ascii="宋体" w:eastAsia="宋体" w:hAnsi="宋体" w:cs="宋体" w:hint="eastAsia"/>
          <w:sz w:val="24"/>
        </w:rPr>
        <w:t>监会同意，制定以下指导意见</w:t>
      </w:r>
    </w:p>
    <w:p w14:paraId="766863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一、风险处置原则</w:t>
      </w:r>
    </w:p>
    <w:p w14:paraId="1DC10CD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)依法合</w:t>
      </w:r>
      <w:proofErr w:type="gramStart"/>
      <w:r>
        <w:rPr>
          <w:rFonts w:ascii="宋体" w:eastAsia="宋体" w:hAnsi="宋体" w:cs="宋体" w:hint="eastAsia"/>
          <w:sz w:val="24"/>
        </w:rPr>
        <w:t>规</w:t>
      </w:r>
      <w:proofErr w:type="gramEnd"/>
      <w:r>
        <w:rPr>
          <w:rFonts w:ascii="宋体" w:eastAsia="宋体" w:hAnsi="宋体" w:cs="宋体" w:hint="eastAsia"/>
          <w:sz w:val="24"/>
        </w:rPr>
        <w:t>。坚持法治思维、运用法治方式，按照法定权限及程序实施风险处置，确保风险处置行为实体合法、程序正当，不得违法干预风险处置中的利益分配，不得利用风险处置职权牟取不正当利益，公平保护市场主体合法权益。</w:t>
      </w:r>
    </w:p>
    <w:p w14:paraId="121679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(二)自救优先。应坚持优先使用高风险非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自有资产、股东救助等市场化渠道筹集资金实施自救，采取各种措施后依然难以挽回的经营损失由股东依法承担</w:t>
      </w:r>
    </w:p>
    <w:p w14:paraId="033F5A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(三)有序处置。按照“稳定大局、统筹协调、分类施策精准拆弹”的方针，落实各方职责分工，针对不同高风险非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的风险特征，制定切实可行的处置预案，做好舆情监测</w:t>
      </w:r>
      <w:proofErr w:type="gramStart"/>
      <w:r>
        <w:rPr>
          <w:rFonts w:ascii="宋体" w:eastAsia="宋体" w:hAnsi="宋体" w:cs="宋体" w:hint="eastAsia"/>
          <w:sz w:val="24"/>
        </w:rPr>
        <w:t>与维稳安置</w:t>
      </w:r>
      <w:proofErr w:type="gramEnd"/>
      <w:r>
        <w:rPr>
          <w:rFonts w:ascii="宋体" w:eastAsia="宋体" w:hAnsi="宋体" w:cs="宋体" w:hint="eastAsia"/>
          <w:sz w:val="24"/>
        </w:rPr>
        <w:t>，确保处置过程中不发生次生风险</w:t>
      </w:r>
    </w:p>
    <w:p w14:paraId="30863D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二、风险处置责任</w:t>
      </w:r>
    </w:p>
    <w:p w14:paraId="28E0B0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)压实高风险非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及其股东的主体责任</w:t>
      </w:r>
    </w:p>
    <w:p w14:paraId="4EE215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1.落实主体责任。高风险非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及其主要股东、实际控制人承担风险处置的主体责任。高风险非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应穷尽手段自救，切实清收挽损。做实股权吸收损失机制，股东依法吸收高风险非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经营损失。对不履行风险处置主体责任的非</w:t>
      </w:r>
      <w:proofErr w:type="gramStart"/>
      <w:r>
        <w:rPr>
          <w:rFonts w:ascii="宋体" w:eastAsia="宋体" w:hAnsi="宋体" w:cs="宋体" w:hint="eastAsia"/>
          <w:sz w:val="24"/>
        </w:rPr>
        <w:t>银机构</w:t>
      </w:r>
      <w:proofErr w:type="gramEnd"/>
      <w:r>
        <w:rPr>
          <w:rFonts w:ascii="宋体" w:eastAsia="宋体" w:hAnsi="宋体" w:cs="宋体" w:hint="eastAsia"/>
          <w:sz w:val="24"/>
        </w:rPr>
        <w:t>以及主要股东，要及时采取有效监管措施压实主体责任。</w:t>
      </w:r>
    </w:p>
    <w:p w14:paraId="52502D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2.惩治违法股东。对虚假出资、出资不实、循环出资、抽逃出资以及通过违规关联交易等方式占用非</w:t>
      </w:r>
      <w:proofErr w:type="gramStart"/>
      <w:r>
        <w:rPr>
          <w:rFonts w:ascii="宋体" w:eastAsia="宋体" w:hAnsi="宋体" w:cs="宋体" w:hint="eastAsia"/>
          <w:sz w:val="24"/>
        </w:rPr>
        <w:t>银机构</w:t>
      </w:r>
      <w:proofErr w:type="gramEnd"/>
      <w:r>
        <w:rPr>
          <w:rFonts w:ascii="宋体" w:eastAsia="宋体" w:hAnsi="宋体" w:cs="宋体" w:hint="eastAsia"/>
          <w:sz w:val="24"/>
        </w:rPr>
        <w:t>资金、甚至掏空非</w:t>
      </w:r>
      <w:proofErr w:type="gramStart"/>
      <w:r>
        <w:rPr>
          <w:rFonts w:ascii="宋体" w:eastAsia="宋体" w:hAnsi="宋体" w:cs="宋体" w:hint="eastAsia"/>
          <w:sz w:val="24"/>
        </w:rPr>
        <w:t>银机构</w:t>
      </w:r>
      <w:proofErr w:type="gramEnd"/>
      <w:r>
        <w:rPr>
          <w:rFonts w:ascii="宋体" w:eastAsia="宋体" w:hAnsi="宋体" w:cs="宋体" w:hint="eastAsia"/>
          <w:sz w:val="24"/>
        </w:rPr>
        <w:t>资本的股东，依法采取责令限期改正、限制股东权利、责令控股股东转让股权等监管措施或依法撤销行政许可、实施行政处罚等方式，确保股东对违规套取资金行为承担责任，严防道德风险。将重大违法违规股东向社会公开，严肃市场纪律，强化市场监督。</w:t>
      </w:r>
    </w:p>
    <w:p w14:paraId="68FEF9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3.严肃追责问责。对存在利用职务谋取私利或为股东利益</w:t>
      </w:r>
      <w:proofErr w:type="gramStart"/>
      <w:r>
        <w:rPr>
          <w:rFonts w:ascii="宋体" w:eastAsia="宋体" w:hAnsi="宋体" w:cs="宋体" w:hint="eastAsia"/>
          <w:sz w:val="24"/>
        </w:rPr>
        <w:t>损害非银机构</w:t>
      </w:r>
      <w:proofErr w:type="gramEnd"/>
      <w:r>
        <w:rPr>
          <w:rFonts w:ascii="宋体" w:eastAsia="宋体" w:hAnsi="宋体" w:cs="宋体" w:hint="eastAsia"/>
          <w:sz w:val="24"/>
        </w:rPr>
        <w:t>利益的董事、监事、高级管理人员，要依法追究相关人员责任，执行绩效薪酬追索扣回机制，依法采取责令纪律处分、责令机构调整相关人员、取消任职资格等监管强制措施或实施行政处罚。涉嫌违法犯罪的，向公安部门移送相关线索，做好行刑衔接，坚决打击金融犯罪。</w:t>
      </w:r>
    </w:p>
    <w:p w14:paraId="18A714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推动落实地方党委、政府的属地风险处置责任</w:t>
      </w:r>
    </w:p>
    <w:p w14:paraId="5CD09C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1.建立通报机制。按照国务院</w:t>
      </w:r>
      <w:proofErr w:type="gramStart"/>
      <w:r>
        <w:rPr>
          <w:rFonts w:ascii="宋体" w:eastAsia="宋体" w:hAnsi="宋体" w:cs="宋体" w:hint="eastAsia"/>
          <w:sz w:val="24"/>
        </w:rPr>
        <w:t>金融委</w:t>
      </w:r>
      <w:proofErr w:type="gramEnd"/>
      <w:r>
        <w:rPr>
          <w:rFonts w:ascii="宋体" w:eastAsia="宋体" w:hAnsi="宋体" w:cs="宋体" w:hint="eastAsia"/>
          <w:sz w:val="24"/>
        </w:rPr>
        <w:t>及银保监会要求，建立健全和严格执行向地方党委、政府</w:t>
      </w:r>
      <w:proofErr w:type="gramStart"/>
      <w:r>
        <w:rPr>
          <w:rFonts w:ascii="宋体" w:eastAsia="宋体" w:hAnsi="宋体" w:cs="宋体" w:hint="eastAsia"/>
          <w:sz w:val="24"/>
        </w:rPr>
        <w:t>通报非银机构</w:t>
      </w:r>
      <w:proofErr w:type="gramEnd"/>
      <w:r>
        <w:rPr>
          <w:rFonts w:ascii="宋体" w:eastAsia="宋体" w:hAnsi="宋体" w:cs="宋体" w:hint="eastAsia"/>
          <w:sz w:val="24"/>
        </w:rPr>
        <w:t>风险情况的制度，及时向地方党委、政府主要负责人</w:t>
      </w:r>
      <w:proofErr w:type="gramStart"/>
      <w:r>
        <w:rPr>
          <w:rFonts w:ascii="宋体" w:eastAsia="宋体" w:hAnsi="宋体" w:cs="宋体" w:hint="eastAsia"/>
          <w:sz w:val="24"/>
        </w:rPr>
        <w:t>通报高</w:t>
      </w:r>
      <w:proofErr w:type="gramEnd"/>
      <w:r>
        <w:rPr>
          <w:rFonts w:ascii="宋体" w:eastAsia="宋体" w:hAnsi="宋体" w:cs="宋体" w:hint="eastAsia"/>
          <w:sz w:val="24"/>
        </w:rPr>
        <w:t>风险非</w:t>
      </w:r>
      <w:proofErr w:type="gramStart"/>
      <w:r>
        <w:rPr>
          <w:rFonts w:ascii="宋体" w:eastAsia="宋体" w:hAnsi="宋体" w:cs="宋体" w:hint="eastAsia"/>
          <w:sz w:val="24"/>
        </w:rPr>
        <w:t>银机构</w:t>
      </w:r>
      <w:proofErr w:type="gramEnd"/>
      <w:r>
        <w:rPr>
          <w:rFonts w:ascii="宋体" w:eastAsia="宋体" w:hAnsi="宋体" w:cs="宋体" w:hint="eastAsia"/>
          <w:sz w:val="24"/>
        </w:rPr>
        <w:t>具体情况，提出风险处置工作建议，报告风险处置进展和成效。</w:t>
      </w:r>
    </w:p>
    <w:p w14:paraId="4A1AF15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2.强化组织领导。在风险处置工作遇到困难和阻力的情况下，推动地方建立党政主要领导负责的金融风险处置机制，成立金融风险化解委员会负责</w:t>
      </w:r>
      <w:proofErr w:type="gramStart"/>
      <w:r>
        <w:rPr>
          <w:rFonts w:ascii="宋体" w:eastAsia="宋体" w:hAnsi="宋体" w:cs="宋体" w:hint="eastAsia"/>
          <w:sz w:val="24"/>
        </w:rPr>
        <w:t>属地维稳和</w:t>
      </w:r>
      <w:proofErr w:type="gramEnd"/>
      <w:r>
        <w:rPr>
          <w:rFonts w:ascii="宋体" w:eastAsia="宋体" w:hAnsi="宋体" w:cs="宋体" w:hint="eastAsia"/>
          <w:sz w:val="24"/>
        </w:rPr>
        <w:t>风险化解，形成与相关部门的协同工作机制，增加风险处置资源。自觉服从地方党政领导，配合协调高风险非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 xml:space="preserve">风险处置方案制定，处置方案出台后坚决带头落实。 </w:t>
      </w:r>
    </w:p>
    <w:p w14:paraId="06A9137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3.争取政策支持。推动将非</w:t>
      </w:r>
      <w:proofErr w:type="gramStart"/>
      <w:r>
        <w:rPr>
          <w:rFonts w:ascii="宋体" w:eastAsia="宋体" w:hAnsi="宋体" w:cs="宋体" w:hint="eastAsia"/>
          <w:sz w:val="24"/>
        </w:rPr>
        <w:t>银机构</w:t>
      </w:r>
      <w:proofErr w:type="gramEnd"/>
      <w:r>
        <w:rPr>
          <w:rFonts w:ascii="宋体" w:eastAsia="宋体" w:hAnsi="宋体" w:cs="宋体" w:hint="eastAsia"/>
          <w:sz w:val="24"/>
        </w:rPr>
        <w:t>风险处置纳入所在区域金融风险处置总体方案，争取地方政府对非</w:t>
      </w:r>
      <w:proofErr w:type="gramStart"/>
      <w:r>
        <w:rPr>
          <w:rFonts w:ascii="宋体" w:eastAsia="宋体" w:hAnsi="宋体" w:cs="宋体" w:hint="eastAsia"/>
          <w:sz w:val="24"/>
        </w:rPr>
        <w:t>银机构</w:t>
      </w:r>
      <w:proofErr w:type="gramEnd"/>
      <w:r>
        <w:rPr>
          <w:rFonts w:ascii="宋体" w:eastAsia="宋体" w:hAnsi="宋体" w:cs="宋体" w:hint="eastAsia"/>
          <w:sz w:val="24"/>
        </w:rPr>
        <w:t>清收处置资产和追赃</w:t>
      </w:r>
      <w:proofErr w:type="gramStart"/>
      <w:r>
        <w:rPr>
          <w:rFonts w:ascii="宋体" w:eastAsia="宋体" w:hAnsi="宋体" w:cs="宋体" w:hint="eastAsia"/>
          <w:sz w:val="24"/>
        </w:rPr>
        <w:t>挽损方面</w:t>
      </w:r>
      <w:proofErr w:type="gramEnd"/>
      <w:r>
        <w:rPr>
          <w:rFonts w:ascii="宋体" w:eastAsia="宋体" w:hAnsi="宋体" w:cs="宋体" w:hint="eastAsia"/>
          <w:sz w:val="24"/>
        </w:rPr>
        <w:t>提供支持，促请协调引入战略投资者、实施债务重组、推进破产重整、落实诉讼案件集中管辖等</w:t>
      </w:r>
    </w:p>
    <w:p w14:paraId="1F5C57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切实履行监管责任</w:t>
      </w:r>
    </w:p>
    <w:p w14:paraId="3498AE1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1.建立健全工作机制。</w:t>
      </w:r>
      <w:proofErr w:type="gramStart"/>
      <w:r>
        <w:rPr>
          <w:rFonts w:ascii="宋体" w:eastAsia="宋体" w:hAnsi="宋体" w:cs="宋体" w:hint="eastAsia"/>
          <w:sz w:val="24"/>
        </w:rPr>
        <w:t>各银保</w:t>
      </w:r>
      <w:proofErr w:type="gramEnd"/>
      <w:r>
        <w:rPr>
          <w:rFonts w:ascii="宋体" w:eastAsia="宋体" w:hAnsi="宋体" w:cs="宋体" w:hint="eastAsia"/>
          <w:sz w:val="24"/>
        </w:rPr>
        <w:t>监局要建立完善高风险非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风险处置工作机制，配强</w:t>
      </w:r>
      <w:proofErr w:type="gramStart"/>
      <w:r>
        <w:rPr>
          <w:rFonts w:ascii="宋体" w:eastAsia="宋体" w:hAnsi="宋体" w:cs="宋体" w:hint="eastAsia"/>
          <w:sz w:val="24"/>
        </w:rPr>
        <w:t>配优风险</w:t>
      </w:r>
      <w:proofErr w:type="gramEnd"/>
      <w:r>
        <w:rPr>
          <w:rFonts w:ascii="宋体" w:eastAsia="宋体" w:hAnsi="宋体" w:cs="宋体" w:hint="eastAsia"/>
          <w:sz w:val="24"/>
        </w:rPr>
        <w:t>处置工作人员，明确工作职责，规范工作程序，定期研究风险处置的重大问题，结合实际制定并不断优化风险处置预案。</w:t>
      </w:r>
    </w:p>
    <w:p w14:paraId="605AB23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2.管控处置过程风险。持续</w:t>
      </w:r>
      <w:proofErr w:type="gramStart"/>
      <w:r>
        <w:rPr>
          <w:rFonts w:ascii="宋体" w:eastAsia="宋体" w:hAnsi="宋体" w:cs="宋体" w:hint="eastAsia"/>
          <w:sz w:val="24"/>
        </w:rPr>
        <w:t>监测高</w:t>
      </w:r>
      <w:proofErr w:type="gramEnd"/>
      <w:r>
        <w:rPr>
          <w:rFonts w:ascii="宋体" w:eastAsia="宋体" w:hAnsi="宋体" w:cs="宋体" w:hint="eastAsia"/>
          <w:sz w:val="24"/>
        </w:rPr>
        <w:t>风险非</w:t>
      </w:r>
      <w:proofErr w:type="gramStart"/>
      <w:r>
        <w:rPr>
          <w:rFonts w:ascii="宋体" w:eastAsia="宋体" w:hAnsi="宋体" w:cs="宋体" w:hint="eastAsia"/>
          <w:sz w:val="24"/>
        </w:rPr>
        <w:t>银机构</w:t>
      </w:r>
      <w:proofErr w:type="gramEnd"/>
      <w:r>
        <w:rPr>
          <w:rFonts w:ascii="宋体" w:eastAsia="宋体" w:hAnsi="宋体" w:cs="宋体" w:hint="eastAsia"/>
          <w:sz w:val="24"/>
        </w:rPr>
        <w:t>重要业务数据，重点关注与股东</w:t>
      </w:r>
      <w:proofErr w:type="gramStart"/>
      <w:r>
        <w:rPr>
          <w:rFonts w:ascii="宋体" w:eastAsia="宋体" w:hAnsi="宋体" w:cs="宋体" w:hint="eastAsia"/>
          <w:sz w:val="24"/>
        </w:rPr>
        <w:t>及其实控企业</w:t>
      </w:r>
      <w:proofErr w:type="gramEnd"/>
      <w:r>
        <w:rPr>
          <w:rFonts w:ascii="宋体" w:eastAsia="宋体" w:hAnsi="宋体" w:cs="宋体" w:hint="eastAsia"/>
          <w:sz w:val="24"/>
        </w:rPr>
        <w:t>关联交易情况、对外负债交易对手以及到期还款情况。保持人员稳定，要求正在进行重大风险处置机构的董事、监事、高级管理人员和其他重要人员依法继续履行职责。对与风险形成有密切关系的董事、监事、高级管理人员，未经监管部门同意不得辞职。防范案件风险加强对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账户资金、印章等重要财产监管，必要时派驻专责工作小组进行现场管控。</w:t>
      </w:r>
    </w:p>
    <w:p w14:paraId="1272F0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3.强化监管贯通协作。要加强同高风险非</w:t>
      </w:r>
      <w:proofErr w:type="gramStart"/>
      <w:r>
        <w:rPr>
          <w:rFonts w:ascii="宋体" w:eastAsia="宋体" w:hAnsi="宋体" w:cs="宋体" w:hint="eastAsia"/>
          <w:sz w:val="24"/>
        </w:rPr>
        <w:t>银机构并表股东</w:t>
      </w:r>
      <w:proofErr w:type="gramEnd"/>
      <w:r>
        <w:rPr>
          <w:rFonts w:ascii="宋体" w:eastAsia="宋体" w:hAnsi="宋体" w:cs="宋体" w:hint="eastAsia"/>
          <w:sz w:val="24"/>
        </w:rPr>
        <w:t>监管部门或主管部门的沟通协作，提请并表监管部门或主管部门关注非</w:t>
      </w:r>
      <w:proofErr w:type="gramStart"/>
      <w:r>
        <w:rPr>
          <w:rFonts w:ascii="宋体" w:eastAsia="宋体" w:hAnsi="宋体" w:cs="宋体" w:hint="eastAsia"/>
          <w:sz w:val="24"/>
        </w:rPr>
        <w:t>银机构</w:t>
      </w:r>
      <w:proofErr w:type="gramEnd"/>
      <w:r>
        <w:rPr>
          <w:rFonts w:ascii="宋体" w:eastAsia="宋体" w:hAnsi="宋体" w:cs="宋体" w:hint="eastAsia"/>
          <w:sz w:val="24"/>
        </w:rPr>
        <w:t>风险对并</w:t>
      </w:r>
      <w:proofErr w:type="gramStart"/>
      <w:r>
        <w:rPr>
          <w:rFonts w:ascii="宋体" w:eastAsia="宋体" w:hAnsi="宋体" w:cs="宋体" w:hint="eastAsia"/>
          <w:sz w:val="24"/>
        </w:rPr>
        <w:t>表股东</w:t>
      </w:r>
      <w:proofErr w:type="gramEnd"/>
      <w:r>
        <w:rPr>
          <w:rFonts w:ascii="宋体" w:eastAsia="宋体" w:hAnsi="宋体" w:cs="宋体" w:hint="eastAsia"/>
          <w:sz w:val="24"/>
        </w:rPr>
        <w:t>的影响;控股股东为银行业金融机构的，应将高风险非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纳入金融机构集团层面的恢复和处置计划。加强与高风险非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债权银行监管部门协作，促进信息共享，形成风险处置合力。</w:t>
      </w:r>
    </w:p>
    <w:p w14:paraId="5E8E6F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4.加强与纪检监察部门联动。加强</w:t>
      </w:r>
      <w:proofErr w:type="gramStart"/>
      <w:r>
        <w:rPr>
          <w:rFonts w:ascii="宋体" w:eastAsia="宋体" w:hAnsi="宋体" w:cs="宋体" w:hint="eastAsia"/>
          <w:sz w:val="24"/>
        </w:rPr>
        <w:t>与驻银保</w:t>
      </w:r>
      <w:proofErr w:type="gramEnd"/>
      <w:r>
        <w:rPr>
          <w:rFonts w:ascii="宋体" w:eastAsia="宋体" w:hAnsi="宋体" w:cs="宋体" w:hint="eastAsia"/>
          <w:sz w:val="24"/>
        </w:rPr>
        <w:t>监会纪检监察组、非</w:t>
      </w:r>
      <w:proofErr w:type="gramStart"/>
      <w:r>
        <w:rPr>
          <w:rFonts w:ascii="宋体" w:eastAsia="宋体" w:hAnsi="宋体" w:cs="宋体" w:hint="eastAsia"/>
          <w:sz w:val="24"/>
        </w:rPr>
        <w:t>银机构</w:t>
      </w:r>
      <w:proofErr w:type="gramEnd"/>
      <w:r>
        <w:rPr>
          <w:rFonts w:ascii="宋体" w:eastAsia="宋体" w:hAnsi="宋体" w:cs="宋体" w:hint="eastAsia"/>
          <w:sz w:val="24"/>
        </w:rPr>
        <w:t>内部纪检部门、非</w:t>
      </w:r>
      <w:proofErr w:type="gramStart"/>
      <w:r>
        <w:rPr>
          <w:rFonts w:ascii="宋体" w:eastAsia="宋体" w:hAnsi="宋体" w:cs="宋体" w:hint="eastAsia"/>
          <w:sz w:val="24"/>
        </w:rPr>
        <w:t>银机构</w:t>
      </w:r>
      <w:proofErr w:type="gramEnd"/>
      <w:r>
        <w:rPr>
          <w:rFonts w:ascii="宋体" w:eastAsia="宋体" w:hAnsi="宋体" w:cs="宋体" w:hint="eastAsia"/>
          <w:sz w:val="24"/>
        </w:rPr>
        <w:t>上级单位或股东单位纪检监察部门的工作联动，实施对重大风险情况、行政处罚情况、违纪违法违规情况及信访举报线索的信息共享，强化行政监管与执纪监督的协调贯通，严厉打击风险背后的利益勾连和关系纽带，做好处置金融风险与金融反腐的统筹衔接。</w:t>
      </w:r>
    </w:p>
    <w:p w14:paraId="195E23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三、风险处置工作程序</w:t>
      </w:r>
    </w:p>
    <w:p w14:paraId="4B8C4F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w:t>
      </w:r>
      <w:proofErr w:type="gramStart"/>
      <w:r>
        <w:rPr>
          <w:rFonts w:ascii="宋体" w:eastAsia="宋体" w:hAnsi="宋体" w:cs="宋体" w:hint="eastAsia"/>
          <w:sz w:val="24"/>
        </w:rPr>
        <w:t>一</w:t>
      </w:r>
      <w:proofErr w:type="gramEnd"/>
      <w:r>
        <w:rPr>
          <w:rFonts w:ascii="宋体" w:eastAsia="宋体" w:hAnsi="宋体" w:cs="宋体" w:hint="eastAsia"/>
          <w:sz w:val="24"/>
        </w:rPr>
        <w:t>)高风险非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认定</w:t>
      </w:r>
    </w:p>
    <w:p w14:paraId="60C6B1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金融租赁公司、企业集团财务公司、消费金融公司、汽车金融公司、货币经纪公司符合下列标准之一的，可认定为高风险非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w:t>
      </w:r>
    </w:p>
    <w:p w14:paraId="4181B25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1.年度监管评级为 5 级的金融租赁公司、消费金融公司年度监管评级为 4 级的财务公司；</w:t>
      </w:r>
    </w:p>
    <w:p w14:paraId="27A426F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2.季度风险分级为红色的非银机构；</w:t>
      </w:r>
    </w:p>
    <w:p w14:paraId="5F77F71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3.监管部门认定符合前两项标准、但由于评级周期等原因尚未下调监管评级或风险分级的非银机构。</w:t>
      </w:r>
    </w:p>
    <w:p w14:paraId="184F4F5A"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各银保</w:t>
      </w:r>
      <w:proofErr w:type="gramEnd"/>
      <w:r>
        <w:rPr>
          <w:rFonts w:ascii="宋体" w:eastAsia="宋体" w:hAnsi="宋体" w:cs="宋体" w:hint="eastAsia"/>
          <w:sz w:val="24"/>
        </w:rPr>
        <w:t>监局应按季度上报辖内高风险非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名单及其风险变化情况、风险</w:t>
      </w:r>
      <w:r>
        <w:rPr>
          <w:rFonts w:ascii="宋体" w:eastAsia="宋体" w:hAnsi="宋体" w:cs="宋体" w:hint="eastAsia"/>
          <w:sz w:val="24"/>
        </w:rPr>
        <w:lastRenderedPageBreak/>
        <w:t>处置工作进展情况，可同非</w:t>
      </w:r>
      <w:proofErr w:type="gramStart"/>
      <w:r>
        <w:rPr>
          <w:rFonts w:ascii="宋体" w:eastAsia="宋体" w:hAnsi="宋体" w:cs="宋体" w:hint="eastAsia"/>
          <w:sz w:val="24"/>
        </w:rPr>
        <w:t>银机构</w:t>
      </w:r>
      <w:proofErr w:type="gramEnd"/>
      <w:r>
        <w:rPr>
          <w:rFonts w:ascii="宋体" w:eastAsia="宋体" w:hAnsi="宋体" w:cs="宋体" w:hint="eastAsia"/>
          <w:sz w:val="24"/>
        </w:rPr>
        <w:t>季度风险分级情况一并报送。通过第 3 项认定标准认定的高风险非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 xml:space="preserve">情况应于认定后 10 </w:t>
      </w:r>
      <w:proofErr w:type="gramStart"/>
      <w:r>
        <w:rPr>
          <w:rFonts w:ascii="宋体" w:eastAsia="宋体" w:hAnsi="宋体" w:cs="宋体" w:hint="eastAsia"/>
          <w:sz w:val="24"/>
        </w:rPr>
        <w:t>个</w:t>
      </w:r>
      <w:proofErr w:type="gramEnd"/>
      <w:r>
        <w:rPr>
          <w:rFonts w:ascii="宋体" w:eastAsia="宋体" w:hAnsi="宋体" w:cs="宋体" w:hint="eastAsia"/>
          <w:sz w:val="24"/>
        </w:rPr>
        <w:t>工作日内报送。</w:t>
      </w:r>
    </w:p>
    <w:p w14:paraId="35A3FE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(二)制定风险处置预案</w:t>
      </w:r>
    </w:p>
    <w:p w14:paraId="6F5F71D6"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各银保</w:t>
      </w:r>
      <w:proofErr w:type="gramEnd"/>
      <w:r>
        <w:rPr>
          <w:rFonts w:ascii="宋体" w:eastAsia="宋体" w:hAnsi="宋体" w:cs="宋体" w:hint="eastAsia"/>
          <w:sz w:val="24"/>
        </w:rPr>
        <w:t>监局要根据非</w:t>
      </w:r>
      <w:proofErr w:type="gramStart"/>
      <w:r>
        <w:rPr>
          <w:rFonts w:ascii="宋体" w:eastAsia="宋体" w:hAnsi="宋体" w:cs="宋体" w:hint="eastAsia"/>
          <w:sz w:val="24"/>
        </w:rPr>
        <w:t>银机构</w:t>
      </w:r>
      <w:proofErr w:type="gramEnd"/>
      <w:r>
        <w:rPr>
          <w:rFonts w:ascii="宋体" w:eastAsia="宋体" w:hAnsi="宋体" w:cs="宋体" w:hint="eastAsia"/>
          <w:sz w:val="24"/>
        </w:rPr>
        <w:t>风险状况、救助可行性、风险外溢程度等因素，“</w:t>
      </w:r>
      <w:proofErr w:type="gramStart"/>
      <w:r>
        <w:rPr>
          <w:rFonts w:ascii="宋体" w:eastAsia="宋体" w:hAnsi="宋体" w:cs="宋体" w:hint="eastAsia"/>
          <w:sz w:val="24"/>
        </w:rPr>
        <w:t>一</w:t>
      </w:r>
      <w:proofErr w:type="gramEnd"/>
      <w:r>
        <w:rPr>
          <w:rFonts w:ascii="宋体" w:eastAsia="宋体" w:hAnsi="宋体" w:cs="宋体" w:hint="eastAsia"/>
          <w:sz w:val="24"/>
        </w:rPr>
        <w:t>司</w:t>
      </w:r>
      <w:proofErr w:type="gramStart"/>
      <w:r>
        <w:rPr>
          <w:rFonts w:ascii="宋体" w:eastAsia="宋体" w:hAnsi="宋体" w:cs="宋体" w:hint="eastAsia"/>
          <w:sz w:val="24"/>
        </w:rPr>
        <w:t>一</w:t>
      </w:r>
      <w:proofErr w:type="gramEnd"/>
      <w:r>
        <w:rPr>
          <w:rFonts w:ascii="宋体" w:eastAsia="宋体" w:hAnsi="宋体" w:cs="宋体" w:hint="eastAsia"/>
          <w:sz w:val="24"/>
        </w:rPr>
        <w:t>策”制定风险处置预案，建立风险处置工作台账，对各项处置任务完成情况进行动态更新</w:t>
      </w:r>
    </w:p>
    <w:p w14:paraId="3B9F22D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(三)实施风险处置措施</w:t>
      </w:r>
    </w:p>
    <w:p w14:paraId="630874EF"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各银保</w:t>
      </w:r>
      <w:proofErr w:type="gramEnd"/>
      <w:r>
        <w:rPr>
          <w:rFonts w:ascii="宋体" w:eastAsia="宋体" w:hAnsi="宋体" w:cs="宋体" w:hint="eastAsia"/>
          <w:sz w:val="24"/>
        </w:rPr>
        <w:t>监局要根据非</w:t>
      </w:r>
      <w:proofErr w:type="gramStart"/>
      <w:r>
        <w:rPr>
          <w:rFonts w:ascii="宋体" w:eastAsia="宋体" w:hAnsi="宋体" w:cs="宋体" w:hint="eastAsia"/>
          <w:sz w:val="24"/>
        </w:rPr>
        <w:t>银机构</w:t>
      </w:r>
      <w:proofErr w:type="gramEnd"/>
      <w:r>
        <w:rPr>
          <w:rFonts w:ascii="宋体" w:eastAsia="宋体" w:hAnsi="宋体" w:cs="宋体" w:hint="eastAsia"/>
          <w:sz w:val="24"/>
        </w:rPr>
        <w:t>实际情况和风险处置预案，依法采取相应处置措施，最终实现被处置机构恢复正常经营或平稳退出。</w:t>
      </w:r>
    </w:p>
    <w:p w14:paraId="567AE5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1.控制风险外溢。通过监管约谈、限制高风险业务直至全部业务等审慎监管措施，及时锁定风险敞口，遏制风险水平继续上升。涉及股东</w:t>
      </w:r>
      <w:proofErr w:type="gramStart"/>
      <w:r>
        <w:rPr>
          <w:rFonts w:ascii="宋体" w:eastAsia="宋体" w:hAnsi="宋体" w:cs="宋体" w:hint="eastAsia"/>
          <w:sz w:val="24"/>
        </w:rPr>
        <w:t>套取非银机构</w:t>
      </w:r>
      <w:proofErr w:type="gramEnd"/>
      <w:r>
        <w:rPr>
          <w:rFonts w:ascii="宋体" w:eastAsia="宋体" w:hAnsi="宋体" w:cs="宋体" w:hint="eastAsia"/>
          <w:sz w:val="24"/>
        </w:rPr>
        <w:t>资金情形的，充分运用 EAST系统等工具，可加强与人民银行反洗钱监测分析中心联动，核查资金流向，全面摸清股东套取资金、掏空非</w:t>
      </w:r>
      <w:proofErr w:type="gramStart"/>
      <w:r>
        <w:rPr>
          <w:rFonts w:ascii="宋体" w:eastAsia="宋体" w:hAnsi="宋体" w:cs="宋体" w:hint="eastAsia"/>
          <w:sz w:val="24"/>
        </w:rPr>
        <w:t>银机构</w:t>
      </w:r>
      <w:proofErr w:type="gramEnd"/>
      <w:r>
        <w:rPr>
          <w:rFonts w:ascii="宋体" w:eastAsia="宋体" w:hAnsi="宋体" w:cs="宋体" w:hint="eastAsia"/>
          <w:sz w:val="24"/>
        </w:rPr>
        <w:t>的方式、路径以及风险敞口，并细化应对措施，全力压降风险敞口。加强舆情监测和应对，防范次生风险。</w:t>
      </w:r>
    </w:p>
    <w:p w14:paraId="43B29AC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2.机构实施自救。高风险非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应及时实施恢复与处置计划，通过压降业务规模、实施资产清收保全、转让盘活等措施回笼资金、缓释风险。主要股东应履行流动性支持、资本补充等救助承诺，公司尚有利润的应暂停分配红利。</w:t>
      </w:r>
    </w:p>
    <w:p w14:paraId="35E7FF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3. 进行市场化重组。高风险非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引入战略投资者或者转让股权,调动市场化资金参与机构并购重组，并积极协调地方政府提供各类救助资源。战略投资者或股权受让方原则上应符合行政许可条件，避免因急于处置风险引入动机不良或实力不足的投资人而产生后续风险。</w:t>
      </w:r>
    </w:p>
    <w:p w14:paraId="2047C18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4.实施重整或破产清算。通过司法程序，实施重整或破产清算，清理债权债务。对拟实施破产的机构，监管部门要评估破产方案可行性、合</w:t>
      </w:r>
      <w:proofErr w:type="gramStart"/>
      <w:r>
        <w:rPr>
          <w:rFonts w:ascii="宋体" w:eastAsia="宋体" w:hAnsi="宋体" w:cs="宋体" w:hint="eastAsia"/>
          <w:sz w:val="24"/>
        </w:rPr>
        <w:t>规</w:t>
      </w:r>
      <w:proofErr w:type="gramEnd"/>
      <w:r>
        <w:rPr>
          <w:rFonts w:ascii="宋体" w:eastAsia="宋体" w:hAnsi="宋体" w:cs="宋体" w:hint="eastAsia"/>
          <w:sz w:val="24"/>
        </w:rPr>
        <w:t>性，做好破产相关行政许可政策辅导，密切</w:t>
      </w:r>
      <w:proofErr w:type="gramStart"/>
      <w:r>
        <w:rPr>
          <w:rFonts w:ascii="宋体" w:eastAsia="宋体" w:hAnsi="宋体" w:cs="宋体" w:hint="eastAsia"/>
          <w:sz w:val="24"/>
        </w:rPr>
        <w:t>跟踪高</w:t>
      </w:r>
      <w:proofErr w:type="gramEnd"/>
      <w:r>
        <w:rPr>
          <w:rFonts w:ascii="宋体" w:eastAsia="宋体" w:hAnsi="宋体" w:cs="宋体" w:hint="eastAsia"/>
          <w:sz w:val="24"/>
        </w:rPr>
        <w:t>风险非</w:t>
      </w:r>
      <w:proofErr w:type="gramStart"/>
      <w:r>
        <w:rPr>
          <w:rFonts w:ascii="宋体" w:eastAsia="宋体" w:hAnsi="宋体" w:cs="宋体" w:hint="eastAsia"/>
          <w:sz w:val="24"/>
        </w:rPr>
        <w:t>银机构</w:t>
      </w:r>
      <w:proofErr w:type="gramEnd"/>
      <w:r>
        <w:rPr>
          <w:rFonts w:ascii="宋体" w:eastAsia="宋体" w:hAnsi="宋体" w:cs="宋体" w:hint="eastAsia"/>
          <w:sz w:val="24"/>
        </w:rPr>
        <w:t>破产进展，及时做好监管指导。</w:t>
      </w:r>
    </w:p>
    <w:p w14:paraId="7BD8F8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拟重整的，涉及股权变更审批应具有符合行政许可条件的重整投资人。</w:t>
      </w:r>
      <w:proofErr w:type="gramStart"/>
      <w:r>
        <w:rPr>
          <w:rFonts w:ascii="宋体" w:eastAsia="宋体" w:hAnsi="宋体" w:cs="宋体" w:hint="eastAsia"/>
          <w:sz w:val="24"/>
        </w:rPr>
        <w:t>自银</w:t>
      </w:r>
      <w:r>
        <w:rPr>
          <w:rFonts w:ascii="宋体" w:eastAsia="宋体" w:hAnsi="宋体" w:cs="宋体" w:hint="eastAsia"/>
          <w:sz w:val="24"/>
        </w:rPr>
        <w:lastRenderedPageBreak/>
        <w:t>保</w:t>
      </w:r>
      <w:proofErr w:type="gramEnd"/>
      <w:r>
        <w:rPr>
          <w:rFonts w:ascii="宋体" w:eastAsia="宋体" w:hAnsi="宋体" w:cs="宋体" w:hint="eastAsia"/>
          <w:sz w:val="24"/>
        </w:rPr>
        <w:t>监会批复同意非</w:t>
      </w:r>
      <w:proofErr w:type="gramStart"/>
      <w:r>
        <w:rPr>
          <w:rFonts w:ascii="宋体" w:eastAsia="宋体" w:hAnsi="宋体" w:cs="宋体" w:hint="eastAsia"/>
          <w:sz w:val="24"/>
        </w:rPr>
        <w:t>银机构</w:t>
      </w:r>
      <w:proofErr w:type="gramEnd"/>
      <w:r>
        <w:rPr>
          <w:rFonts w:ascii="宋体" w:eastAsia="宋体" w:hAnsi="宋体" w:cs="宋体" w:hint="eastAsia"/>
          <w:sz w:val="24"/>
        </w:rPr>
        <w:t>破产之日起两年内，重整计划应获得人民法院裁定批准。超过两年仍难以</w:t>
      </w:r>
      <w:proofErr w:type="gramStart"/>
      <w:r>
        <w:rPr>
          <w:rFonts w:ascii="宋体" w:eastAsia="宋体" w:hAnsi="宋体" w:cs="宋体" w:hint="eastAsia"/>
          <w:sz w:val="24"/>
        </w:rPr>
        <w:t>找到适格重整</w:t>
      </w:r>
      <w:proofErr w:type="gramEnd"/>
      <w:r>
        <w:rPr>
          <w:rFonts w:ascii="宋体" w:eastAsia="宋体" w:hAnsi="宋体" w:cs="宋体" w:hint="eastAsia"/>
          <w:sz w:val="24"/>
        </w:rPr>
        <w:t>投资人或有效推进重整的，要督促其转为破产清算，实现市场退出。重整完成后仍长期无法正常经营的，原则上要督促其解散。</w:t>
      </w:r>
    </w:p>
    <w:p w14:paraId="4DCE45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拟破产清算的，要稳妥进行资产处置、负债清偿和员工安置，清算完毕后应按照规定期限缴回金融许可证</w:t>
      </w:r>
    </w:p>
    <w:p w14:paraId="7D49C51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5.依法撤销。对于难以实施市场化重组，又长期不提出破产申请的高风险非银机构，可视情形由监管部门依法撤销或向人民法院申请破产。</w:t>
      </w:r>
    </w:p>
    <w:p w14:paraId="121B6F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6.申请解散。未出现资不抵债情况，但难以通过自身风险化解或市场化重组方式恢复正常经营的高风险非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可通过申请解散的方式退出市场。</w:t>
      </w:r>
    </w:p>
    <w:p w14:paraId="4186FC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(四)风险处置评估报告</w:t>
      </w:r>
    </w:p>
    <w:p w14:paraId="729C5008" w14:textId="77777777" w:rsidR="00F50CD8" w:rsidRDefault="00000000">
      <w:pPr>
        <w:spacing w:afterLines="50" w:after="156" w:line="360" w:lineRule="auto"/>
        <w:ind w:firstLineChars="200" w:firstLine="480"/>
        <w:rPr>
          <w:rFonts w:ascii="宋体" w:eastAsia="宋体" w:hAnsi="宋体" w:cs="宋体" w:hint="eastAsia"/>
          <w:sz w:val="24"/>
        </w:rPr>
      </w:pPr>
      <w:proofErr w:type="gramStart"/>
      <w:r>
        <w:rPr>
          <w:rFonts w:ascii="宋体" w:eastAsia="宋体" w:hAnsi="宋体" w:cs="宋体" w:hint="eastAsia"/>
          <w:sz w:val="24"/>
        </w:rPr>
        <w:t>各银保</w:t>
      </w:r>
      <w:proofErr w:type="gramEnd"/>
      <w:r>
        <w:rPr>
          <w:rFonts w:ascii="宋体" w:eastAsia="宋体" w:hAnsi="宋体" w:cs="宋体" w:hint="eastAsia"/>
          <w:sz w:val="24"/>
        </w:rPr>
        <w:t>监局应每年对辖内高风险非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风险处置工作进行评估，形成评估报告，包括对风险处置工作质效的总体评价，风险处置进展与成效，存在的问题和困难等。</w:t>
      </w:r>
    </w:p>
    <w:p w14:paraId="71B738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附件：</w:t>
      </w:r>
    </w:p>
    <w:p w14:paraId="1D09ACC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财务公司风险处置的特殊事项</w:t>
      </w:r>
    </w:p>
    <w:p w14:paraId="1735B4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一、统一纳入集团风险处置方案</w:t>
      </w:r>
    </w:p>
    <w:p w14:paraId="026978E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财务公司作为依附于企业集团存在的内部金融机构，其风险处置应与集团风险处置一并考虑，纳入集团整体风险处置方案，财务公司债务应纳入集团债务统一清偿，防止债务清偿责任悬空。</w:t>
      </w:r>
    </w:p>
    <w:p w14:paraId="2350FD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二、风险处置过程中的业务管控</w:t>
      </w:r>
    </w:p>
    <w:p w14:paraId="7522BC6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对已批复破产的财务公司应实施监管强制措施，暂停除必要的结算业务以外的全部业务，严防风险扩散。高风险财务公司如存在涉</w:t>
      </w:r>
      <w:proofErr w:type="gramStart"/>
      <w:r>
        <w:rPr>
          <w:rFonts w:ascii="宋体" w:eastAsia="宋体" w:hAnsi="宋体" w:cs="宋体" w:hint="eastAsia"/>
          <w:sz w:val="24"/>
        </w:rPr>
        <w:t>众广泛</w:t>
      </w:r>
      <w:proofErr w:type="gramEnd"/>
      <w:r>
        <w:rPr>
          <w:rFonts w:ascii="宋体" w:eastAsia="宋体" w:hAnsi="宋体" w:cs="宋体" w:hint="eastAsia"/>
          <w:sz w:val="24"/>
        </w:rPr>
        <w:t>的未兑付小额票据，应及时主动报告地方政府，推动解决小额票据兑付资金，防止影响风险处置进程，同时协同地方政府做好有关舆情防控</w:t>
      </w:r>
      <w:proofErr w:type="gramStart"/>
      <w:r>
        <w:rPr>
          <w:rFonts w:ascii="宋体" w:eastAsia="宋体" w:hAnsi="宋体" w:cs="宋体" w:hint="eastAsia"/>
          <w:sz w:val="24"/>
        </w:rPr>
        <w:t>及维稳工作</w:t>
      </w:r>
      <w:proofErr w:type="gramEnd"/>
      <w:r>
        <w:rPr>
          <w:rFonts w:ascii="宋体" w:eastAsia="宋体" w:hAnsi="宋体" w:cs="宋体" w:hint="eastAsia"/>
          <w:sz w:val="24"/>
        </w:rPr>
        <w:t>。</w:t>
      </w:r>
    </w:p>
    <w:p w14:paraId="50A2F1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三、高风险财务公司重组要求</w:t>
      </w:r>
    </w:p>
    <w:p w14:paraId="162896A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财务公司重组或</w:t>
      </w:r>
      <w:proofErr w:type="gramStart"/>
      <w:r>
        <w:rPr>
          <w:rFonts w:ascii="宋体" w:eastAsia="宋体" w:hAnsi="宋体" w:cs="宋体" w:hint="eastAsia"/>
          <w:sz w:val="24"/>
        </w:rPr>
        <w:t>重整仅</w:t>
      </w:r>
      <w:proofErr w:type="gramEnd"/>
      <w:r>
        <w:rPr>
          <w:rFonts w:ascii="宋体" w:eastAsia="宋体" w:hAnsi="宋体" w:cs="宋体" w:hint="eastAsia"/>
          <w:sz w:val="24"/>
        </w:rPr>
        <w:t>适用于其所属集团被整体重组或重整的情形，应坚持财务公司股权依托所属集团存在，不得通过重组或重整向集团外企业转让财务公司股权。集团重组或重整完成后符合设立财务公司条件的，可通过申请变更财务公司所属集团的方式保留原财务公司;不符合设立财务公司条件的，原财务公司应实施市场退出。</w:t>
      </w:r>
    </w:p>
    <w:p w14:paraId="2E292272" w14:textId="77777777" w:rsidR="00F50CD8" w:rsidRDefault="00F50CD8">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p>
    <w:p w14:paraId="7B1B40B5"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131.《商业银行表外业务风险管理办法》</w:t>
      </w:r>
      <w:r>
        <w:rPr>
          <w:rFonts w:ascii="宋体" w:eastAsia="宋体" w:hAnsi="宋体" w:cs="宋体" w:hint="eastAsia"/>
          <w:b/>
          <w:bCs/>
          <w:sz w:val="24"/>
        </w:rPr>
        <w:tab/>
      </w:r>
    </w:p>
    <w:p w14:paraId="5F8E630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发文机构：中国银行保险监督管理委员会（已撤销）</w:t>
      </w:r>
      <w:r>
        <w:rPr>
          <w:rFonts w:ascii="宋体" w:eastAsia="宋体" w:hAnsi="宋体" w:cs="宋体" w:hint="eastAsia"/>
          <w:sz w:val="24"/>
        </w:rPr>
        <w:tab/>
      </w:r>
    </w:p>
    <w:p w14:paraId="7479E65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文号：银保监规〔2022〕20号</w:t>
      </w:r>
    </w:p>
    <w:p w14:paraId="0387BAC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09145B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为加强商业银行表外业务风险管理，根据《中华人民共和国银行业监督管理法》《中华人民共和国商业银行法》等有关法律法规，制定本办法。</w:t>
      </w:r>
    </w:p>
    <w:p w14:paraId="6D1476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本办法适用于中华人民共和国境内依法设立的商业银行。</w:t>
      </w:r>
    </w:p>
    <w:p w14:paraId="451641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本办法所称表外业务是指商业银行从事的，按照现行企业会计准则不计入资产负债表内，不形成现实资产负债，但有可能引起损益变动的业务。</w:t>
      </w:r>
    </w:p>
    <w:p w14:paraId="01E5DD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根据表外业务特征和法律关系，表外业务分为担保承诺类、代理投融资服务类、中介服务类、其他类等。</w:t>
      </w:r>
    </w:p>
    <w:p w14:paraId="6A81E7F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担保承诺类业务包括担保、承诺等按照约定承担偿付责任或提供信用服务的业务。担保类业务是指商业银行对第三方承担偿还责任的业务，包括但不限于银行承兑汇票、保函、信用证、信用风险仍由银行承担的销售与购买协议等。承诺类业务是指商业银行在未来某一日期按照事先约定的条件向客户提供约定的信用业务，包括但不限于贷款承诺等。</w:t>
      </w:r>
    </w:p>
    <w:p w14:paraId="14AC92E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代理投融资服务类业务指商业银行根据客户委托，按照约定为客户提供投融资服务但不承担代偿责任、不承诺投资回报的表外业务，包括但不限于委托贷款、委托投资、代客理财、代理交易、代理发行和承销债券等。</w:t>
      </w:r>
    </w:p>
    <w:p w14:paraId="3B8D4E5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中介服务类业务指商业银行根据客户委托，提供中介服务、收取手续费的业务，包括但不限于代理收付、代理代销、财务顾问、资产托管、各类保管业务等。</w:t>
      </w:r>
    </w:p>
    <w:p w14:paraId="370220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其他类表外业务是指上述业务种类之外的其他表外业务。</w:t>
      </w:r>
    </w:p>
    <w:p w14:paraId="6795E1B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商业银行开展表外业务，应当遵循以下原则：</w:t>
      </w:r>
    </w:p>
    <w:p w14:paraId="7C009DF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管理全覆盖原则。商业银行应当对表外业务实施全面统一管理，覆盖表外业务所包含的各类风险。</w:t>
      </w:r>
    </w:p>
    <w:p w14:paraId="3EB8017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（二） 分类管理原则。商业银行应当区分自营业务与代理业务，根据不同表外业务的性质和承担的风险种类，实行分类管理。</w:t>
      </w:r>
    </w:p>
    <w:p w14:paraId="341C0C4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 风险为本原则。商业银行开办表外业务，应当坚持风险为本、审慎经营、合</w:t>
      </w:r>
      <w:proofErr w:type="gramStart"/>
      <w:r>
        <w:rPr>
          <w:rFonts w:ascii="宋体" w:eastAsia="宋体" w:hAnsi="宋体" w:cs="宋体" w:hint="eastAsia"/>
          <w:sz w:val="24"/>
        </w:rPr>
        <w:t>规</w:t>
      </w:r>
      <w:proofErr w:type="gramEnd"/>
      <w:r>
        <w:rPr>
          <w:rFonts w:ascii="宋体" w:eastAsia="宋体" w:hAnsi="宋体" w:cs="宋体" w:hint="eastAsia"/>
          <w:sz w:val="24"/>
        </w:rPr>
        <w:t>优先的理念，并按照实质重于形式的原则对业务进行管理。</w:t>
      </w:r>
    </w:p>
    <w:p w14:paraId="330F59B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治理架构</w:t>
      </w:r>
    </w:p>
    <w:p w14:paraId="6EF22A4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商业银行应当建立健全表外业务管理的治理架构。</w:t>
      </w:r>
    </w:p>
    <w:p w14:paraId="5B4CF3B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董事会对表外业务的管理承担最终责任，负责制定表外业务的发展战略，审批重要的业务管理、风险管理政策和程序等。</w:t>
      </w:r>
    </w:p>
    <w:p w14:paraId="322E41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高级管理</w:t>
      </w:r>
      <w:proofErr w:type="gramStart"/>
      <w:r>
        <w:rPr>
          <w:rFonts w:ascii="宋体" w:eastAsia="宋体" w:hAnsi="宋体" w:cs="宋体" w:hint="eastAsia"/>
          <w:sz w:val="24"/>
        </w:rPr>
        <w:t>层承担</w:t>
      </w:r>
      <w:proofErr w:type="gramEnd"/>
      <w:r>
        <w:rPr>
          <w:rFonts w:ascii="宋体" w:eastAsia="宋体" w:hAnsi="宋体" w:cs="宋体" w:hint="eastAsia"/>
          <w:sz w:val="24"/>
        </w:rPr>
        <w:t>表外业务的经营管理责任，负责执行董事会对于表外业务的决议，制定表外业务的经营计划、政策流程、管理措施等，审批表外业务种类，组织实施。</w:t>
      </w:r>
    </w:p>
    <w:p w14:paraId="339ED6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监事会负责对董事会和高级管理层在表外业务管理中的履职情况进行监督评价。</w:t>
      </w:r>
    </w:p>
    <w:p w14:paraId="6FA41A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商业银行应当明确各类表外业务的经营管理部门及其职责，确定业务经营管理部门承担表外业务管理和风险管理的首要责任。</w:t>
      </w:r>
    </w:p>
    <w:p w14:paraId="059841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商业银行应当确定相关职能部门负责表外业务合</w:t>
      </w:r>
      <w:proofErr w:type="gramStart"/>
      <w:r>
        <w:rPr>
          <w:rFonts w:ascii="宋体" w:eastAsia="宋体" w:hAnsi="宋体" w:cs="宋体" w:hint="eastAsia"/>
          <w:sz w:val="24"/>
        </w:rPr>
        <w:t>规</w:t>
      </w:r>
      <w:proofErr w:type="gramEnd"/>
      <w:r>
        <w:rPr>
          <w:rFonts w:ascii="宋体" w:eastAsia="宋体" w:hAnsi="宋体" w:cs="宋体" w:hint="eastAsia"/>
          <w:sz w:val="24"/>
        </w:rPr>
        <w:t>审查，将全部表外业务纳入合</w:t>
      </w:r>
      <w:proofErr w:type="gramStart"/>
      <w:r>
        <w:rPr>
          <w:rFonts w:ascii="宋体" w:eastAsia="宋体" w:hAnsi="宋体" w:cs="宋体" w:hint="eastAsia"/>
          <w:sz w:val="24"/>
        </w:rPr>
        <w:t>规</w:t>
      </w:r>
      <w:proofErr w:type="gramEnd"/>
      <w:r>
        <w:rPr>
          <w:rFonts w:ascii="宋体" w:eastAsia="宋体" w:hAnsi="宋体" w:cs="宋体" w:hint="eastAsia"/>
          <w:sz w:val="24"/>
        </w:rPr>
        <w:t>管理。未经合</w:t>
      </w:r>
      <w:proofErr w:type="gramStart"/>
      <w:r>
        <w:rPr>
          <w:rFonts w:ascii="宋体" w:eastAsia="宋体" w:hAnsi="宋体" w:cs="宋体" w:hint="eastAsia"/>
          <w:sz w:val="24"/>
        </w:rPr>
        <w:t>规</w:t>
      </w:r>
      <w:proofErr w:type="gramEnd"/>
      <w:r>
        <w:rPr>
          <w:rFonts w:ascii="宋体" w:eastAsia="宋体" w:hAnsi="宋体" w:cs="宋体" w:hint="eastAsia"/>
          <w:sz w:val="24"/>
        </w:rPr>
        <w:t>审查的，不得开展该项表外业务。</w:t>
      </w:r>
    </w:p>
    <w:p w14:paraId="3D21A8B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商业银行应当根据各类表外业务的规模、复杂程度和风险状况及具体业务特点，指定各类表外业务的风险管理部门，有效管理相关风险。</w:t>
      </w:r>
    </w:p>
    <w:p w14:paraId="4F51903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开展表外业务前，应当由会计部门根据表外业务的交易结构对相应会计科目的设置和会计核算规则进行审查，确保其准确反映表外业务的经济实质和风险实质。</w:t>
      </w:r>
    </w:p>
    <w:p w14:paraId="0716D99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商业银行应当定期汇总整理全行表外业务发展和风险情况，并作为全面风险管理报告的一部分，向董事会报告。</w:t>
      </w:r>
    </w:p>
    <w:p w14:paraId="12A530A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商业银行应当建立表外业务内部审计制度，定期审计业务经营和</w:t>
      </w:r>
      <w:r>
        <w:rPr>
          <w:rFonts w:ascii="宋体" w:eastAsia="宋体" w:hAnsi="宋体" w:cs="宋体" w:hint="eastAsia"/>
          <w:sz w:val="24"/>
        </w:rPr>
        <w:lastRenderedPageBreak/>
        <w:t>风险管理情况。商业银行聘请外部审计师进行年度审计时，应当将表外业务风险情况及相关会计信息纳入年度财务报告审计范围。</w:t>
      </w:r>
    </w:p>
    <w:p w14:paraId="664800C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风险管理</w:t>
      </w:r>
    </w:p>
    <w:p w14:paraId="7352E6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商业银行应当将表外业务纳入全面风险管理体系，对所承担的信用风险、市场风险、操作风险、流动性风险、银行账簿利率风险、声誉风险以及其他风险及时识别、计量、评估、监测、报告、控制或缓释，并建立业务、风险、资本相关联的管理机制。</w:t>
      </w:r>
    </w:p>
    <w:p w14:paraId="4E61A14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商业银行应当准确识别各类表外业务风险，并根据业务种类和风险特征实行差异化风险管理。</w:t>
      </w:r>
    </w:p>
    <w:p w14:paraId="1275067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商业银行应当针对各类表外业务特点，制定相应的管理制度和业务管理流程。未制定相关管理制度和流程的，不得开展该项表外业务。</w:t>
      </w:r>
    </w:p>
    <w:p w14:paraId="2E8616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商业银行应当建立表外业务风险限额管理制度，根据业务规模、性质、复杂程度和外部市场发展变化情况等因素，确定需要设定风险限额的业务，并设定相应的风险限额。</w:t>
      </w:r>
    </w:p>
    <w:p w14:paraId="690A4A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商业银行应当建立表外业务授权管理体系，明确机构、部门、岗位、人员的业务权限，授权管理体系应当与表外业务管理模式、业务规模、复杂程度、风险状况等相适应，并实施动态调整。</w:t>
      </w:r>
    </w:p>
    <w:p w14:paraId="4AE430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商业银行应当对分支机构的表外业务合作机构和产品进行书面审批授权。</w:t>
      </w:r>
    </w:p>
    <w:p w14:paraId="2F31074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商业银行不得开展与本行发展定位、业务规模及风险管理能力不相匹配的表外业务。</w:t>
      </w:r>
    </w:p>
    <w:p w14:paraId="06F0403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商业银行表外业务应当根据银行和客户承担风险的方式、程度和各类表外业务性质，确定相应的审批标准和流程。</w:t>
      </w:r>
    </w:p>
    <w:p w14:paraId="49DBBA7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第二十条 商业银行与其关联机构之间的表外业务合作应当严格遵循关联交易管理有关规定，按照商业原则进行业务合作，交易价格应当以市场价格为基础。</w:t>
      </w:r>
    </w:p>
    <w:p w14:paraId="0D8D74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商业银行应当定期对表外业务开展相关压力测试，测算压力情</w:t>
      </w:r>
      <w:r>
        <w:rPr>
          <w:rFonts w:ascii="宋体" w:eastAsia="宋体" w:hAnsi="宋体" w:cs="宋体" w:hint="eastAsia"/>
          <w:sz w:val="24"/>
        </w:rPr>
        <w:lastRenderedPageBreak/>
        <w:t>景下主要表外业务风险情况，以及对本行资本、流动性、损益变动等的影响。在开展信用风险、市场风险、操作风险、流动性风险、银行账簿利率风险等压力测试时，商业银行也应当充分考虑相关表外业务的影响。</w:t>
      </w:r>
    </w:p>
    <w:p w14:paraId="06BCE8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第二十二条 商业银行应当落实表外业务内部控制要求，加强对客户身份和交易的真实性审核，强化不相容岗位分离、制衡措施和业务的核对、监控，建立异常、可疑交易检查和处理机制。</w:t>
      </w:r>
    </w:p>
    <w:p w14:paraId="182B18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商业银行开展表外业务应当严格依据企业会计准则进行会计核算。对于表外业务形成的垫款，应当纳入表内相关业务科目进行核算和管理。</w:t>
      </w:r>
    </w:p>
    <w:p w14:paraId="4866CC4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商业银行应当建立覆盖所有表外业务的全口径统计制度，制定全行统一的统计标准。</w:t>
      </w:r>
    </w:p>
    <w:p w14:paraId="2AB6A2E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建立表外业务相关信息管理系统，具备统计、计量、监控、报告等功能，能够全面准确反映单个和各类表外业务规模、结构、风险情况，为风险评估、计量、绩效考核、统计分析、监管报告等提供基础数据支持。</w:t>
      </w:r>
    </w:p>
    <w:p w14:paraId="3B93F7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商业银行开展担保承诺类表外业务时，应当按照穿透原则纳入全行统一授信管理，采取统一的授信政策、流程、限额和集中度管理，实行表内外统一管理。</w:t>
      </w:r>
    </w:p>
    <w:p w14:paraId="3686AD1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商业银行应当审慎开展代理投融资服务类、中介服务类表外业务，准确界定相关业务的法律关系、责任和承担的风险种类，厘清各方职责边界，有效管理相关业务所包含的操作风险、声誉风险等风险。</w:t>
      </w:r>
    </w:p>
    <w:p w14:paraId="67AC200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商业银行开展代理投融资服务类、中介服务类表外业务时，不得以任何形式约定或者承诺承担信用风险。</w:t>
      </w:r>
    </w:p>
    <w:p w14:paraId="51568FD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商业银行开展代理投融资服务类、中介服务类表外业务，应当实现表内业务与表外业务、自营业务与代理业务在资产、账务核算、人员等方面的隔离。</w:t>
      </w:r>
    </w:p>
    <w:p w14:paraId="00D9851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商业银行开展代理投融资服务类表外业务时，应当按照参与主体的不同，建立相关主体合作标准、评价体系和审批流程；应当通过签订书面合</w:t>
      </w:r>
      <w:r>
        <w:rPr>
          <w:rFonts w:ascii="宋体" w:eastAsia="宋体" w:hAnsi="宋体" w:cs="宋体" w:hint="eastAsia"/>
          <w:sz w:val="24"/>
        </w:rPr>
        <w:lastRenderedPageBreak/>
        <w:t>同，明确界定商业银行、客户、资金使用方、合作机构等各方参与主体的权利、义务和应当承担的法律责任。</w:t>
      </w:r>
    </w:p>
    <w:p w14:paraId="33D2EC7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参与主体包括客户、资金使用方、合作机构等。其中，客户是指表外业务资金的提供方或来源方；资金使用方是指表外业务中的实际用款方；合作机构是指接受委托提供资产管理以及相关金融服务的金融机构</w:t>
      </w:r>
      <w:proofErr w:type="gramStart"/>
      <w:r>
        <w:rPr>
          <w:rFonts w:ascii="宋体" w:eastAsia="宋体" w:hAnsi="宋体" w:cs="宋体" w:hint="eastAsia"/>
          <w:sz w:val="24"/>
        </w:rPr>
        <w:t>及经银保</w:t>
      </w:r>
      <w:proofErr w:type="gramEnd"/>
      <w:r>
        <w:rPr>
          <w:rFonts w:ascii="宋体" w:eastAsia="宋体" w:hAnsi="宋体" w:cs="宋体" w:hint="eastAsia"/>
          <w:sz w:val="24"/>
        </w:rPr>
        <w:t>监会认可的其他机构。</w:t>
      </w:r>
    </w:p>
    <w:p w14:paraId="3DC569E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商业银行应当对代理投融资服务类表外业务的合作机构、产品实行总行统一管理。未经总行授权，分支机构不得销售任何第三方产品。零售类业务应当按照相关要求实施专区“双录”管理。</w:t>
      </w:r>
    </w:p>
    <w:p w14:paraId="597D2A8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商业银行开展代理金融衍生产品交易业务的，应当遵循合</w:t>
      </w:r>
      <w:proofErr w:type="gramStart"/>
      <w:r>
        <w:rPr>
          <w:rFonts w:ascii="宋体" w:eastAsia="宋体" w:hAnsi="宋体" w:cs="宋体" w:hint="eastAsia"/>
          <w:sz w:val="24"/>
        </w:rPr>
        <w:t>规</w:t>
      </w:r>
      <w:proofErr w:type="gramEnd"/>
      <w:r>
        <w:rPr>
          <w:rFonts w:ascii="宋体" w:eastAsia="宋体" w:hAnsi="宋体" w:cs="宋体" w:hint="eastAsia"/>
          <w:sz w:val="24"/>
        </w:rPr>
        <w:t>性、匹配性、审慎性和透明性原则，加强合</w:t>
      </w:r>
      <w:proofErr w:type="gramStart"/>
      <w:r>
        <w:rPr>
          <w:rFonts w:ascii="宋体" w:eastAsia="宋体" w:hAnsi="宋体" w:cs="宋体" w:hint="eastAsia"/>
          <w:sz w:val="24"/>
        </w:rPr>
        <w:t>规</w:t>
      </w:r>
      <w:proofErr w:type="gramEnd"/>
      <w:r>
        <w:rPr>
          <w:rFonts w:ascii="宋体" w:eastAsia="宋体" w:hAnsi="宋体" w:cs="宋体" w:hint="eastAsia"/>
          <w:sz w:val="24"/>
        </w:rPr>
        <w:t>管理，在谨慎评估后开展业务，确保风险可控，并遵守金融衍生产品相关监管规定。</w:t>
      </w:r>
    </w:p>
    <w:p w14:paraId="31D68B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第二十九条 商业银行应当建立健全总行统一集中管理的表外业务合作机构名单制管理制度，并定期跟踪评价，及时清退不符合条件的机构。商业银行应当针对不同业务种类，制定差异化的合作机构资质审查标准，书面确定对单个合作机构的风险限额和风险监控方式。</w:t>
      </w:r>
    </w:p>
    <w:p w14:paraId="0EAD395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第三十条 商业银行开展代理投融资服务类表外业务时，不得参与具有滚动发行、集合运作、分离定价特征的资金池业务，应当遵守资金来源、资金投向、杠杆水平、投资范围、收益分配、风险承担等相关监管要求。</w:t>
      </w:r>
    </w:p>
    <w:p w14:paraId="267D8E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第三十一条 商业银行开展代理投融资服务类表外业务时，应当严格按照穿透原则向上识别最终投资者，禁止通过欺诈或者误导的方式进行错误销售；向下识别底层资产，确保资金投向符合国家宏观调控政策和相关监管要求，公募证券投资基金除外。</w:t>
      </w:r>
    </w:p>
    <w:p w14:paraId="39C450C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第三十二条 商业银行应当对复杂交易结构的表外业务中可能承担的风险进行实质评估和审查，建立专业化的管理机制，确保前、中、后台充分了解复杂交易结构的风险信息。要对各种担保关系通过合同予以明确，准确识别并有效控制参与代理业务而产生的相关风险。</w:t>
      </w:r>
    </w:p>
    <w:p w14:paraId="3B5CBD5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第三十三条 商业银行应当按照实质重于形式原则和穿透原则，准确识别、评估</w:t>
      </w:r>
      <w:proofErr w:type="gramStart"/>
      <w:r>
        <w:rPr>
          <w:rFonts w:ascii="宋体" w:eastAsia="宋体" w:hAnsi="宋体" w:cs="宋体" w:hint="eastAsia"/>
          <w:sz w:val="24"/>
        </w:rPr>
        <w:t>和缓释各类</w:t>
      </w:r>
      <w:proofErr w:type="gramEnd"/>
      <w:r>
        <w:rPr>
          <w:rFonts w:ascii="宋体" w:eastAsia="宋体" w:hAnsi="宋体" w:cs="宋体" w:hint="eastAsia"/>
          <w:sz w:val="24"/>
        </w:rPr>
        <w:t>表外业务风险。</w:t>
      </w:r>
    </w:p>
    <w:p w14:paraId="6FD95A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实质承担信用风险的表外业务，商业银行应当按照金融资产风险分类相关规定，真实、准确地进行风险分类，并按照债务人履约能力以及金融资产风险变化结果，及时动态调整。商业银行应当严格遵循企业会计准则和相关监管规定，及时、充足计提减值准备。</w:t>
      </w:r>
    </w:p>
    <w:p w14:paraId="0060603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商业银行应当根据资本监管相关规定，按照业务实质审慎计算表外业务对应的风险加权资产，计提资本。</w:t>
      </w:r>
    </w:p>
    <w:p w14:paraId="0C5800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商业银行应当依据相关监管规定，从表外业务收入中计</w:t>
      </w:r>
      <w:proofErr w:type="gramStart"/>
      <w:r>
        <w:rPr>
          <w:rFonts w:ascii="宋体" w:eastAsia="宋体" w:hAnsi="宋体" w:cs="宋体" w:hint="eastAsia"/>
          <w:sz w:val="24"/>
        </w:rPr>
        <w:t>提相关</w:t>
      </w:r>
      <w:proofErr w:type="gramEnd"/>
      <w:r>
        <w:rPr>
          <w:rFonts w:ascii="宋体" w:eastAsia="宋体" w:hAnsi="宋体" w:cs="宋体" w:hint="eastAsia"/>
          <w:sz w:val="24"/>
        </w:rPr>
        <w:t>风险准备金。</w:t>
      </w:r>
    </w:p>
    <w:p w14:paraId="271875F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信息披露</w:t>
      </w:r>
    </w:p>
    <w:p w14:paraId="707234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第三十四条 商业银行应当按照企业会计准则、监管规定以及委托协议的约定等对表外业务情况进行信息披露。信息披露的内容包括但不限于各类表外业务的规模、结构、风险状况等。</w:t>
      </w:r>
    </w:p>
    <w:p w14:paraId="6853056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第三十五条 表外业务信息披露包括定期信息披露和临时信息披露。</w:t>
      </w:r>
    </w:p>
    <w:p w14:paraId="5403AF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定期信息披露是指根据监管规定或表外业务产品说明书、协议等约定的间隔期，定期披露相关信息。</w:t>
      </w:r>
    </w:p>
    <w:p w14:paraId="2C7CA5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临时信息披露是指根据表外业务服务协议等约定，对包括但不限于重大事件、风险事件、产品管理、投资运作情况等内容及时进行披露。</w:t>
      </w:r>
    </w:p>
    <w:p w14:paraId="44E682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第三十六条 商业银行表外业务信息披露应当采用本行官方网站发布、营业网点发布等途径。</w:t>
      </w:r>
    </w:p>
    <w:p w14:paraId="5A27A3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第三十七条 对于应当由表外业务合作机构披露的信息，商业银行应当加强与合作机构沟通，及时掌握其拟披露信息的内容。</w:t>
      </w:r>
    </w:p>
    <w:p w14:paraId="3DBC81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监督管理</w:t>
      </w:r>
    </w:p>
    <w:p w14:paraId="03B1655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第三十八条 商业银行应当按照监管要求，向银保监会及其派出机构报送、登记相关表外业务的经营管理和风险状况的信息、数据。</w:t>
      </w:r>
    </w:p>
    <w:p w14:paraId="478A6CF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第三十九条 商业银行应当定期向银保监会及其派出机构报告表外业务发展和风险情况，至少每年度一次，年度报告应当于年后三个月内报送。报告内容包括但不限于各类表外业务规模、结构、发展趋势、风险状况、压力测试情况、已采取的风险管理措施、潜在风险点和</w:t>
      </w:r>
      <w:proofErr w:type="gramStart"/>
      <w:r>
        <w:rPr>
          <w:rFonts w:ascii="宋体" w:eastAsia="宋体" w:hAnsi="宋体" w:cs="宋体" w:hint="eastAsia"/>
          <w:sz w:val="24"/>
        </w:rPr>
        <w:t>拟采取</w:t>
      </w:r>
      <w:proofErr w:type="gramEnd"/>
      <w:r>
        <w:rPr>
          <w:rFonts w:ascii="宋体" w:eastAsia="宋体" w:hAnsi="宋体" w:cs="宋体" w:hint="eastAsia"/>
          <w:sz w:val="24"/>
        </w:rPr>
        <w:t>的措施等内容。</w:t>
      </w:r>
    </w:p>
    <w:p w14:paraId="2483F55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出现重大事件、风险事件的，应当及时报告。</w:t>
      </w:r>
    </w:p>
    <w:p w14:paraId="7567AC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第四十条 银保监会及其派出机构应当持续分析表外业务发展和风险情况，根据业务种类和风险特征采取差异化的监管方式和监管措施。</w:t>
      </w:r>
    </w:p>
    <w:p w14:paraId="254D9BD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对担保承诺类业务，重点监管信用风险，关注统一授信执行、表外业务信用风险转换系数、表外业务垫款等情况。</w:t>
      </w:r>
    </w:p>
    <w:p w14:paraId="2D5FAE5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对代理投融资服务类、中介服务类业务，重点监管操作风险、声誉风险，关注业务操作规范、客户投诉、金融消费者保护等情况。</w:t>
      </w:r>
    </w:p>
    <w:p w14:paraId="4AAF29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第四十一条 银保监会及其派出机构应当对商业银行相关表外业务的资产风险分类和减值准备计提情况，风险加权资产计量和资本计提情况，相关风险准备金计提情况，以及表外业务对商业银行整体流动性的影响实施持续监管。</w:t>
      </w:r>
    </w:p>
    <w:p w14:paraId="3CE7398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第四十二条 银保监会及其派出机构通过非现场监管和现场检查等对商业银行表外业务风险管理实施持续监管，具体方式包括但不限于风险提示、现场检查、监管通报、监管会谈、与内外部审计师会谈等。</w:t>
      </w:r>
    </w:p>
    <w:p w14:paraId="0D974CE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第四十三条 对不能满足本办法及其他关于表外业务监管要求的商业银行，银保监会及其派出机构可以要求制定整改方案，责令限期改正，并视情况采取相应的监管措施和行政处罚。</w:t>
      </w:r>
    </w:p>
    <w:p w14:paraId="006F32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附 则</w:t>
      </w:r>
    </w:p>
    <w:p w14:paraId="44F45C1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第四十四条 开发银行及政策性银行、农村合作银行、村镇银行、农村信用社、金融资产管理公司、金融租赁公司、企业集团财务公司、汽车金融公司、消费金融公司、信托公司，以及外国银行分行参照本办法执行。</w:t>
      </w:r>
    </w:p>
    <w:p w14:paraId="6D7DAFA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第四十五条 本办法由银保监会负责解释。</w:t>
      </w:r>
    </w:p>
    <w:p w14:paraId="09C8820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第四十六条 商业银行开展表外业务，还应当遵守各类具体表外业务的相关</w:t>
      </w:r>
      <w:r>
        <w:rPr>
          <w:rFonts w:ascii="宋体" w:eastAsia="宋体" w:hAnsi="宋体" w:cs="宋体" w:hint="eastAsia"/>
          <w:sz w:val="24"/>
        </w:rPr>
        <w:lastRenderedPageBreak/>
        <w:t>规定。</w:t>
      </w:r>
    </w:p>
    <w:p w14:paraId="6C31BAE2"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第四十七条 本办法自2023年1月1日起实施，《商业银行表外业务风险管理指引》（银监发〔2011〕31号）同时废止。</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4ADB569A" w14:textId="77777777" w:rsidR="00F50CD8" w:rsidRDefault="00000000">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133.《企业集团财务公司监管评级办法》</w:t>
      </w:r>
    </w:p>
    <w:p w14:paraId="5B963E5D" w14:textId="77777777" w:rsidR="00F50CD8" w:rsidRDefault="00000000">
      <w:pPr>
        <w:spacing w:afterLines="50" w:after="156" w:line="360" w:lineRule="auto"/>
        <w:ind w:firstLineChars="200" w:firstLine="480"/>
        <w:rPr>
          <w:rFonts w:ascii="宋体" w:eastAsia="宋体" w:hAnsi="宋体" w:cs="宋体" w:hint="eastAsia"/>
          <w:sz w:val="24"/>
        </w:rPr>
      </w:pPr>
      <w:bookmarkStart w:id="4" w:name="OLE_LINK2"/>
      <w:r>
        <w:rPr>
          <w:rFonts w:ascii="宋体" w:eastAsia="宋体" w:hAnsi="宋体" w:cs="宋体" w:hint="eastAsia"/>
          <w:sz w:val="24"/>
        </w:rPr>
        <w:t>发文机构：国家金融监督管理总局</w:t>
      </w:r>
      <w:r>
        <w:rPr>
          <w:rFonts w:ascii="宋体" w:eastAsia="宋体" w:hAnsi="宋体" w:cs="宋体" w:hint="eastAsia"/>
          <w:sz w:val="24"/>
        </w:rPr>
        <w:tab/>
        <w:t xml:space="preserve">              </w:t>
      </w:r>
    </w:p>
    <w:p w14:paraId="2DE36F9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文号：金</w:t>
      </w:r>
      <w:proofErr w:type="gramStart"/>
      <w:r>
        <w:rPr>
          <w:rFonts w:ascii="宋体" w:eastAsia="宋体" w:hAnsi="宋体" w:cs="宋体" w:hint="eastAsia"/>
          <w:sz w:val="24"/>
        </w:rPr>
        <w:t>规</w:t>
      </w:r>
      <w:proofErr w:type="gramEnd"/>
      <w:r>
        <w:rPr>
          <w:rFonts w:ascii="宋体" w:eastAsia="宋体" w:hAnsi="宋体" w:cs="宋体" w:hint="eastAsia"/>
          <w:sz w:val="24"/>
        </w:rPr>
        <w:t>〔2023〕1号</w:t>
      </w:r>
    </w:p>
    <w:p w14:paraId="093DE79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第一章 总 则</w:t>
      </w:r>
    </w:p>
    <w:p w14:paraId="26E9D0D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全面评价企业集团财务公司（以下简称财务公司）的风险和管理状况，合理配置监管资源，有效实施分类监管，防范企业集团经营风险向财务公司传导，引导财务公司坚持主责主业、稳健经营和规范发展，持续提升服务实体经济能力，根据《中华人民共和国银行业监督管理法》、《企业集团财务公司管理办法》（以下简称《管理办法》）等有关法律、部门规章的规定，制定本办法。</w:t>
      </w:r>
    </w:p>
    <w:p w14:paraId="72FC90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本办法适用于开业一个完整会计年度以上的财务公司法人机构的监管评级，监管机构可依据本办法对当年新设立的财务公司进行试评级。</w:t>
      </w:r>
    </w:p>
    <w:p w14:paraId="5E38EAE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财务公司监管评级是指监管机构根据日常监</w:t>
      </w:r>
      <w:bookmarkEnd w:id="4"/>
      <w:r>
        <w:rPr>
          <w:rFonts w:ascii="宋体" w:eastAsia="宋体" w:hAnsi="宋体" w:cs="宋体" w:hint="eastAsia"/>
          <w:sz w:val="24"/>
        </w:rPr>
        <w:t>管掌握情况以及其他相关信息，按照本办法对财务公司的整体状况</w:t>
      </w:r>
      <w:proofErr w:type="gramStart"/>
      <w:r>
        <w:rPr>
          <w:rFonts w:ascii="宋体" w:eastAsia="宋体" w:hAnsi="宋体" w:cs="宋体" w:hint="eastAsia"/>
          <w:sz w:val="24"/>
        </w:rPr>
        <w:t>作出</w:t>
      </w:r>
      <w:proofErr w:type="gramEnd"/>
      <w:r>
        <w:rPr>
          <w:rFonts w:ascii="宋体" w:eastAsia="宋体" w:hAnsi="宋体" w:cs="宋体" w:hint="eastAsia"/>
          <w:sz w:val="24"/>
        </w:rPr>
        <w:t>评价判断的监管过程，是实施分类监管的基础。</w:t>
      </w:r>
    </w:p>
    <w:p w14:paraId="4897C55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本办法所称分类监管是指监管机构根据财务公司监管评级结果，参考财务公司季度风险分级和公司治理监管评估情况，对不同评级级别的财务公司在市场准入、监管措施以及监管资源配置等方面实施区别对待的监管政策。</w:t>
      </w:r>
    </w:p>
    <w:p w14:paraId="017A109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财务公司的监管评级工作由国家金融监督管理总局及各级派出机构按照依法合</w:t>
      </w:r>
      <w:proofErr w:type="gramStart"/>
      <w:r>
        <w:rPr>
          <w:rFonts w:ascii="宋体" w:eastAsia="宋体" w:hAnsi="宋体" w:cs="宋体" w:hint="eastAsia"/>
          <w:sz w:val="24"/>
        </w:rPr>
        <w:t>规</w:t>
      </w:r>
      <w:proofErr w:type="gramEnd"/>
      <w:r>
        <w:rPr>
          <w:rFonts w:ascii="宋体" w:eastAsia="宋体" w:hAnsi="宋体" w:cs="宋体" w:hint="eastAsia"/>
          <w:sz w:val="24"/>
        </w:rPr>
        <w:t>、客观公正的原则组织实施。</w:t>
      </w:r>
    </w:p>
    <w:p w14:paraId="42DA577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第二章 评级要素</w:t>
      </w:r>
    </w:p>
    <w:p w14:paraId="4D5AC42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财务公司的监管评级要素包括功能定位、资本管理、公司治理、风险管理、信息科技管理、集团经营与支持等六个部分，分别从定量和定性两个维度进行评价。</w:t>
      </w:r>
    </w:p>
    <w:p w14:paraId="2E22FF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财务公司监管评级结果的满分为一百分，各部分的分值权重分别为功能定位（15%）、资本管理（10%）、公司治理（20%）、风险管理（30%）、信息科技管理（10%）、集团经营与支持（15%）。在按照权重汇总形成总得分的基</w:t>
      </w:r>
      <w:r>
        <w:rPr>
          <w:rFonts w:ascii="宋体" w:eastAsia="宋体" w:hAnsi="宋体" w:cs="宋体" w:hint="eastAsia"/>
          <w:sz w:val="24"/>
        </w:rPr>
        <w:lastRenderedPageBreak/>
        <w:t>础上，根据评级调整事项对评级级次进行调整，形成监管评级结果。</w:t>
      </w:r>
    </w:p>
    <w:p w14:paraId="0F9D9B1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第三章 组织实施</w:t>
      </w:r>
    </w:p>
    <w:p w14:paraId="2C5461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财务公司的监管评级周期为一年，评价期间为上一年1月1日至12月31日。年度评级工作原则上应于每年4月底前完成。</w:t>
      </w:r>
    </w:p>
    <w:p w14:paraId="3C2E688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财务公司监管评级按照初评、复评、审核、反馈监管评级结果、档案归集等环节进行。</w:t>
      </w:r>
    </w:p>
    <w:p w14:paraId="5B6C35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国家金融监督管理总局各级派出机构按照本办法规定的评分标准和评分方法，根据日常监管掌握情况，对财务公司进行监管评级初评和复评。</w:t>
      </w:r>
    </w:p>
    <w:p w14:paraId="61559C4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初评由国家金融监督管理总局各级派出机构负责组织实施，对每一项评级指标的分析判断应当理由充分、分析深入、判断合理，</w:t>
      </w:r>
      <w:proofErr w:type="gramStart"/>
      <w:r>
        <w:rPr>
          <w:rFonts w:ascii="宋体" w:eastAsia="宋体" w:hAnsi="宋体" w:cs="宋体" w:hint="eastAsia"/>
          <w:sz w:val="24"/>
        </w:rPr>
        <w:t>综合非</w:t>
      </w:r>
      <w:proofErr w:type="gramEnd"/>
      <w:r>
        <w:rPr>
          <w:rFonts w:ascii="宋体" w:eastAsia="宋体" w:hAnsi="宋体" w:cs="宋体" w:hint="eastAsia"/>
          <w:sz w:val="24"/>
        </w:rPr>
        <w:t>现场监管部门、现场检查部门、信息科技监管部门和其他功能监管部门意见，准确反映财务公司的实际状况；其中信息科技管理要素评价由各级派出机构信息科技风险监管部门完成。</w:t>
      </w:r>
    </w:p>
    <w:p w14:paraId="2C5A024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复评由国家金融监督管理总局省级派出机构拟定具体程序并组织实施，原则上应当采取正式会议的形式，通过集体讨论确定。各省级派出机构应在每年3月底前将辖内财务公司的监管评级复评结果以监管评级报告形式报送国家金融监督管理总局。初评与复评应当遵循评级尺度统一、公平公正等原则，复评结果对初评结果有调整的，应说明调整理由。</w:t>
      </w:r>
    </w:p>
    <w:p w14:paraId="141527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国家金融监督管理总局对监管评级复评结果进行审核，确定被评级财务公司的监管评级最终结果，并将监管评级最终结果反馈各省级派出机构。</w:t>
      </w:r>
    </w:p>
    <w:p w14:paraId="0A9EA8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国家金融监督管理总局各级派出机构应当将财务公司的监管评级最终结果以及存在的主要风险和问题，通过监管会谈、审慎监管会议、监管意见书等方式向财务公司通报，并在通报中提出相应整改要求。</w:t>
      </w:r>
    </w:p>
    <w:p w14:paraId="03C555F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财务公司在收到监管机构的评级结果通报后，应当及时将有关情况通报财务公司董事会、监事会和高级管理层，并通报财务公司所属集团，通报内容包括但不限于：评级结果、监管机构反馈的主要问题、整改要求等。</w:t>
      </w:r>
    </w:p>
    <w:p w14:paraId="447FA1B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年度监管评级工作结束后，被评级财务公司存在以下一种或多种</w:t>
      </w:r>
      <w:r>
        <w:rPr>
          <w:rFonts w:ascii="宋体" w:eastAsia="宋体" w:hAnsi="宋体" w:cs="宋体" w:hint="eastAsia"/>
          <w:sz w:val="24"/>
        </w:rPr>
        <w:lastRenderedPageBreak/>
        <w:t>情形的，国家金融监督管理总局省级派出机构可申请对监管评级结果进行动态调整。</w:t>
      </w:r>
    </w:p>
    <w:p w14:paraId="6F6C0A8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（一）公司治理和股东、股权管理出现重大变化；</w:t>
      </w:r>
    </w:p>
    <w:p w14:paraId="1EDBB7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（二）核心监管指标出现重大变化；</w:t>
      </w:r>
    </w:p>
    <w:p w14:paraId="6E1F666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（三）报送监管数据严重不实，或存在严重财务造</w:t>
      </w:r>
    </w:p>
    <w:p w14:paraId="45A7BC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假；</w:t>
      </w:r>
    </w:p>
    <w:p w14:paraId="4F03FB5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（四）发生重大突发事件、</w:t>
      </w:r>
      <w:proofErr w:type="gramStart"/>
      <w:r>
        <w:rPr>
          <w:rFonts w:ascii="宋体" w:eastAsia="宋体" w:hAnsi="宋体" w:cs="宋体" w:hint="eastAsia"/>
          <w:sz w:val="24"/>
        </w:rPr>
        <w:t>重大涉刑业内</w:t>
      </w:r>
      <w:proofErr w:type="gramEnd"/>
      <w:r>
        <w:rPr>
          <w:rFonts w:ascii="宋体" w:eastAsia="宋体" w:hAnsi="宋体" w:cs="宋体" w:hint="eastAsia"/>
          <w:sz w:val="24"/>
        </w:rPr>
        <w:t>案件或存</w:t>
      </w:r>
    </w:p>
    <w:p w14:paraId="66CE08C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在严重违法违规行为；</w:t>
      </w:r>
    </w:p>
    <w:p w14:paraId="0933A1C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（五）出现流动性困境、信用危机等严重风险事件；</w:t>
      </w:r>
    </w:p>
    <w:p w14:paraId="1CD1D67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（六）出现严重不良舆情引发声誉风险事件；</w:t>
      </w:r>
    </w:p>
    <w:p w14:paraId="391E3DA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（七）风险处置工作取得重要进展，财务公司经营</w:t>
      </w:r>
    </w:p>
    <w:p w14:paraId="5830B52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和风险状况得到显著改善；</w:t>
      </w:r>
    </w:p>
    <w:p w14:paraId="5FA3099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（八）监管部门认定对财务公司监管评级产生实质</w:t>
      </w:r>
    </w:p>
    <w:p w14:paraId="0CB4A17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性影响的其他重大事件。</w:t>
      </w:r>
    </w:p>
    <w:p w14:paraId="08A2BB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监管评级动态调整应履行初评、复评、审核、反馈监管评级结果和档案归集等程序。</w:t>
      </w:r>
    </w:p>
    <w:p w14:paraId="6606C2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国家金融监督管理总局各级派出机构应督促财务公司建立</w:t>
      </w:r>
      <w:proofErr w:type="gramStart"/>
      <w:r>
        <w:rPr>
          <w:rFonts w:ascii="宋体" w:eastAsia="宋体" w:hAnsi="宋体" w:cs="宋体" w:hint="eastAsia"/>
          <w:sz w:val="24"/>
        </w:rPr>
        <w:t>整改台</w:t>
      </w:r>
      <w:proofErr w:type="gramEnd"/>
      <w:r>
        <w:rPr>
          <w:rFonts w:ascii="宋体" w:eastAsia="宋体" w:hAnsi="宋体" w:cs="宋体" w:hint="eastAsia"/>
          <w:sz w:val="24"/>
        </w:rPr>
        <w:t>账，实行销号管理，实现问题</w:t>
      </w:r>
      <w:proofErr w:type="gramStart"/>
      <w:r>
        <w:rPr>
          <w:rFonts w:ascii="宋体" w:eastAsia="宋体" w:hAnsi="宋体" w:cs="宋体" w:hint="eastAsia"/>
          <w:sz w:val="24"/>
        </w:rPr>
        <w:t>应改尽改</w:t>
      </w:r>
      <w:proofErr w:type="gramEnd"/>
      <w:r>
        <w:rPr>
          <w:rFonts w:ascii="宋体" w:eastAsia="宋体" w:hAnsi="宋体" w:cs="宋体" w:hint="eastAsia"/>
          <w:sz w:val="24"/>
        </w:rPr>
        <w:t>。财务公司不能按照监管要求按时完成整改或整改进度严重落后于整改计划的，原则上将在下一年度监管评级中按照评级调整事项的要求下调一个评定档次，如连续两年未完成整改的下调两个评定档次，以此类推，最低可下调至3B级。</w:t>
      </w:r>
    </w:p>
    <w:p w14:paraId="2C54FD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国家金融监督管理总局建立财务公司监管评级线上化系统，进行集中统一的评级流程跟踪和管理，增强财务公司监管评级工作的规范性和准确性。</w:t>
      </w:r>
    </w:p>
    <w:p w14:paraId="537B37CD"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第四章 评级结果与运用</w:t>
      </w:r>
    </w:p>
    <w:p w14:paraId="391899E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第十六条 财务公司的监管评级结果分为1—5级和S级，其中1—3级进一步细分为A、B两个档次。</w:t>
      </w:r>
    </w:p>
    <w:p w14:paraId="7FD4F20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管评级最终得分在90分（含）以上为1级，其中，95分（含）以上为1A，90分（含）至95分为1B；70分（含）至90分为2级，其中，80分（含）至90分为2A，70分（含）至80分为2B；60分（含）至70分为3级，其中，65分（含）至70分为3A，60分（含）至65分为3B；60分以下的为4级；财务公司出现重大风险的，按照评级调整的相关要求直接划分为5级。正处于重组、被接管、实施市场退出等情况的财务公司经监管机构认定后直接列为S级，不参加当年监管评级。</w:t>
      </w:r>
    </w:p>
    <w:p w14:paraId="27550E5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财务公司的监管评级结果应当作为衡量财务公司经营状况、功能发挥情况、风险管理能力和风险程度的主要依据。</w:t>
      </w:r>
    </w:p>
    <w:p w14:paraId="051320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管评级为1级的财务公司经营状况持续良好，公司治理架构健全、机制完善，风险管理能力强，内部控制有效，所属集团或主要股东抗风险能力突出且对财务公司经营给予有力支持。财务公司可能存在一些轻微问题，但能够通过公司内部“三道防线”及时发现并解决。</w:t>
      </w:r>
    </w:p>
    <w:p w14:paraId="49CB12D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管评级为2级的财务公司经营状况稳健，风险管理能力较强，所属集团或主要股东经营情况良好，对财务公司经营能够给予必要支持。财务公司存在一些较轻问题，但能够在监管提示后在日常经营中予以纠偏解决。</w:t>
      </w:r>
    </w:p>
    <w:p w14:paraId="0E9FDA3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管评级为3级的财务公司存在一些明显弱点，风险管理能力有待加强，所属集团或主要股东经营存在一些劣变迹象，或者虽经营状况基本正常，但对财务公司经营支持力度不足或存在干涉财务公司经营管理的行为。财务公司存在的弱点如不及时纠正，很容易导致经营状况进一步恶化，应当给予监管关注并进行早期干预。</w:t>
      </w:r>
    </w:p>
    <w:p w14:paraId="25843F3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管评级为4级的财务公司经营状况恶化，风险管理和公司治理存在明显缺陷，部分风险问题突出，所属集团经营情况显著恶化或出现流动性紧张的情况。需及时采取监管措施以改善经营状况、降低风险水平，否则可能引发重大风险。</w:t>
      </w:r>
    </w:p>
    <w:p w14:paraId="5D79C76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监管评级为5级的财务公司为高风险财务公司，其经营状况严重恶化，资产</w:t>
      </w:r>
      <w:r>
        <w:rPr>
          <w:rFonts w:ascii="宋体" w:eastAsia="宋体" w:hAnsi="宋体" w:cs="宋体" w:hint="eastAsia"/>
          <w:sz w:val="24"/>
        </w:rPr>
        <w:lastRenderedPageBreak/>
        <w:t>质量快速劣变，可能或已经出现对外债务逾期，风险外溢趋势明显，严重影响债权人利益或金融市场稳定，需要采取措施进行风险处置或救助。</w:t>
      </w:r>
    </w:p>
    <w:p w14:paraId="23E434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第十八条 财务公司的监管评级结果应当作为监管机构制定及调整监管规划、配置监管资源、采取监管措施和行动的主要依据。</w:t>
      </w:r>
    </w:p>
    <w:p w14:paraId="04C5C4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家金融监督管理总局各级派出机构应当根据财务公司的监管评级结果，深入分析风险及其成因，明确监管重点，确定非现场监测和现场检查的频率、范围，督促财务公司对发现的问题及时整改并上报整改落实情况。</w:t>
      </w:r>
    </w:p>
    <w:p w14:paraId="321A469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监管评级为1级的财务公司，以非现场监管为主，定期监测各项监管指标，通过现场走访、监管会谈和调研等方式，掌握最新经营状况，适当放宽监管周期、降低现场检查频率，在市场准入、创新业务试点等方面给予支持。</w:t>
      </w:r>
    </w:p>
    <w:p w14:paraId="3513730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监管评级为2级的财务公司，应当根据评级档次，按照监管投入逐步加大的原则，适当提高非现场监管分析与现场检查的频度、力度，增加与董事会和高级管理层的监管会谈频度，及时发现财务公司经营管理中存在的问题，督促其持续改善公司治理、内部控制和风险管理。</w:t>
      </w:r>
    </w:p>
    <w:p w14:paraId="4630179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对监管评级为3级的财务公司，应提高现场检查频率，加大现场检查力度，督促改善公司治理机制，加强对董事和高级管理人员履职行为的监管，密切跟踪</w:t>
      </w:r>
      <w:proofErr w:type="gramStart"/>
      <w:r>
        <w:rPr>
          <w:rFonts w:ascii="宋体" w:eastAsia="宋体" w:hAnsi="宋体" w:cs="宋体" w:hint="eastAsia"/>
          <w:sz w:val="24"/>
        </w:rPr>
        <w:t>研判集团</w:t>
      </w:r>
      <w:proofErr w:type="gramEnd"/>
      <w:r>
        <w:rPr>
          <w:rFonts w:ascii="宋体" w:eastAsia="宋体" w:hAnsi="宋体" w:cs="宋体" w:hint="eastAsia"/>
          <w:sz w:val="24"/>
        </w:rPr>
        <w:t>及成员企业的经营及风险状况，加大对其高风险业务的监管指导，防范风险外溢，视情况必要时采取相应监管措施，积极进行早期干预。</w:t>
      </w:r>
    </w:p>
    <w:p w14:paraId="3E063CC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监管评级为4级的财务公司，应给予持续的监管关注，列为现场检查重点对象，限制其高风险业务活动，要求其立即采取措施改善经营状况、降低风险水平，并区分问题性质，依法采取要求集团母公司履行增资等相关承诺、限制股东权利、限制分配红利和其他收入、责令调整董事和高级管理人员等措施，必要时暂停部分业务，制定恢复与处置计划。</w:t>
      </w:r>
    </w:p>
    <w:p w14:paraId="10572D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对监管评级为5级的财务公司，执行高风险非</w:t>
      </w:r>
      <w:proofErr w:type="gramStart"/>
      <w:r>
        <w:rPr>
          <w:rFonts w:ascii="宋体" w:eastAsia="宋体" w:hAnsi="宋体" w:cs="宋体" w:hint="eastAsia"/>
          <w:sz w:val="24"/>
        </w:rPr>
        <w:t>银机构</w:t>
      </w:r>
      <w:proofErr w:type="gramEnd"/>
      <w:r>
        <w:rPr>
          <w:rFonts w:ascii="宋体" w:eastAsia="宋体" w:hAnsi="宋体" w:cs="宋体" w:hint="eastAsia"/>
          <w:sz w:val="24"/>
        </w:rPr>
        <w:t>风险处置的有关要求。</w:t>
      </w:r>
    </w:p>
    <w:p w14:paraId="7B74E9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第十九条 国家金融监督管理总局各级派出机构应加强对财务公司单项要素评级得分情况的监管关注，结合评级反映的问题，针对该单项要素依法依规采取相应监管措施。</w:t>
      </w:r>
    </w:p>
    <w:p w14:paraId="4F228F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第二十条 财务公司监管评级结果应当作为财务公司业务分级分类监管的审慎性条件。</w:t>
      </w:r>
    </w:p>
    <w:p w14:paraId="7BD7FEC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监管评级为1级、2级的财务公司，除开展《管理办法》第十九条规定的基础业务外，经批准可以开展《管理办法》第二十条规定的所有专项业务。</w:t>
      </w:r>
    </w:p>
    <w:p w14:paraId="2855220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管评级为3A级的财务公司，除开展《管理办法》第十九条规定的基础业务外，经批准可以开展下列专项业务：从事同业拆借，办理成员单位票据承兑，办理成员单位产品的消费信贷和买方信贷业务，从事固定收益类有价证券投资。</w:t>
      </w:r>
    </w:p>
    <w:p w14:paraId="65085B4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监管评级为3B级的财务公司，除开展《管理办法》第十九条规定的基础业务外，经批准可以开展下列专项业务：办理成员单位产品的消费信贷和买方信贷业务,从事固定收益类有价证券投资。</w:t>
      </w:r>
    </w:p>
    <w:p w14:paraId="0CA3D8F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监管评级为4级的财务公司，只能开展《管理办法》第十九条规定的基础业务，可视风险状况限制或暂停部分业务。</w:t>
      </w:r>
    </w:p>
    <w:p w14:paraId="04C656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监管评级为5级的财务公司，只能在风险敞口不扩大的前提下开展国家金融监督管理总局各级派出机构允许的存款、结算类业务。</w:t>
      </w:r>
    </w:p>
    <w:p w14:paraId="48030B2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第二十一条 监管评级下调不改变财务公司已获批的业务资格，但限制相关业务的开展。</w:t>
      </w:r>
    </w:p>
    <w:p w14:paraId="37CFFE0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对于同业拆借、固定收益类有价证券投资业务资格，财务公司因监管评级下调而不满足本办法第二十条规定的评级要求时，原存量业务不受影响，但不得新增。</w:t>
      </w:r>
    </w:p>
    <w:p w14:paraId="4151667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票据承兑、套期保值类衍生产品交易，财务公司因监管评级下调而不满足本办法第二十条规定的评级要求时，原存量客户对应业务余额不得超过评级通报日该项业务余额，财务公司不得为其他成员单位新增办理上述业务。</w:t>
      </w:r>
    </w:p>
    <w:p w14:paraId="6AD4390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对于成员单位产品的消费信贷和买方信贷业务，财务公司因监管评级下调而不满足本办法第二十条规定的评级要求时，业务余额不得超过评级通报日对应业务余额。</w:t>
      </w:r>
    </w:p>
    <w:p w14:paraId="6A9D511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第五章 监督管理</w:t>
      </w:r>
    </w:p>
    <w:p w14:paraId="303C76A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第二十二条 国家金融监督管理总局各级派出机构在监管评级时应配置充足的监管资源，确保评级工作顺利开展。</w:t>
      </w:r>
    </w:p>
    <w:p w14:paraId="1AA0F7A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第二十三条 评级工作结束后，国家金融监督管理总局各级派出机构应将评级信息、评级工作底稿、评级结果、评级结果反馈会谈纪要等文件材料存档。</w:t>
      </w:r>
    </w:p>
    <w:p w14:paraId="2C4A903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第二十四条 财务公司监管评级结果原则上仅供监管机构内部使用；必要时，监管机构可以采取适当方式与有关政府部门共享财务公司的监管评级结果，并要求其不得向第三方披露或公开。</w:t>
      </w:r>
    </w:p>
    <w:p w14:paraId="438BB58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国家金融监督管理总局及各级派出机构应对监管评级结果严格保密，不得向被评级财务公司及其集团母公司以外的任何人员和机构披露。财务公司应严格限定评级结果用途，不得用于广告、宣传、营销等商业行为。</w:t>
      </w:r>
    </w:p>
    <w:p w14:paraId="61BF8ED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第二十五条 财务公司应当确保其提供的数据及其他资料真实、准确、完整，如存在隐瞒重大事项或者报送、提供的信息和资料有虚假记载、误导性陈述或重大遗漏的，视情节轻重下调其监管评级，情节严重的可依照相关规定采取审慎监管措施。</w:t>
      </w:r>
    </w:p>
    <w:p w14:paraId="0CD80B6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第六章 附 则</w:t>
      </w:r>
    </w:p>
    <w:p w14:paraId="573934F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第二十六条 国家金融监督管理总局根据财务公司的风险特征和监管重点，可于每年开展监管评级工作前对相关评级指标及评价要点进行适当调整。</w:t>
      </w:r>
    </w:p>
    <w:p w14:paraId="48B1F8C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第二十七条 国家金融监督管理总局可以根据行业发展情况和风险监管要求对第二十条所列业务分级分类监管的审慎性条件进行适当调整。</w:t>
      </w:r>
    </w:p>
    <w:p w14:paraId="6EA2506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第二十八条 本办法由国家金融监督管理总局负责解释。</w:t>
      </w:r>
    </w:p>
    <w:p w14:paraId="63F32BEC"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第二十九条 本办法自印发之日起施行。《企业集团财务公司监管评级办法》（银保监办发〔2019〕8号）同时废止。</w:t>
      </w:r>
    </w:p>
    <w:p w14:paraId="02E8F90B" w14:textId="77777777" w:rsidR="00F50CD8" w:rsidRDefault="00000000">
      <w:pPr>
        <w:spacing w:afterLines="50" w:after="156" w:line="360" w:lineRule="auto"/>
        <w:ind w:firstLineChars="200" w:firstLine="482"/>
        <w:rPr>
          <w:rFonts w:ascii="宋体" w:eastAsia="宋体" w:hAnsi="宋体" w:cs="宋体" w:hint="eastAsia"/>
          <w:sz w:val="24"/>
        </w:rPr>
      </w:pPr>
      <w:r>
        <w:rPr>
          <w:rFonts w:ascii="宋体" w:eastAsia="宋体" w:hAnsi="宋体" w:cs="宋体" w:hint="eastAsia"/>
          <w:b/>
          <w:bCs/>
          <w:sz w:val="24"/>
        </w:rPr>
        <w:lastRenderedPageBreak/>
        <w:t>134.《企业集团财务公司行业自律公约》</w:t>
      </w:r>
      <w:r>
        <w:rPr>
          <w:rFonts w:ascii="宋体" w:eastAsia="宋体" w:hAnsi="宋体" w:cs="宋体" w:hint="eastAsia"/>
          <w:b/>
          <w:bCs/>
          <w:sz w:val="24"/>
        </w:rPr>
        <w:tab/>
      </w:r>
    </w:p>
    <w:p w14:paraId="3EA6DB9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发文机构：中国财务公司协会</w:t>
      </w:r>
    </w:p>
    <w:p w14:paraId="2242D30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为保证中国财务公司行业依法合</w:t>
      </w:r>
      <w:proofErr w:type="gramStart"/>
      <w:r>
        <w:rPr>
          <w:rFonts w:ascii="宋体" w:eastAsia="宋体" w:hAnsi="宋体" w:cs="宋体" w:hint="eastAsia"/>
          <w:sz w:val="24"/>
        </w:rPr>
        <w:t>规</w:t>
      </w:r>
      <w:proofErr w:type="gramEnd"/>
      <w:r>
        <w:rPr>
          <w:rFonts w:ascii="宋体" w:eastAsia="宋体" w:hAnsi="宋体" w:cs="宋体" w:hint="eastAsia"/>
          <w:sz w:val="24"/>
        </w:rPr>
        <w:t>经营，维护行业合理有序、互利互惠、共同成长的市场环境，促进行业健康持续发展，根据《企业集团财务公司管理办法》和《中国财务公司协会章程》等有关法律法规，经中国财务公司协会会员单位共同协商，制定本公约。</w:t>
      </w:r>
    </w:p>
    <w:p w14:paraId="78A578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严格执行国家有关法律、法规和规章，遵循所属企业集团发展战略，在平等、自愿、公平和诚信的原则下开展业务，维护国家利益、行业利益、企业集团利益、股东利益和客户利益。</w:t>
      </w:r>
    </w:p>
    <w:p w14:paraId="7F1617B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增强责任意识，提升集体荣誉感，自觉维护本行业、所属企业集团和本单位声誉，不得诋毁行业内其他公司形象。</w:t>
      </w:r>
    </w:p>
    <w:p w14:paraId="0D99C4A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坚持依法合</w:t>
      </w:r>
      <w:proofErr w:type="gramStart"/>
      <w:r>
        <w:rPr>
          <w:rFonts w:ascii="宋体" w:eastAsia="宋体" w:hAnsi="宋体" w:cs="宋体" w:hint="eastAsia"/>
          <w:sz w:val="24"/>
        </w:rPr>
        <w:t>规</w:t>
      </w:r>
      <w:proofErr w:type="gramEnd"/>
      <w:r>
        <w:rPr>
          <w:rFonts w:ascii="宋体" w:eastAsia="宋体" w:hAnsi="宋体" w:cs="宋体" w:hint="eastAsia"/>
          <w:sz w:val="24"/>
        </w:rPr>
        <w:t>经营，保守行业商业秘密，鼓励各会员单位之间开展多渠道的信息交流与业务合作。</w:t>
      </w:r>
    </w:p>
    <w:p w14:paraId="5F19A1B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建立健全公司法人治理结构，明确公司股东会、董事会、监事会和高级管理层的职责，做到产权清晰、权责明确、管理科学。</w:t>
      </w:r>
    </w:p>
    <w:p w14:paraId="755DD706"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坚持安全性、流动性和效益性的经营原则，秉承立足集团、服务集团的经营理念，为企业集团提供财务管理服务的同时不断提高整体竞争力。</w:t>
      </w:r>
    </w:p>
    <w:p w14:paraId="2C0EF0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严格执行国家有关利率、汇率政策，为集团成员单位提供准确、快捷、高效的资金管理和结算服务，不向成员单位承诺违反法律法规、政策许可之外的利益。</w:t>
      </w:r>
    </w:p>
    <w:p w14:paraId="542B3B9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规范开展对企业集团及成员单位的融资类业务，建立审慎的信贷审查和风险控制机制。</w:t>
      </w:r>
    </w:p>
    <w:p w14:paraId="1999616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建立完备的决策和操作规程，强化信用和流动性管理，稳健开展拆借、</w:t>
      </w:r>
      <w:proofErr w:type="gramStart"/>
      <w:r>
        <w:rPr>
          <w:rFonts w:ascii="宋体" w:eastAsia="宋体" w:hAnsi="宋体" w:cs="宋体" w:hint="eastAsia"/>
          <w:sz w:val="24"/>
        </w:rPr>
        <w:t>投资及投行</w:t>
      </w:r>
      <w:proofErr w:type="gramEnd"/>
      <w:r>
        <w:rPr>
          <w:rFonts w:ascii="宋体" w:eastAsia="宋体" w:hAnsi="宋体" w:cs="宋体" w:hint="eastAsia"/>
          <w:sz w:val="24"/>
        </w:rPr>
        <w:t>业务，不断提升金融资源配置和营运能力。</w:t>
      </w:r>
    </w:p>
    <w:p w14:paraId="2C3A6E9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加强服务创新，开拓业务品种，为成员单位提供优质高效的金融服务，推动行业整体进步。</w:t>
      </w:r>
    </w:p>
    <w:p w14:paraId="58B10C8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第十一条 强化内部控制机制建设，完善风险管理制度和程序，重视和加强业务信息系统的安全建设，防范信用风险、市场风险、操作风险和合</w:t>
      </w:r>
      <w:proofErr w:type="gramStart"/>
      <w:r>
        <w:rPr>
          <w:rFonts w:ascii="宋体" w:eastAsia="宋体" w:hAnsi="宋体" w:cs="宋体" w:hint="eastAsia"/>
          <w:sz w:val="24"/>
        </w:rPr>
        <w:t>规</w:t>
      </w:r>
      <w:proofErr w:type="gramEnd"/>
      <w:r>
        <w:rPr>
          <w:rFonts w:ascii="宋体" w:eastAsia="宋体" w:hAnsi="宋体" w:cs="宋体" w:hint="eastAsia"/>
          <w:sz w:val="24"/>
        </w:rPr>
        <w:t>风险等主要经营风险，保障公司经营稳定和资产安全。</w:t>
      </w:r>
    </w:p>
    <w:p w14:paraId="1B39FB3F"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健全以内部稽核为保障的控制体系，确保公司内控机制的有效运转。建立重大事故责任追究制度，确立防范事故风险的长效机制。</w:t>
      </w:r>
    </w:p>
    <w:p w14:paraId="1A686AD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在依法合</w:t>
      </w:r>
      <w:proofErr w:type="gramStart"/>
      <w:r>
        <w:rPr>
          <w:rFonts w:ascii="宋体" w:eastAsia="宋体" w:hAnsi="宋体" w:cs="宋体" w:hint="eastAsia"/>
          <w:sz w:val="24"/>
        </w:rPr>
        <w:t>规</w:t>
      </w:r>
      <w:proofErr w:type="gramEnd"/>
      <w:r>
        <w:rPr>
          <w:rFonts w:ascii="宋体" w:eastAsia="宋体" w:hAnsi="宋体" w:cs="宋体" w:hint="eastAsia"/>
          <w:sz w:val="24"/>
        </w:rPr>
        <w:t>的前提下与其他金融机构开展业务合作，坚持互利互惠互补原则，促进共同发展，防止恶性竞争，维护金融市场稳定。</w:t>
      </w:r>
    </w:p>
    <w:p w14:paraId="32D69FF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各会员单位有责任和义务督促分支机构及全体员工加强自我约束，强化自我管理，将诚信意识贯穿于业务的各个环节，共同营造良好的行业氛围。</w:t>
      </w:r>
    </w:p>
    <w:p w14:paraId="6EC421AB"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加强员工职业道德行为规范教育，倡导无私奉献和克己奉公。强化廉洁自律，坚决反对以权谋私、贪污受贿等不法行为。严格遵守党纪、政纪和廉洁从业有关规定，加大反腐倡廉工作力度。</w:t>
      </w:r>
    </w:p>
    <w:p w14:paraId="754C93E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第十六条 加强对员工的业务培训，提高从业人员的整体素质和业务水平。支持和促进人员的内部有序正常流动。</w:t>
      </w:r>
    </w:p>
    <w:p w14:paraId="15D21B3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第十七条 中国财务公司协会可根据本公约制定相关的实施细则，组织对会员单位自律公约执行情况的监督检查。</w:t>
      </w:r>
    </w:p>
    <w:p w14:paraId="386A1BC4"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第十八条 本公约由中国财务公司协会负责解释及修订。</w:t>
      </w:r>
    </w:p>
    <w:p w14:paraId="59B7F66F" w14:textId="77777777" w:rsidR="00F50CD8" w:rsidRDefault="00000000">
      <w:pPr>
        <w:spacing w:afterLines="50" w:after="156" w:line="360" w:lineRule="auto"/>
        <w:ind w:firstLineChars="200" w:firstLine="482"/>
        <w:rPr>
          <w:rFonts w:ascii="宋体" w:eastAsia="宋体" w:hAnsi="宋体" w:cs="宋体" w:hint="eastAsia"/>
          <w:b/>
          <w:bCs/>
          <w:sz w:val="24"/>
        </w:rPr>
      </w:pPr>
      <w:bookmarkStart w:id="5" w:name="OLE_LINK1"/>
      <w:r>
        <w:rPr>
          <w:rFonts w:ascii="宋体" w:eastAsia="宋体" w:hAnsi="宋体" w:cs="宋体" w:hint="eastAsia"/>
          <w:b/>
          <w:bCs/>
          <w:sz w:val="24"/>
        </w:rPr>
        <w:lastRenderedPageBreak/>
        <w:t>134.《中国财务公司行业反不正当竞争公约》</w:t>
      </w:r>
    </w:p>
    <w:bookmarkEnd w:id="5"/>
    <w:p w14:paraId="0175DE1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发文机构：中国财务公司协会</w:t>
      </w:r>
    </w:p>
    <w:p w14:paraId="21D4C835"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第一条  为维护财务公司行业发展秩序，营造公平竞争环境，反对不正当竞争行为，形成自觉抵制和联合应对不正当竞争行为的机制，促进财务公司行业健康发展，根据《中华人民共和国反不正当竞争法》、《企业集团财务公司管理办法》和《中国财务公司协会章程》，经中国财务公司协会全体会员单位共同商定，制定本公约。</w:t>
      </w:r>
    </w:p>
    <w:p w14:paraId="7B115C2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第二条  本公约适用于中国财务公司协会会员单位及其从业人员。</w:t>
      </w:r>
    </w:p>
    <w:p w14:paraId="6409A47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第三条  本公约所称不正当竞争是指单位及其从业人员（包括非会员单位及其从业人员）违反国家有关法律法规以及本公约约定内容，损害会员单位的合法权益，扰乱行业秩序的行为。</w:t>
      </w:r>
    </w:p>
    <w:p w14:paraId="60F74C5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第四条  会员单位及其从业人员承诺遵循自愿、平等、公平、诚实信用的原则，履行公约的各项约定，自觉抵制不正当竞争行为。</w:t>
      </w:r>
    </w:p>
    <w:p w14:paraId="0A394B2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第五条  会员单位在业务宣传中，应严格遵守国家有关法律法规，坚持实事求是、客观公允的原则，不得采用虚假宣传的手段，隐瞒或不客观揭示业务风险，欺骗和误导客户。不得捏造、散布虚假信息，对竞争对手进行歪曲、诋毁，损害其商业信誉或产品声誉。</w:t>
      </w:r>
    </w:p>
    <w:p w14:paraId="5305CA7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第六条  会员单位在业务办理中，应坚持做到诚实守信、规范运作，不得有下列行为：</w:t>
      </w:r>
    </w:p>
    <w:p w14:paraId="20347419"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（一）违反国家有关法律法规及行业管理规章，超范围、超比例经营；</w:t>
      </w:r>
    </w:p>
    <w:p w14:paraId="1756A027"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（二）以排挤竞争对手为目的，以非公允价格或远低于行业平均价格水平销售金融产品；</w:t>
      </w:r>
    </w:p>
    <w:p w14:paraId="714AAD1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（三）以低于成本价格向客户提供产品和服务或以向客户无偿提供办公场所、设施设备、系统、技术和承担相关费用等不正当手段承揽业务；</w:t>
      </w:r>
    </w:p>
    <w:p w14:paraId="58DE482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（四）以实物、货币、特别权利等方式向相关利益人支付不正当费用；</w:t>
      </w:r>
    </w:p>
    <w:p w14:paraId="6282FE6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lastRenderedPageBreak/>
        <w:t>（五）通过制造和散布虚假信息、操纵价格等方式影响市场价格走势，以非法交易等手段获取不正当利益；</w:t>
      </w:r>
    </w:p>
    <w:p w14:paraId="5667518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（六）以虚假承诺或不当陈述，诱导、瞒骗客户或同业金融机构，套取资金，造成客户或同业金融机构资金损失；</w:t>
      </w:r>
    </w:p>
    <w:p w14:paraId="54B0394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（七）利用标准制定、行业潜规则、交易歧视等形式，限制同业金融机构进入市场，压制公平竞争，或为公平竞争制造障碍；</w:t>
      </w:r>
    </w:p>
    <w:p w14:paraId="0793503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（八）其它影响、限制公平竞争的行为。</w:t>
      </w:r>
    </w:p>
    <w:p w14:paraId="3977F5AA"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第七条 会员单位不得采取下列手段侵犯同业机构（权利人）的商业秘密：</w:t>
      </w:r>
    </w:p>
    <w:p w14:paraId="4A18456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（一）以盗取、利诱或其他不正当手段获取权利人涉及产品研发和重大战略决策等商业秘密；</w:t>
      </w:r>
    </w:p>
    <w:p w14:paraId="202ABD82"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（二）披露、使用或允许他人使用权利人商业秘密；</w:t>
      </w:r>
    </w:p>
    <w:p w14:paraId="22B4F63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（三）违反约定或者违反权利人有关保守商业秘密的要求，披露、使用或允许他人使用权利人商业秘密。</w:t>
      </w:r>
    </w:p>
    <w:p w14:paraId="1355D16E"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第八条 会员单位不得以窃取商业秘密或争夺客户资源为目的，采取不正当手段或方式吸引、招收其他同业单位从业人员，或鼓动、煽动其从业人员集体辞职。</w:t>
      </w:r>
    </w:p>
    <w:p w14:paraId="5E5026B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第九条　会员单位应重视金融行业整体利益与形象，共同抵制恶意逃废银行债务行为，及时将信用不良债务人的情况向协会和同业单位通报，不得违法向被制裁的不良债务人提供便利。</w:t>
      </w:r>
    </w:p>
    <w:p w14:paraId="43E994A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第十条  中国财务公司协会负责及时向有关部门反映会员单位的意愿和要求，维护会员单位的正当权益，向会员单位传递国家反不正当竞争法规、政策及行业自律信息，协调处理会员单位之间以及会员单位与其他同业间的有关纠纷。</w:t>
      </w:r>
    </w:p>
    <w:p w14:paraId="72F83BD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第十一条   会员单位违反本公约的，经中国财务公司协会查实后，视情况给予以下处理：</w:t>
      </w:r>
    </w:p>
    <w:p w14:paraId="381C3591"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（一） 情节轻微的，由中国财务公司协会监事会采取以下自律惩戒措施：</w:t>
      </w:r>
      <w:r>
        <w:rPr>
          <w:rFonts w:ascii="宋体" w:eastAsia="宋体" w:hAnsi="宋体" w:cs="宋体" w:hint="eastAsia"/>
          <w:sz w:val="24"/>
        </w:rPr>
        <w:lastRenderedPageBreak/>
        <w:t>1. 责令违约单位限期改正；2. 行业内部通报；3. 依照《中国财务公司协会章程》进行其他处理。</w:t>
      </w:r>
    </w:p>
    <w:p w14:paraId="2D3FD7C4"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（二） 情节严重的，由中国财务公司协会监事会报中国银监会处理。</w:t>
      </w:r>
    </w:p>
    <w:p w14:paraId="054536C0"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第十二条 会员单位从业人员违反本公约的，由所在单位根据有关规定给予批评教育或行政处分。情节特别严重的，会员单位应及时报告中国财务公司协会，中国财务公司协会负责在行业内部通报，并提出处理建议报中国银监会。</w:t>
      </w:r>
    </w:p>
    <w:p w14:paraId="4B520E3C"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第十三条 会员单位的从业人员对于所在单位给予本人或其他从业人员的处罚有异议的，可以向中国财务公司协会监事会反映。经监事会调查后，确有不当之处的，由中国财务公司协会指导该会员单位纠正其处罚决定。</w:t>
      </w:r>
    </w:p>
    <w:p w14:paraId="25F8ED43"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第十四条  非会员单位及其从业人员违反本公约，侵害会员单位利益的，情节轻微的，由该会员单位自行调查取证和向当地监管机关申诉。在会员单位取证和申诉过程中，中国财务公司协会应予以必要的协助。对于情节严重、影响恶劣的侵害行为，由中国财务公司协会牵头负责组织调查取证，向中国银监会汇报反映情况。</w:t>
      </w:r>
    </w:p>
    <w:p w14:paraId="59B2F888" w14:textId="77777777" w:rsidR="00F50CD8" w:rsidRDefault="00000000">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第十五条 本公约由中国财务公司协会监事会负责解释和修改。</w:t>
      </w:r>
    </w:p>
    <w:p w14:paraId="41F56767" w14:textId="77777777" w:rsidR="00F50CD8" w:rsidRDefault="00000000">
      <w:pPr>
        <w:spacing w:afterLines="50" w:after="156" w:line="360" w:lineRule="auto"/>
        <w:ind w:firstLineChars="200" w:firstLine="480"/>
        <w:rPr>
          <w:rFonts w:ascii="宋体" w:eastAsia="宋体" w:hAnsi="宋体" w:cs="宋体" w:hint="eastAsia"/>
          <w:sz w:val="24"/>
        </w:rPr>
        <w:sectPr w:rsidR="00F50CD8">
          <w:pgSz w:w="11906" w:h="16838"/>
          <w:pgMar w:top="1440" w:right="1800" w:bottom="1440" w:left="1800" w:header="851" w:footer="992" w:gutter="0"/>
          <w:cols w:space="425"/>
          <w:docGrid w:type="lines" w:linePitch="312"/>
        </w:sectPr>
      </w:pPr>
      <w:r>
        <w:rPr>
          <w:rFonts w:ascii="宋体" w:eastAsia="宋体" w:hAnsi="宋体" w:cs="宋体" w:hint="eastAsia"/>
          <w:sz w:val="24"/>
        </w:rPr>
        <w:t>第十六条 本公约由中国财务公司协会会员单位签约后实施。</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p>
    <w:p w14:paraId="224B452F" w14:textId="46ABF3DD" w:rsidR="00272CA3" w:rsidRDefault="00272CA3" w:rsidP="00272CA3">
      <w:pPr>
        <w:spacing w:afterLines="50" w:after="156" w:line="360" w:lineRule="auto"/>
        <w:ind w:firstLineChars="200" w:firstLine="482"/>
        <w:rPr>
          <w:rFonts w:ascii="宋体" w:eastAsia="宋体" w:hAnsi="宋体" w:cs="宋体" w:hint="eastAsia"/>
          <w:b/>
          <w:bCs/>
          <w:sz w:val="24"/>
        </w:rPr>
      </w:pPr>
      <w:r>
        <w:rPr>
          <w:rFonts w:ascii="宋体" w:eastAsia="宋体" w:hAnsi="宋体" w:cs="宋体" w:hint="eastAsia"/>
          <w:b/>
          <w:bCs/>
          <w:sz w:val="24"/>
        </w:rPr>
        <w:lastRenderedPageBreak/>
        <w:t>13</w:t>
      </w:r>
      <w:r>
        <w:rPr>
          <w:rFonts w:ascii="宋体" w:eastAsia="宋体" w:hAnsi="宋体" w:cs="宋体" w:hint="eastAsia"/>
          <w:b/>
          <w:bCs/>
          <w:sz w:val="24"/>
        </w:rPr>
        <w:t>5</w:t>
      </w:r>
      <w:r>
        <w:rPr>
          <w:rFonts w:ascii="宋体" w:eastAsia="宋体" w:hAnsi="宋体" w:cs="宋体" w:hint="eastAsia"/>
          <w:b/>
          <w:bCs/>
          <w:sz w:val="24"/>
        </w:rPr>
        <w:t>.《</w:t>
      </w:r>
      <w:r w:rsidRPr="00272CA3">
        <w:rPr>
          <w:rFonts w:ascii="宋体" w:eastAsia="宋体" w:hAnsi="宋体" w:cs="宋体"/>
          <w:b/>
          <w:bCs/>
          <w:sz w:val="24"/>
        </w:rPr>
        <w:t>金融机构合规管理办法</w:t>
      </w:r>
      <w:r>
        <w:rPr>
          <w:rFonts w:ascii="宋体" w:eastAsia="宋体" w:hAnsi="宋体" w:cs="宋体" w:hint="eastAsia"/>
          <w:b/>
          <w:bCs/>
          <w:sz w:val="24"/>
        </w:rPr>
        <w:t>》</w:t>
      </w:r>
    </w:p>
    <w:p w14:paraId="03B9B283" w14:textId="77777777" w:rsidR="00272CA3" w:rsidRDefault="00272CA3" w:rsidP="00272CA3">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发文机构：国家金融监督管理总局</w:t>
      </w:r>
      <w:r>
        <w:rPr>
          <w:rFonts w:ascii="宋体" w:eastAsia="宋体" w:hAnsi="宋体" w:cs="宋体" w:hint="eastAsia"/>
          <w:sz w:val="24"/>
        </w:rPr>
        <w:tab/>
        <w:t xml:space="preserve">              </w:t>
      </w:r>
    </w:p>
    <w:p w14:paraId="06020896" w14:textId="0A64B958" w:rsidR="00272CA3" w:rsidRDefault="00272CA3" w:rsidP="00272CA3">
      <w:pPr>
        <w:spacing w:afterLines="50" w:after="156" w:line="360" w:lineRule="auto"/>
        <w:ind w:firstLineChars="200" w:firstLine="480"/>
        <w:rPr>
          <w:rFonts w:ascii="宋体" w:eastAsia="宋体" w:hAnsi="宋体" w:cs="宋体" w:hint="eastAsia"/>
          <w:sz w:val="24"/>
        </w:rPr>
      </w:pPr>
      <w:r>
        <w:rPr>
          <w:rFonts w:ascii="宋体" w:eastAsia="宋体" w:hAnsi="宋体" w:cs="宋体" w:hint="eastAsia"/>
          <w:sz w:val="24"/>
        </w:rPr>
        <w:t>文号：</w:t>
      </w:r>
      <w:r w:rsidRPr="00272CA3">
        <w:rPr>
          <w:rFonts w:ascii="宋体" w:eastAsia="宋体" w:hAnsi="宋体" w:cs="宋体" w:hint="eastAsia"/>
          <w:sz w:val="24"/>
        </w:rPr>
        <w:t>2024年12月25日国家金融监督管理总局令2024年第7号公布</w:t>
      </w:r>
    </w:p>
    <w:p w14:paraId="28028496"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第一章 总 则</w:t>
      </w:r>
    </w:p>
    <w:p w14:paraId="03A5365A"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第一条 为提高金融机构依法合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经营能力，根据《中华人民共和国银行业监督管理法》《中华人民共和国商业银行法》《中华人民共和国保险法》《中华人民共和国信托法》等法律法规，制定本办法。</w:t>
      </w:r>
    </w:p>
    <w:p w14:paraId="7422D596"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第二条 依法由国家金融监督管理总局及其派出机构监管的政策性银行、商业银行、金融资产管理公司、企业集团财务公司、金融租赁公司、汽车金融公司、消费金融公司、货币经纪公司、信托公司、理财公司、金融资产投资公司、保险公司（包括再保险公司）、保险资产管理公司、保险集团（控股）公司、相互保险组织等机构（以下统称金融机构）适用本办法。</w:t>
      </w:r>
    </w:p>
    <w:p w14:paraId="7768D2DA"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第三条 本办法所称合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，是指金融机构经营管理行为及其员工履职行为应当符合法律、行政法规、部门规章和规范性文件，以及金融机构落实监管要求制定的内部规范（以下统称合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规范）。</w:t>
      </w:r>
    </w:p>
    <w:p w14:paraId="0B6DDCAD"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本办法所称合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管理，是指金融机构以确保遵循合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规范、有效防控合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风险为目的，以提升依法合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经营管理水平为导向，以经营管理行为和员工履职行为为对象，开展的包括建立合规制度、完善运行机制、培育合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文化、强化监督问责等管理活动。</w:t>
      </w:r>
    </w:p>
    <w:p w14:paraId="10B7867B"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本办法所称合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风险，是指因金融机构经营管理行为或者员工履职行为违反合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规范，造成金融机构或者其员工承担刑事、行政、民事法律责任，财产损失、声誉损失以及其他负面影响的可能性。</w:t>
      </w:r>
    </w:p>
    <w:p w14:paraId="6BAEE7E9"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本办法所称合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管理部门，是指金融机构设立的、牵头承担合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管理职责的内设部门。金融机构设置多个职责不相冲突的部门共同承担合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管理职责的，应当明确合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管理职责的牵头部门。</w:t>
      </w:r>
    </w:p>
    <w:p w14:paraId="3003BD92"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第四条 国有金融机构中的党组织，应当充分发挥领导作用，将党的领导与</w:t>
      </w:r>
      <w:r w:rsidRPr="00272CA3">
        <w:rPr>
          <w:rFonts w:ascii="宋体" w:eastAsia="宋体" w:hAnsi="宋体" w:cs="宋体" w:hint="eastAsia"/>
          <w:sz w:val="24"/>
        </w:rPr>
        <w:lastRenderedPageBreak/>
        <w:t>公司治理有机结合，支持金融机构依法行使职权。非公有制金融机构中的党组织，应当引导和监督金融机构贯彻党的方针政策，遵守国家法律法规，维护各方合法权益，促进金融机构健康发展。</w:t>
      </w:r>
    </w:p>
    <w:p w14:paraId="1A8C617C"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第五条 金融机构合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管理应当遵循以下原则：</w:t>
      </w:r>
    </w:p>
    <w:p w14:paraId="1684848D"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（一）依法合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。严格执行法律法规和各项监管规定，将依法合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经营作为金融机构一切活动必须坚守的底线和红线。</w:t>
      </w:r>
    </w:p>
    <w:p w14:paraId="74DDD908"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（二）全面覆盖。将合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要求贯穿决策、执行、监督、反馈等全流程，覆盖各领域、各环节，落实到各部门、各机构、各岗位以及全体员工。</w:t>
      </w:r>
    </w:p>
    <w:p w14:paraId="7DDBF081"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（三）权责清晰。明确合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管理框架，落实业务及职能部门的主体责任、合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管理部门的管理责任和内部审计部门的监督责任，做到有机统筹、有效衔接。</w:t>
      </w:r>
    </w:p>
    <w:p w14:paraId="79A67494"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（四）务实高效。持续完善与本机构金融业务和人员规模相匹配的合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管理体系，加强对重点领域、关键人员和重要业务的管理，充分运用数字化、智能化等手段，不断提升合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管理效能。</w:t>
      </w:r>
    </w:p>
    <w:p w14:paraId="01D34B61"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第六条 国家金融监督管理总局及其派出机构依法对金融机构合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管理工作实施监督管理。</w:t>
      </w:r>
    </w:p>
    <w:p w14:paraId="21FF7439"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银行业自律组织、保险业自律组织依照本办法制定实施细则，对会员单位的合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管理工作实施自律管理。</w:t>
      </w:r>
    </w:p>
    <w:p w14:paraId="601A7A16"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第二章 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管理架构和职责</w:t>
      </w:r>
    </w:p>
    <w:p w14:paraId="72CA847E"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第七条 金融机构应当制定合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管理制度，按照“分级管理、逐级负责”的要求，完善合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管理组织架构，明确合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管理责任，深化合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文化建设，建立健全合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管理体系。</w:t>
      </w:r>
    </w:p>
    <w:p w14:paraId="5E49C231"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第八条 金融机构的董事会（含行使董事会职权的董事，下同）负责确定合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管理目标，对合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管理的有效性承担最终责任。金融机构的高级管理人员负责落实合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管理目标，对主管或者分管领域业务合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性承担领导责任。</w:t>
      </w:r>
    </w:p>
    <w:p w14:paraId="4EABCBB5"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第九条 金融机构各部门主要负责人，各分支机构和纳入并表管理的各层级金融子公司（以下统称下属各机构）主要负责人负责落实本部门、本级机构的合</w:t>
      </w:r>
      <w:proofErr w:type="gramStart"/>
      <w:r w:rsidRPr="00272CA3">
        <w:rPr>
          <w:rFonts w:ascii="宋体" w:eastAsia="宋体" w:hAnsi="宋体" w:cs="宋体" w:hint="eastAsia"/>
          <w:sz w:val="24"/>
        </w:rPr>
        <w:lastRenderedPageBreak/>
        <w:t>规</w:t>
      </w:r>
      <w:proofErr w:type="gramEnd"/>
      <w:r w:rsidRPr="00272CA3">
        <w:rPr>
          <w:rFonts w:ascii="宋体" w:eastAsia="宋体" w:hAnsi="宋体" w:cs="宋体" w:hint="eastAsia"/>
          <w:sz w:val="24"/>
        </w:rPr>
        <w:t>管理目标，对本部门、本级机构合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管理承担首要责任。</w:t>
      </w:r>
    </w:p>
    <w:p w14:paraId="2FB2CCE6"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第十条 金融机构应当深化合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文化建设，确立合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从高层做起、全员主动合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创造价值等理念，营造不敢违规、不能违规、不想违规的合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文化氛围，促进金融机构自身合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与外部监管有效互动。</w:t>
      </w:r>
    </w:p>
    <w:p w14:paraId="796B6DD7"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第十一条 金融机构的董事会履行下列合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管理职责：</w:t>
      </w:r>
    </w:p>
    <w:p w14:paraId="2961CC97"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（一）审议批准合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管理基本制度；</w:t>
      </w:r>
    </w:p>
    <w:p w14:paraId="27F27D85"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（二）决定合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管理部门的设置；</w:t>
      </w:r>
    </w:p>
    <w:p w14:paraId="1CC627CB"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（三）决定聘任、解聘首席合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官，建立与首席合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官的直接沟通机制；</w:t>
      </w:r>
    </w:p>
    <w:p w14:paraId="78F14D5E"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（四）决定解聘对发生重大违法违规行为、重大合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风险负有主要责任或者领导责任的高级管理人员；</w:t>
      </w:r>
    </w:p>
    <w:p w14:paraId="5C31F8F2"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（五）评估合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管理有效性和合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文化建设水平，督促解决合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管理和合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文化建设中存在的重大问题；</w:t>
      </w:r>
    </w:p>
    <w:p w14:paraId="0428480A"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（六）其他合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管理职责。</w:t>
      </w:r>
    </w:p>
    <w:p w14:paraId="18605F3B"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董事会可以下设合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委员会或者由董事会下设的其他专门委员会履行合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管理相关职责。</w:t>
      </w:r>
    </w:p>
    <w:p w14:paraId="44322BBB"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第十二条 金融机构的高级管理人员履行下列合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管理职责：</w:t>
      </w:r>
    </w:p>
    <w:p w14:paraId="53C481D8"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（一）落实合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管理部门设置和职能要求，配备充足、适当的合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管理人员，并为其履行职责提供充分的人力、物力、财力、技术支持和保障；</w:t>
      </w:r>
    </w:p>
    <w:p w14:paraId="34B61E4D"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（二）组织推动主管或者分管领域的合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管理制度建设、合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审查、合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自查与检查、合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风险监测与管控、合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事件处理等工作；</w:t>
      </w:r>
    </w:p>
    <w:p w14:paraId="49B539DA"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（三）发现重大违法违规行为或者重大合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风险及时报告、整改，督促落实责任追究；</w:t>
      </w:r>
    </w:p>
    <w:p w14:paraId="48793DC8"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（四）其他合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管理职责。</w:t>
      </w:r>
    </w:p>
    <w:p w14:paraId="6E43F679"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第十三条 金融机构应当在机构总部设立首席合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官是高级管</w:t>
      </w:r>
      <w:r w:rsidRPr="00272CA3">
        <w:rPr>
          <w:rFonts w:ascii="宋体" w:eastAsia="宋体" w:hAnsi="宋体" w:cs="宋体" w:hint="eastAsia"/>
          <w:sz w:val="24"/>
        </w:rPr>
        <w:lastRenderedPageBreak/>
        <w:t>理人员，接受机构董事长和行长（总经理）直接领导，向董事会负责。</w:t>
      </w:r>
    </w:p>
    <w:p w14:paraId="40537179"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金融机构原则上应当在省级分支机构或者一级分支机构设立合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官是本级机构高级管理人员，接受本级机构行长（总经理）直接领导。</w:t>
      </w:r>
    </w:p>
    <w:p w14:paraId="5C350FFD"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金融机构的首席合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官及合</w:t>
      </w:r>
      <w:proofErr w:type="gramStart"/>
      <w:r w:rsidRPr="00272CA3">
        <w:rPr>
          <w:rFonts w:ascii="宋体" w:eastAsia="宋体" w:hAnsi="宋体" w:cs="宋体" w:hint="eastAsia"/>
          <w:sz w:val="24"/>
        </w:rPr>
        <w:t>规官应当</w:t>
      </w:r>
      <w:proofErr w:type="gramEnd"/>
      <w:r w:rsidRPr="00272CA3">
        <w:rPr>
          <w:rFonts w:ascii="宋体" w:eastAsia="宋体" w:hAnsi="宋体" w:cs="宋体" w:hint="eastAsia"/>
          <w:sz w:val="24"/>
        </w:rPr>
        <w:t>取得国家金融监督管理总局或者其派出机构的任职资格许可，本办法另有规定的除外。</w:t>
      </w:r>
    </w:p>
    <w:p w14:paraId="7AB33F5D"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第十四条 金融机构可以根据自身经营情况单独设立首席合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官，也可以由金融机构的高级管理人员、省级分支机构或者一级分支机构的高级管理人员兼任。</w:t>
      </w:r>
    </w:p>
    <w:p w14:paraId="4992C68D"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由金融机构行长（总经理）兼任首席合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官，以及由金融机构省级分支机构或者一级分支机构行长（总经理）兼任合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官的，不受本办法规定的首席合</w:t>
      </w:r>
      <w:proofErr w:type="gramStart"/>
      <w:r w:rsidRPr="00272CA3">
        <w:rPr>
          <w:rFonts w:ascii="宋体" w:eastAsia="宋体" w:hAnsi="宋体" w:cs="宋体" w:hint="eastAsia"/>
          <w:sz w:val="24"/>
        </w:rPr>
        <w:t>规官或者合规</w:t>
      </w:r>
      <w:proofErr w:type="gramEnd"/>
      <w:r w:rsidRPr="00272CA3">
        <w:rPr>
          <w:rFonts w:ascii="宋体" w:eastAsia="宋体" w:hAnsi="宋体" w:cs="宋体" w:hint="eastAsia"/>
          <w:sz w:val="24"/>
        </w:rPr>
        <w:t>官的任职条件限制，不需要另行取得任职资格许可。</w:t>
      </w:r>
    </w:p>
    <w:p w14:paraId="1ED7DB21"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第十五条 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官及合</w:t>
      </w:r>
      <w:proofErr w:type="gramStart"/>
      <w:r w:rsidRPr="00272CA3">
        <w:rPr>
          <w:rFonts w:ascii="宋体" w:eastAsia="宋体" w:hAnsi="宋体" w:cs="宋体" w:hint="eastAsia"/>
          <w:sz w:val="24"/>
        </w:rPr>
        <w:t>规官不得</w:t>
      </w:r>
      <w:proofErr w:type="gramEnd"/>
      <w:r w:rsidRPr="00272CA3">
        <w:rPr>
          <w:rFonts w:ascii="宋体" w:eastAsia="宋体" w:hAnsi="宋体" w:cs="宋体" w:hint="eastAsia"/>
          <w:sz w:val="24"/>
        </w:rPr>
        <w:t>负责管理金融机构的前台业务、财务、资金运用、内部审计等可能与合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管理存在职责冲突的部门。金融机构行长（总经理）兼任首席合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官、省级分支机构或者一级分支机构行长（总经理）兼任合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官的除外。</w:t>
      </w:r>
    </w:p>
    <w:p w14:paraId="59FE348A"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第十六条 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官在符合国家金融监督管理总局关于相应机构高级管理人员任职资格基本条件的前提下，还应当具备下列条件：</w:t>
      </w:r>
    </w:p>
    <w:p w14:paraId="08326AC7"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（一）本科以上学历；</w:t>
      </w:r>
    </w:p>
    <w:p w14:paraId="11370334"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（二）从事金融工作八年以上且从事法律合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工作三年以上，或者从事法律合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工作八年以上且从事金融工作三年以上，或者从事金融工作八年以上且取得法律职业资格证书；</w:t>
      </w:r>
    </w:p>
    <w:p w14:paraId="06828A22"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（三）国家金融监督管理总局规定的其他条件。</w:t>
      </w:r>
    </w:p>
    <w:p w14:paraId="58F9DC38"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第十七条 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官在符合国家金融监督管理总局关于相应机构高级管理人员任职资格基本条件的前提下，还应当具备下列条件：</w:t>
      </w:r>
    </w:p>
    <w:p w14:paraId="04822E15"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（一）本科以上学历；</w:t>
      </w:r>
    </w:p>
    <w:p w14:paraId="112E9806"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lastRenderedPageBreak/>
        <w:t>（二）从事金融工作六年以上且从事法律合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工作三年以上，或者从事法律合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工作六年以上且从事金融工作三年以上，或者从事金融工作六年以上且取得法律职业资格证书；</w:t>
      </w:r>
    </w:p>
    <w:p w14:paraId="438AE117"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（三）国家金融监督管理总局规定的其他条件。</w:t>
      </w:r>
    </w:p>
    <w:p w14:paraId="41EA1110"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第十八条 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官对本机构及其员工的合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w:t>
      </w:r>
      <w:proofErr w:type="gramStart"/>
      <w:r w:rsidRPr="00272CA3">
        <w:rPr>
          <w:rFonts w:ascii="宋体" w:eastAsia="宋体" w:hAnsi="宋体" w:cs="宋体" w:hint="eastAsia"/>
          <w:sz w:val="24"/>
        </w:rPr>
        <w:t>负专门</w:t>
      </w:r>
      <w:proofErr w:type="gramEnd"/>
      <w:r w:rsidRPr="00272CA3">
        <w:rPr>
          <w:rFonts w:ascii="宋体" w:eastAsia="宋体" w:hAnsi="宋体" w:cs="宋体" w:hint="eastAsia"/>
          <w:sz w:val="24"/>
        </w:rPr>
        <w:t>领导责任，履行下列合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管理职责：</w:t>
      </w:r>
    </w:p>
    <w:p w14:paraId="4B9D6742"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（一）负责本机构的合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管理工作，组织推动合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管理体系建设，监督合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管理部门和合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岗位的履职情况，组织推动合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规范在机构内严格执行与有效落实；</w:t>
      </w:r>
    </w:p>
    <w:p w14:paraId="708F1DA6"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（二）组织推动合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管理的制度建设、合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审查、合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检查与评价、重大合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事件处理、合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考核、问题整改及队伍建设等，确保合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管理工作有序运转；</w:t>
      </w:r>
    </w:p>
    <w:p w14:paraId="3D715EDE"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（三）按照要求定期向监管机构汇报；</w:t>
      </w:r>
    </w:p>
    <w:p w14:paraId="41514456"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（四）其他合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管理职责。</w:t>
      </w:r>
    </w:p>
    <w:p w14:paraId="65B78157"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第十九条 法律、行政法规、部门规章及规范性文件发生重大变动的，首席合</w:t>
      </w:r>
      <w:proofErr w:type="gramStart"/>
      <w:r w:rsidRPr="00272CA3">
        <w:rPr>
          <w:rFonts w:ascii="宋体" w:eastAsia="宋体" w:hAnsi="宋体" w:cs="宋体" w:hint="eastAsia"/>
          <w:sz w:val="24"/>
        </w:rPr>
        <w:t>规官应当</w:t>
      </w:r>
      <w:proofErr w:type="gramEnd"/>
      <w:r w:rsidRPr="00272CA3">
        <w:rPr>
          <w:rFonts w:ascii="宋体" w:eastAsia="宋体" w:hAnsi="宋体" w:cs="宋体" w:hint="eastAsia"/>
          <w:sz w:val="24"/>
        </w:rPr>
        <w:t>及时组织督导有关部门、下属各机构评估变动对合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管理的影响，修改完善机构内部规范，并监督落实。</w:t>
      </w:r>
    </w:p>
    <w:p w14:paraId="4BE9C83D"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第二十条 首席合</w:t>
      </w:r>
      <w:proofErr w:type="gramStart"/>
      <w:r w:rsidRPr="00272CA3">
        <w:rPr>
          <w:rFonts w:ascii="宋体" w:eastAsia="宋体" w:hAnsi="宋体" w:cs="宋体" w:hint="eastAsia"/>
          <w:sz w:val="24"/>
        </w:rPr>
        <w:t>规官应当</w:t>
      </w:r>
      <w:proofErr w:type="gramEnd"/>
      <w:r w:rsidRPr="00272CA3">
        <w:rPr>
          <w:rFonts w:ascii="宋体" w:eastAsia="宋体" w:hAnsi="宋体" w:cs="宋体" w:hint="eastAsia"/>
          <w:sz w:val="24"/>
        </w:rPr>
        <w:t>组织合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管理部门对金融机构发展战略、重要内部规范、重要新产品和新业务方案、重大决策事项进行合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审查，并出具书面合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审查意见。</w:t>
      </w:r>
    </w:p>
    <w:p w14:paraId="62B399A2"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国家金融监督管理总局及其派出机构要求首席合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官对金融机构报送的申请材料或者报告进行合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审查的，首席合</w:t>
      </w:r>
      <w:proofErr w:type="gramStart"/>
      <w:r w:rsidRPr="00272CA3">
        <w:rPr>
          <w:rFonts w:ascii="宋体" w:eastAsia="宋体" w:hAnsi="宋体" w:cs="宋体" w:hint="eastAsia"/>
          <w:sz w:val="24"/>
        </w:rPr>
        <w:t>规官应当</w:t>
      </w:r>
      <w:proofErr w:type="gramEnd"/>
      <w:r w:rsidRPr="00272CA3">
        <w:rPr>
          <w:rFonts w:ascii="宋体" w:eastAsia="宋体" w:hAnsi="宋体" w:cs="宋体" w:hint="eastAsia"/>
          <w:sz w:val="24"/>
        </w:rPr>
        <w:t>组织审查，并在该申请材料或者报告上签署合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审查意见。其他相关高级管理人员等，应当对申请材料或者报告的基本事实和业务数据的真实性、准确性及完整性负责。</w:t>
      </w:r>
    </w:p>
    <w:p w14:paraId="1F19D503"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审查意见未被采纳的，金融机构应当将有关事项提交董事会审定，重大事项应当及时向监管机构报告。</w:t>
      </w:r>
    </w:p>
    <w:p w14:paraId="3D0DA2EA"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第二十一条 首席合</w:t>
      </w:r>
      <w:proofErr w:type="gramStart"/>
      <w:r w:rsidRPr="00272CA3">
        <w:rPr>
          <w:rFonts w:ascii="宋体" w:eastAsia="宋体" w:hAnsi="宋体" w:cs="宋体" w:hint="eastAsia"/>
          <w:sz w:val="24"/>
        </w:rPr>
        <w:t>规官应当</w:t>
      </w:r>
      <w:proofErr w:type="gramEnd"/>
      <w:r w:rsidRPr="00272CA3">
        <w:rPr>
          <w:rFonts w:ascii="宋体" w:eastAsia="宋体" w:hAnsi="宋体" w:cs="宋体" w:hint="eastAsia"/>
          <w:sz w:val="24"/>
        </w:rPr>
        <w:t>按照国家金融监督管理总局及其派出机构的要</w:t>
      </w:r>
      <w:r w:rsidRPr="00272CA3">
        <w:rPr>
          <w:rFonts w:ascii="宋体" w:eastAsia="宋体" w:hAnsi="宋体" w:cs="宋体" w:hint="eastAsia"/>
          <w:sz w:val="24"/>
        </w:rPr>
        <w:lastRenderedPageBreak/>
        <w:t>求和金融机构内部规范，组织或者要求相关内设部门对机构经营管理和员工履职行为的合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性进行监督检查。金融机构内设部门及其员工应当积极配合首席合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官开展工作。</w:t>
      </w:r>
    </w:p>
    <w:p w14:paraId="4F2FC825"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第二十二条 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官发现金融机构及其员工存在重大违法违规行为或者重大合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风险隐患的，应当及时向董事会、董事长、行长（总经理）报告，提出处理意见，并督促整改。首席合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官发现金融机构及其员工存在其他违法违规行为或者合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风险隐患的，应当按照机构内部合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管理程序，组织督促机构及时报告、处理和整改。首席合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官有权向董事会、高级管理人员、相关部门及下属各机构提出对相关责任人员采取薪酬扣减、岗位调整、降职等措施的建议，并督促责任机构及责任人员及时整改。</w:t>
      </w:r>
    </w:p>
    <w:p w14:paraId="771E04CF"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重大违法违规行为或者重大合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风险隐患主要包括：较大数额的罚款或者没收较大数额的违法所得；造成或者可能造成机构重大财产损失、重大声誉损失的合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风险事件、法律纠纷案件、</w:t>
      </w:r>
      <w:proofErr w:type="gramStart"/>
      <w:r w:rsidRPr="00272CA3">
        <w:rPr>
          <w:rFonts w:ascii="宋体" w:eastAsia="宋体" w:hAnsi="宋体" w:cs="宋体" w:hint="eastAsia"/>
          <w:sz w:val="24"/>
        </w:rPr>
        <w:t>涉刑案件</w:t>
      </w:r>
      <w:proofErr w:type="gramEnd"/>
      <w:r w:rsidRPr="00272CA3">
        <w:rPr>
          <w:rFonts w:ascii="宋体" w:eastAsia="宋体" w:hAnsi="宋体" w:cs="宋体" w:hint="eastAsia"/>
          <w:sz w:val="24"/>
        </w:rPr>
        <w:t>等。</w:t>
      </w:r>
    </w:p>
    <w:p w14:paraId="55AB8371"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第二十三条 金融机构存在重大违法违规行为或者重大合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风险隐患的，应当及时向国家金融监督管理总局或者其派出机构报告。首席合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官发现机构未按要求报告的，应当督促机构及时报告，并可以直接向国家金融监督管理总局或者其派出机构报告。</w:t>
      </w:r>
    </w:p>
    <w:p w14:paraId="2FDE64D6"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第二十四条 金融机构省级分支机构或者一级分支机构的合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官对本级机构及其员工的合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管理负责，其具体职责由金融机构参照首席合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官职责确定。</w:t>
      </w:r>
    </w:p>
    <w:p w14:paraId="01CF36F8"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第二十五条 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官及合</w:t>
      </w:r>
      <w:proofErr w:type="gramStart"/>
      <w:r w:rsidRPr="00272CA3">
        <w:rPr>
          <w:rFonts w:ascii="宋体" w:eastAsia="宋体" w:hAnsi="宋体" w:cs="宋体" w:hint="eastAsia"/>
          <w:sz w:val="24"/>
        </w:rPr>
        <w:t>规官应当</w:t>
      </w:r>
      <w:proofErr w:type="gramEnd"/>
      <w:r w:rsidRPr="00272CA3">
        <w:rPr>
          <w:rFonts w:ascii="宋体" w:eastAsia="宋体" w:hAnsi="宋体" w:cs="宋体" w:hint="eastAsia"/>
          <w:sz w:val="24"/>
        </w:rPr>
        <w:t>及时组织处理国家金融监督管理总局及其派出机构要求调查的合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管理事项，跟踪、督促、评估监管意见和监管要求的落实情况。</w:t>
      </w:r>
    </w:p>
    <w:p w14:paraId="057C77AD"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第二十六条 金融机构各部门、下属各机构及其员工发现本机构重大违法违规行为或者重大合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风险隐患时，应当及时主动向本级机构合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管理部门报告。设置合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官的分支机构，由合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管理部门及时向本级机构合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官报告。</w:t>
      </w:r>
    </w:p>
    <w:p w14:paraId="1307E871"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首席合</w:t>
      </w:r>
      <w:proofErr w:type="gramStart"/>
      <w:r w:rsidRPr="00272CA3">
        <w:rPr>
          <w:rFonts w:ascii="宋体" w:eastAsia="宋体" w:hAnsi="宋体" w:cs="宋体" w:hint="eastAsia"/>
          <w:sz w:val="24"/>
        </w:rPr>
        <w:t>规官或者合规</w:t>
      </w:r>
      <w:proofErr w:type="gramEnd"/>
      <w:r w:rsidRPr="00272CA3">
        <w:rPr>
          <w:rFonts w:ascii="宋体" w:eastAsia="宋体" w:hAnsi="宋体" w:cs="宋体" w:hint="eastAsia"/>
          <w:sz w:val="24"/>
        </w:rPr>
        <w:t>官发现各部门、下属各机构对重大违法违规行为或者重大合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风险隐患存在瞒报、漏报情形的，应当在机构内部的合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考核中，对责任</w:t>
      </w:r>
      <w:r w:rsidRPr="00272CA3">
        <w:rPr>
          <w:rFonts w:ascii="宋体" w:eastAsia="宋体" w:hAnsi="宋体" w:cs="宋体" w:hint="eastAsia"/>
          <w:sz w:val="24"/>
        </w:rPr>
        <w:lastRenderedPageBreak/>
        <w:t>机构和相关负责人实施“一票否决”，不得评优评先等，并及时推动内部问责。</w:t>
      </w:r>
    </w:p>
    <w:p w14:paraId="316CF130"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第二十七条 金融机构总部、省级分支机构或者一级分支机构、纳入并表管理的各层级金融子公司原则上应当设立独立的合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w:t>
      </w:r>
    </w:p>
    <w:p w14:paraId="3B6D873B"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金融机构应当根据业务规模、组织架构和合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管理工作的需要，在其他分支机构设置合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管理部门。不具备设立合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管理部门条件的其他分支机构，原则上应当设立符合履职需要的合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岗位。确不具备设立合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管理部门或者合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岗位条件的，应当由上级机构合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管理部门或者岗位代为履行该分支机构的合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管理职责。</w:t>
      </w:r>
    </w:p>
    <w:p w14:paraId="73E9BAE2"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第二十八条 金融机构的合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管理部门牵头负责合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管理工作，履行下列职责：</w:t>
      </w:r>
    </w:p>
    <w:p w14:paraId="68B36D88"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（一）拟订机构的合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管理基本制度和年度合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管理计划，组织协调机构各部门和下属各机构拟订合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管理相关制度，并推动贯彻落实；</w:t>
      </w:r>
    </w:p>
    <w:p w14:paraId="467DD6F1"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（二）为机构经营管理活动、新产品和新业务的开发等事项提供法律合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支持。审查机构重要内部规范，及时提出制订或者修订建议；</w:t>
      </w:r>
    </w:p>
    <w:p w14:paraId="64ABC1E7"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（三）牵头组织实施合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审查、合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检查、评估评价、合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风险监测与合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事件处理，推进合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规范得到严格执行；</w:t>
      </w:r>
    </w:p>
    <w:p w14:paraId="2C3A9967"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（四）组织或者参与实施合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考核，组织或者参与对违反合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规范主体的问责，保持与监管机构的日常合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工作联系；</w:t>
      </w:r>
    </w:p>
    <w:p w14:paraId="5F1BE021"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（五）组织培育合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文化，开展合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培训，组织刑事犯罪预防教育，向员工提供合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咨询，推动全体员工遵守行为合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准则；</w:t>
      </w:r>
    </w:p>
    <w:p w14:paraId="4B72386A"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（六）董事会确定的其他职责。</w:t>
      </w:r>
    </w:p>
    <w:p w14:paraId="77EB1FF5"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岗位的具体职责，由金融机构参照前款规定确定。</w:t>
      </w:r>
    </w:p>
    <w:p w14:paraId="1235F7F6"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第二十九条 金融机构的境外金融分支机构及境外金融子公司，应当遵循东道国（地区）法律法规和监管要求，并且设立独立的合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管理部门或者符合履职需要的合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岗位，负责根据境外业务、市场情况、相关司法辖区法律法规以及执法环境等因素，识别和防范合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风险，培养专业合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人才。</w:t>
      </w:r>
    </w:p>
    <w:p w14:paraId="3B7658E2"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lastRenderedPageBreak/>
        <w:t>第三十条 金融机构总部合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管理部门向首席合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官负责，按照机构规定和首席合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官的安排履行合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管理职责；省级分支机构或者一级分支机构合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管理部门向本级机构合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官负责，按照本级机构规定和合</w:t>
      </w:r>
      <w:proofErr w:type="gramStart"/>
      <w:r w:rsidRPr="00272CA3">
        <w:rPr>
          <w:rFonts w:ascii="宋体" w:eastAsia="宋体" w:hAnsi="宋体" w:cs="宋体" w:hint="eastAsia"/>
          <w:sz w:val="24"/>
        </w:rPr>
        <w:t>规官安排</w:t>
      </w:r>
      <w:proofErr w:type="gramEnd"/>
      <w:r w:rsidRPr="00272CA3">
        <w:rPr>
          <w:rFonts w:ascii="宋体" w:eastAsia="宋体" w:hAnsi="宋体" w:cs="宋体" w:hint="eastAsia"/>
          <w:sz w:val="24"/>
        </w:rPr>
        <w:t>履行合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管理职责；下属各机构合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管理部门接受上级合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管理部门的指导和监督。</w:t>
      </w:r>
    </w:p>
    <w:p w14:paraId="463C98A3"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第三十一条 金融机构的合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管理部门和合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岗位应当独立于前台业务、财务、资金运用、内部审计部门等可能与合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管理存在职责冲突的部门或者岗位。合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管理部门和合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岗位不得承担与合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管理相冲突的其他职责。</w:t>
      </w:r>
    </w:p>
    <w:p w14:paraId="1DB88A72"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第三十二条 金融机构应当为合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管理部门以外的其他部门配备专职或者兼职从事合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工作的人员。鼓励并支持金融机构建立上述人员向同级合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管理部门负责的机制。</w:t>
      </w:r>
    </w:p>
    <w:p w14:paraId="4BA3FA1A"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第三十三条 金融机构应当将各部门、下属各机构的合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管理纳入统一体系，强化对各部门合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岗位、下属各机构合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管理部门的指导与监督，明确各部门、下属各机构向机构总部报告的合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管理事项，对下属各机构经营管理和员工履职行为的合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性进行检查，督导各部门、下属各机构合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管理工作符合</w:t>
      </w:r>
      <w:proofErr w:type="gramStart"/>
      <w:r w:rsidRPr="00272CA3">
        <w:rPr>
          <w:rFonts w:ascii="宋体" w:eastAsia="宋体" w:hAnsi="宋体" w:cs="宋体" w:hint="eastAsia"/>
          <w:sz w:val="24"/>
        </w:rPr>
        <w:t>合规</w:t>
      </w:r>
      <w:proofErr w:type="gramEnd"/>
      <w:r w:rsidRPr="00272CA3">
        <w:rPr>
          <w:rFonts w:ascii="宋体" w:eastAsia="宋体" w:hAnsi="宋体" w:cs="宋体" w:hint="eastAsia"/>
          <w:sz w:val="24"/>
        </w:rPr>
        <w:t>规范。</w:t>
      </w:r>
    </w:p>
    <w:p w14:paraId="6CBE843F"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第三十四条 鼓励金融机构对合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管理部门实行垂直管理。对合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管理部门实行垂直管理的金融机构，其下属各机构合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管理部门向上一级合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管理部门负责，接受上一级合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管理部门管理。</w:t>
      </w:r>
    </w:p>
    <w:p w14:paraId="63E445B1"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鼓励首席合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官统筹合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管理人员选聘、业务指导、工作汇报、考核管理、合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官提名等事项。</w:t>
      </w:r>
    </w:p>
    <w:p w14:paraId="47528B37"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第三十五条 金融机构的各业务及职能部门、下属各机构承担合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的主体责任，负责</w:t>
      </w:r>
      <w:proofErr w:type="gramStart"/>
      <w:r w:rsidRPr="00272CA3">
        <w:rPr>
          <w:rFonts w:ascii="宋体" w:eastAsia="宋体" w:hAnsi="宋体" w:cs="宋体" w:hint="eastAsia"/>
          <w:sz w:val="24"/>
        </w:rPr>
        <w:t>本条线本领域</w:t>
      </w:r>
      <w:proofErr w:type="gramEnd"/>
      <w:r w:rsidRPr="00272CA3">
        <w:rPr>
          <w:rFonts w:ascii="宋体" w:eastAsia="宋体" w:hAnsi="宋体" w:cs="宋体" w:hint="eastAsia"/>
          <w:sz w:val="24"/>
        </w:rPr>
        <w:t>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规范的严格执行与有效落实，积极配合</w:t>
      </w:r>
      <w:proofErr w:type="gramStart"/>
      <w:r w:rsidRPr="00272CA3">
        <w:rPr>
          <w:rFonts w:ascii="宋体" w:eastAsia="宋体" w:hAnsi="宋体" w:cs="宋体" w:hint="eastAsia"/>
          <w:sz w:val="24"/>
        </w:rPr>
        <w:t>合规</w:t>
      </w:r>
      <w:proofErr w:type="gramEnd"/>
      <w:r w:rsidRPr="00272CA3">
        <w:rPr>
          <w:rFonts w:ascii="宋体" w:eastAsia="宋体" w:hAnsi="宋体" w:cs="宋体" w:hint="eastAsia"/>
          <w:sz w:val="24"/>
        </w:rPr>
        <w:t>管理部门的工作。</w:t>
      </w:r>
    </w:p>
    <w:p w14:paraId="44B396BF"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金融机构的合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管理部门承担合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的管理责任，组织、协调、推动各部门和下属各机构开展合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管理工作。</w:t>
      </w:r>
    </w:p>
    <w:p w14:paraId="38AAE817"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金融机构内部审计部门承担合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的监督责任，对机构经营管理的合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性进行审计，并与合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管理部门建立有效的信息交流机制。</w:t>
      </w:r>
    </w:p>
    <w:p w14:paraId="0F9697DF"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lastRenderedPageBreak/>
        <w:t>第三十六条 金融机构全体员工应当遵守与其履职行为有关的合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规范，积极识别、控制其履职行为的合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风险，主动配合金融机构和监管机构开展合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管理，并对其履职行为的合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性承担责任。</w:t>
      </w:r>
    </w:p>
    <w:p w14:paraId="1F4CED80"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第三章 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管理保障</w:t>
      </w:r>
    </w:p>
    <w:p w14:paraId="654016C6"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第三十七条 金融机构应当为首席合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官及合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管理部门履职提供充分保障，赋予相关人员和部门提出否定意见的权利。</w:t>
      </w:r>
    </w:p>
    <w:p w14:paraId="66B68A83"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金融机构的股东、董事和高级管理人员不得违反规定的职责和程序，干涉首席合</w:t>
      </w:r>
      <w:proofErr w:type="gramStart"/>
      <w:r w:rsidRPr="00272CA3">
        <w:rPr>
          <w:rFonts w:ascii="宋体" w:eastAsia="宋体" w:hAnsi="宋体" w:cs="宋体" w:hint="eastAsia"/>
          <w:sz w:val="24"/>
        </w:rPr>
        <w:t>规官或者合规官依法合规</w:t>
      </w:r>
      <w:proofErr w:type="gramEnd"/>
      <w:r w:rsidRPr="00272CA3">
        <w:rPr>
          <w:rFonts w:ascii="宋体" w:eastAsia="宋体" w:hAnsi="宋体" w:cs="宋体" w:hint="eastAsia"/>
          <w:sz w:val="24"/>
        </w:rPr>
        <w:t>开展工作。</w:t>
      </w:r>
    </w:p>
    <w:p w14:paraId="03ECA29A"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金融机构的董事、高级管理人员、各部门和下属各机构及其员工应当支持和配合首席合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官及合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管理部门及合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管理人员的工作，不得以任何理由限制、阻挠首席合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官及合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管理部门及合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管理人员履行职责。</w:t>
      </w:r>
    </w:p>
    <w:p w14:paraId="2826ADB6"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第三十八条 金融机构应当为合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管理部门配备充足的、具备与履行合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管理职责相适应专业知识和技能的合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管理人员。</w:t>
      </w:r>
    </w:p>
    <w:p w14:paraId="6EE2E8B2"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管理部门应当主要由具有法律或者经济金融专业学历背景的人员组成。初次从事对机构合同进行法律合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审核的人员，以及为机构改制重组、并购上市、产权转让、破产重整、和解及清算等重大事项提出法律合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意见的人员原则上应当具有法律专业背景或者通过法律职业资格考试。</w:t>
      </w:r>
    </w:p>
    <w:p w14:paraId="1205DCBE"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第三十九条 金融机构各部门、下属各机构应当配备与业务规模、风险管控难度相匹配的专职或者兼职合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管理人员。</w:t>
      </w:r>
    </w:p>
    <w:p w14:paraId="05F2240B"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境外金融分支机构及境外金融子公司，应当配备熟悉所在司法辖区法律法规和相关银行保险业务的合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管理人员。合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风险较高的重点国家和地区，应当增加专职合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管理人员，有效防范应对合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w:t>
      </w:r>
    </w:p>
    <w:p w14:paraId="355D6442"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第四十条 金融机构应当保证合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官报告的独立性，实行双线汇报，以向首席合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官汇报为主，并向本级机构行长（总经理）汇报。</w:t>
      </w:r>
    </w:p>
    <w:p w14:paraId="5ADBFC89"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第四十一条 金融机构应当保障首席合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官及合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管理部门及人员履行职责所需的知情权和调查权。</w:t>
      </w:r>
    </w:p>
    <w:p w14:paraId="4473F554"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lastRenderedPageBreak/>
        <w:t>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官及合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官有权根据履行职责需要，参加或者列席有关会议，查阅、复制有关文件、资料。金融机构召开董事会会议、经营决策会议等重要会议的，应当提前通知首席合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w:t>
      </w:r>
    </w:p>
    <w:p w14:paraId="2F975E06"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规官根据</w:t>
      </w:r>
      <w:proofErr w:type="gramEnd"/>
      <w:r w:rsidRPr="00272CA3">
        <w:rPr>
          <w:rFonts w:ascii="宋体" w:eastAsia="宋体" w:hAnsi="宋体" w:cs="宋体" w:hint="eastAsia"/>
          <w:sz w:val="24"/>
        </w:rPr>
        <w:t>履行职责需要，有权向有关部门或者下属各机构进行质询和取证，要求金融机构有关人员对相关事项</w:t>
      </w:r>
      <w:proofErr w:type="gramStart"/>
      <w:r w:rsidRPr="00272CA3">
        <w:rPr>
          <w:rFonts w:ascii="宋体" w:eastAsia="宋体" w:hAnsi="宋体" w:cs="宋体" w:hint="eastAsia"/>
          <w:sz w:val="24"/>
        </w:rPr>
        <w:t>作出</w:t>
      </w:r>
      <w:proofErr w:type="gramEnd"/>
      <w:r w:rsidRPr="00272CA3">
        <w:rPr>
          <w:rFonts w:ascii="宋体" w:eastAsia="宋体" w:hAnsi="宋体" w:cs="宋体" w:hint="eastAsia"/>
          <w:sz w:val="24"/>
        </w:rPr>
        <w:t>说明，向外部审计、法律服务等中介机构了解情况。</w:t>
      </w:r>
    </w:p>
    <w:p w14:paraId="5CFEE318"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第四十二条 金融机构应当保障首席合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官的独立性，决定解聘首席合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官的，应当有正当理由。</w:t>
      </w:r>
    </w:p>
    <w:p w14:paraId="395B0488"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正当理由包括首席合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官本人申请，或者被国家金融监督管理总局及其派出机构责令更换，或者有证据证明其无法正常履职、未能勤勉尽责等情形。</w:t>
      </w:r>
    </w:p>
    <w:p w14:paraId="73C9B610"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第四十三条 金融机构应当建立首席合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管理人员薪酬管理机制。首席合</w:t>
      </w:r>
      <w:proofErr w:type="gramStart"/>
      <w:r w:rsidRPr="00272CA3">
        <w:rPr>
          <w:rFonts w:ascii="宋体" w:eastAsia="宋体" w:hAnsi="宋体" w:cs="宋体" w:hint="eastAsia"/>
          <w:sz w:val="24"/>
        </w:rPr>
        <w:t>规官工作</w:t>
      </w:r>
      <w:proofErr w:type="gramEnd"/>
      <w:r w:rsidRPr="00272CA3">
        <w:rPr>
          <w:rFonts w:ascii="宋体" w:eastAsia="宋体" w:hAnsi="宋体" w:cs="宋体" w:hint="eastAsia"/>
          <w:sz w:val="24"/>
        </w:rPr>
        <w:t>称职的，其年度薪酬收入总额原则上不低于同等条件（同职级、同考核结果）高级管理人员的平均水平。合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官及合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管理人员工作称职的，其年度薪酬收入总额原则上不低于所在机构同等条件（同岗位类型、同职级、同考核结果）人员的平均水平。国家对国有金融企业薪酬标准另有规定的，从其规定。</w:t>
      </w:r>
    </w:p>
    <w:p w14:paraId="1C5A69CB"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金融机构应当制定首席合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管理部门及专职合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管理人员的考核管理制度，除机构主要负责人外，不得采取非分管合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管理部门的高级管理人员评价、其他部门评价、以业务部门的经营业绩为依据等不利于合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独立性的考核方式；不得将需要各部门合力完成的合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工作单独作为合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管理部门的考核指标。</w:t>
      </w:r>
    </w:p>
    <w:p w14:paraId="53994C77"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第四十四条 金融机构应当建立合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工作考核制度，将内设部门、下属各机构合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管理质效纳入考核，并将合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管理情况纳入对下属各机构负责人的年度综合考核。</w:t>
      </w:r>
    </w:p>
    <w:p w14:paraId="3B174227"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金融机构应当强化考核结果运用，将合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职责履行情况作为员工考核、人员任用、评优评先等工作的重要依据。</w:t>
      </w:r>
    </w:p>
    <w:p w14:paraId="0651B29B"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第四十五条 金融机构应当加强合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管理信息化建设，可以运用信息化手段</w:t>
      </w:r>
      <w:r w:rsidRPr="00272CA3">
        <w:rPr>
          <w:rFonts w:ascii="宋体" w:eastAsia="宋体" w:hAnsi="宋体" w:cs="宋体" w:hint="eastAsia"/>
          <w:sz w:val="24"/>
        </w:rPr>
        <w:lastRenderedPageBreak/>
        <w:t>将合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要求和业务管控措施嵌入流程，针对关键节点加强合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审查，强化过程管控。</w:t>
      </w:r>
    </w:p>
    <w:p w14:paraId="073D8F06"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第四十六条 金融机构应当建立合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培训机制，制定年度合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培训计划，加大对机构员工的培训力度，将合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管理作为董事、高级管理人员初任、重点合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风险岗位人员业务培训、新员工入职必修内容，持续提升员工合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意识。</w:t>
      </w:r>
    </w:p>
    <w:p w14:paraId="5FA47AD2"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第四章 监督管理与法律责任</w:t>
      </w:r>
    </w:p>
    <w:p w14:paraId="4408B97C"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第四十七条 国家金融监督管理总局及其派出机构应当对金融机构合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管理工作进行监督检查，并将金融机构合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管理工作开展情况作为综合评级的重要依据。</w:t>
      </w:r>
    </w:p>
    <w:p w14:paraId="1DC092CE"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第四十八条 国家金融监督管理总局及其派出机构根据履行职责的需要，可以与金融机构董事、高级管理人员进行监管谈话，要求金融机构董事、高级管理人员就金融机构合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管理的重大事项</w:t>
      </w:r>
      <w:proofErr w:type="gramStart"/>
      <w:r w:rsidRPr="00272CA3">
        <w:rPr>
          <w:rFonts w:ascii="宋体" w:eastAsia="宋体" w:hAnsi="宋体" w:cs="宋体" w:hint="eastAsia"/>
          <w:sz w:val="24"/>
        </w:rPr>
        <w:t>作出</w:t>
      </w:r>
      <w:proofErr w:type="gramEnd"/>
      <w:r w:rsidRPr="00272CA3">
        <w:rPr>
          <w:rFonts w:ascii="宋体" w:eastAsia="宋体" w:hAnsi="宋体" w:cs="宋体" w:hint="eastAsia"/>
          <w:sz w:val="24"/>
        </w:rPr>
        <w:t>说明。</w:t>
      </w:r>
    </w:p>
    <w:p w14:paraId="7FCCAA9F"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第四十九条 金融机构未及时报告重大违法违规行为或者重大合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风险隐患，未按照要求提供合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管理资料的，由国家金融监督管理总局或者其派出机构依照《中华人民共和国银行业监督管理法》《中华人民共和国商业银行法》《中华人民共和国保险法》等相关规定处理。</w:t>
      </w:r>
    </w:p>
    <w:p w14:paraId="69BA8208"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第五十条 金融机构存在违法违规行为的，国家金融监督管理总局或者其派出机构责令限期整改，并可以明确要求金融机构设立专职的首席合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官或合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官，加强合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管理人员配备，上</w:t>
      </w:r>
      <w:proofErr w:type="gramStart"/>
      <w:r w:rsidRPr="00272CA3">
        <w:rPr>
          <w:rFonts w:ascii="宋体" w:eastAsia="宋体" w:hAnsi="宋体" w:cs="宋体" w:hint="eastAsia"/>
          <w:sz w:val="24"/>
        </w:rPr>
        <w:t>收金融</w:t>
      </w:r>
      <w:proofErr w:type="gramEnd"/>
      <w:r w:rsidRPr="00272CA3">
        <w:rPr>
          <w:rFonts w:ascii="宋体" w:eastAsia="宋体" w:hAnsi="宋体" w:cs="宋体" w:hint="eastAsia"/>
          <w:sz w:val="24"/>
        </w:rPr>
        <w:t>机构下属责任机构的合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管理职责。金融机构逾期未完成整改的，国家金融监督管理总局或者其派出机构根据情节严重程度，采取行政处罚或者其他监管措施。</w:t>
      </w:r>
    </w:p>
    <w:p w14:paraId="331B58E1"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第五十一条 董事、高级管理人员未能勤勉尽责，致使金融机构发生重大违法违规行为或者重大合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风险的，由国家金融监督管理总局或者其派出机构依照相关法律规定采取行政处罚或者其他监管措施；涉嫌犯罪的，依法移送监察机关或者公安机关。</w:t>
      </w:r>
    </w:p>
    <w:p w14:paraId="3B2D7FC3"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第五十二条 金融机构及其工作人员违反本办法规定，法律、行政法规对法律责任有规定的，适用法律、行政法规的规定；法律、行政法规没有规定的，国</w:t>
      </w:r>
      <w:r w:rsidRPr="00272CA3">
        <w:rPr>
          <w:rFonts w:ascii="宋体" w:eastAsia="宋体" w:hAnsi="宋体" w:cs="宋体" w:hint="eastAsia"/>
          <w:sz w:val="24"/>
        </w:rPr>
        <w:lastRenderedPageBreak/>
        <w:t>家金融监督管理总局及其派出机构根据情节严重程度，对金融机构及其直接负责的董事、高级管理人员和其他直接责任人员，处以警告、通报批评、十万元以下罚款；危害金融安全且有危害后果的，处以警告、通报批评、二十万元以下罚款。</w:t>
      </w:r>
    </w:p>
    <w:p w14:paraId="5B8B3561"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第五十三条 首席合</w:t>
      </w:r>
      <w:proofErr w:type="gramStart"/>
      <w:r w:rsidRPr="00272CA3">
        <w:rPr>
          <w:rFonts w:ascii="宋体" w:eastAsia="宋体" w:hAnsi="宋体" w:cs="宋体" w:hint="eastAsia"/>
          <w:sz w:val="24"/>
        </w:rPr>
        <w:t>规官或者合规官违反</w:t>
      </w:r>
      <w:proofErr w:type="gramEnd"/>
      <w:r w:rsidRPr="00272CA3">
        <w:rPr>
          <w:rFonts w:ascii="宋体" w:eastAsia="宋体" w:hAnsi="宋体" w:cs="宋体" w:hint="eastAsia"/>
          <w:sz w:val="24"/>
        </w:rPr>
        <w:t>本办法规定，情节严重，致使金融机构发生重大违法违规行为或者重大合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风险的，国家金融监督管理总局及其派出机构除依法采取行政处罚或者其他监管措施外，还可以依法责令金融机构调整首席合</w:t>
      </w:r>
      <w:proofErr w:type="gramStart"/>
      <w:r w:rsidRPr="00272CA3">
        <w:rPr>
          <w:rFonts w:ascii="宋体" w:eastAsia="宋体" w:hAnsi="宋体" w:cs="宋体" w:hint="eastAsia"/>
          <w:sz w:val="24"/>
        </w:rPr>
        <w:t>规官或者合规</w:t>
      </w:r>
      <w:proofErr w:type="gramEnd"/>
      <w:r w:rsidRPr="00272CA3">
        <w:rPr>
          <w:rFonts w:ascii="宋体" w:eastAsia="宋体" w:hAnsi="宋体" w:cs="宋体" w:hint="eastAsia"/>
          <w:sz w:val="24"/>
        </w:rPr>
        <w:t>官；涉嫌犯罪的，依法移送监察机关或者公安机关。</w:t>
      </w:r>
    </w:p>
    <w:p w14:paraId="068BA667"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第五十四条 金融机构通过有效的合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管理，主动发现违法违规行为或者合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风险隐患，积极妥善处理，落实责任追究，完善内部控制制度和业务流程，符合法定情形的，国家金融监督管理总局及其派出机构依法可以从轻、减轻处理；情节轻微并及时纠正违法违规行为，没有造成危害后果的，或者</w:t>
      </w:r>
      <w:proofErr w:type="gramStart"/>
      <w:r w:rsidRPr="00272CA3">
        <w:rPr>
          <w:rFonts w:ascii="宋体" w:eastAsia="宋体" w:hAnsi="宋体" w:cs="宋体" w:hint="eastAsia"/>
          <w:sz w:val="24"/>
        </w:rPr>
        <w:t>仅违反</w:t>
      </w:r>
      <w:proofErr w:type="gramEnd"/>
      <w:r w:rsidRPr="00272CA3">
        <w:rPr>
          <w:rFonts w:ascii="宋体" w:eastAsia="宋体" w:hAnsi="宋体" w:cs="宋体" w:hint="eastAsia"/>
          <w:sz w:val="24"/>
        </w:rPr>
        <w:t>金融机构内部规定的，不予追究责任。</w:t>
      </w:r>
    </w:p>
    <w:p w14:paraId="367B80EE"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对于金融机构的违法违规行为，首席合</w:t>
      </w:r>
      <w:proofErr w:type="gramStart"/>
      <w:r w:rsidRPr="00272CA3">
        <w:rPr>
          <w:rFonts w:ascii="宋体" w:eastAsia="宋体" w:hAnsi="宋体" w:cs="宋体" w:hint="eastAsia"/>
          <w:sz w:val="24"/>
        </w:rPr>
        <w:t>规官或者合规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管理部门、合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管理人员已经按照本办法的规定尽职履责的，不予追究责任。</w:t>
      </w:r>
    </w:p>
    <w:p w14:paraId="3B0DF730"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第五章 附则</w:t>
      </w:r>
    </w:p>
    <w:p w14:paraId="21D0C647"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第五十五条 金融控股公司、农村合作银行、农村信用合作社、外国银行分行、外国再保险公司分公司以及其他由国家金融监督管理总局及其派出机构监管的金融机构根据行业特点和监管要求参照执行。</w:t>
      </w:r>
    </w:p>
    <w:p w14:paraId="61536377"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第五十六条 本办法施行前，金融机构和其省级分支机构或者一级分支机构已设置的首席合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总监、合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负责人、作为高级管理人员的总法律顾问，可以履行本办法规定的首席合</w:t>
      </w:r>
      <w:proofErr w:type="gramStart"/>
      <w:r w:rsidRPr="00272CA3">
        <w:rPr>
          <w:rFonts w:ascii="宋体" w:eastAsia="宋体" w:hAnsi="宋体" w:cs="宋体" w:hint="eastAsia"/>
          <w:sz w:val="24"/>
        </w:rPr>
        <w:t>规</w:t>
      </w:r>
      <w:proofErr w:type="gramEnd"/>
      <w:r w:rsidRPr="00272CA3">
        <w:rPr>
          <w:rFonts w:ascii="宋体" w:eastAsia="宋体" w:hAnsi="宋体" w:cs="宋体" w:hint="eastAsia"/>
          <w:sz w:val="24"/>
        </w:rPr>
        <w:t>官、合</w:t>
      </w:r>
      <w:proofErr w:type="gramStart"/>
      <w:r w:rsidRPr="00272CA3">
        <w:rPr>
          <w:rFonts w:ascii="宋体" w:eastAsia="宋体" w:hAnsi="宋体" w:cs="宋体" w:hint="eastAsia"/>
          <w:sz w:val="24"/>
        </w:rPr>
        <w:t>规官各项</w:t>
      </w:r>
      <w:proofErr w:type="gramEnd"/>
      <w:r w:rsidRPr="00272CA3">
        <w:rPr>
          <w:rFonts w:ascii="宋体" w:eastAsia="宋体" w:hAnsi="宋体" w:cs="宋体" w:hint="eastAsia"/>
          <w:sz w:val="24"/>
        </w:rPr>
        <w:t>职责。上述人员工作调动前，不受本办法规定的任职条件限制，不需要重新取得国家金融监督管理总局或者其派出机构核准的任职资格。</w:t>
      </w:r>
    </w:p>
    <w:p w14:paraId="571BA59E"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第五十七条 本办法所称“以上”“以下”均包含本数。</w:t>
      </w:r>
    </w:p>
    <w:p w14:paraId="5AAD92FC" w14:textId="77777777" w:rsidR="00272CA3" w:rsidRPr="00272CA3" w:rsidRDefault="00272CA3" w:rsidP="00272CA3">
      <w:pPr>
        <w:spacing w:afterLines="50" w:after="156" w:line="360" w:lineRule="auto"/>
        <w:ind w:firstLineChars="200" w:firstLine="480"/>
        <w:rPr>
          <w:rFonts w:ascii="宋体" w:eastAsia="宋体" w:hAnsi="宋体" w:cs="宋体"/>
          <w:sz w:val="24"/>
        </w:rPr>
      </w:pPr>
      <w:r w:rsidRPr="00272CA3">
        <w:rPr>
          <w:rFonts w:ascii="宋体" w:eastAsia="宋体" w:hAnsi="宋体" w:cs="宋体" w:hint="eastAsia"/>
          <w:sz w:val="24"/>
        </w:rPr>
        <w:t>第五十八条 本办法由国家金融监督管理总局负责解释，自2025年3月1日起施行，过渡期为本办法施行之日起一年。不符合本办法规定的，应当在过渡期内完成整改。《商业银行合规风险管理指引》（银监发〔2006〕76号）、《保</w:t>
      </w:r>
      <w:r w:rsidRPr="00272CA3">
        <w:rPr>
          <w:rFonts w:ascii="宋体" w:eastAsia="宋体" w:hAnsi="宋体" w:cs="宋体" w:hint="eastAsia"/>
          <w:sz w:val="24"/>
        </w:rPr>
        <w:lastRenderedPageBreak/>
        <w:t>险公司合规管理办法》（保监发〔2016〕116号）、《中国保监会关于进一步加强保险公司合规管理工作有关问题的通知》（保监发〔2016〕38号）同时废止。其他部门规章、规范性文件与本办法不一致的，以本办法为准。</w:t>
      </w:r>
    </w:p>
    <w:p w14:paraId="7E8CA6C4" w14:textId="50A012EA" w:rsidR="00F50CD8" w:rsidRPr="00272CA3" w:rsidRDefault="00F50CD8" w:rsidP="00272CA3">
      <w:pPr>
        <w:spacing w:afterLines="50" w:after="156" w:line="360" w:lineRule="auto"/>
        <w:ind w:firstLineChars="200" w:firstLine="480"/>
        <w:rPr>
          <w:rFonts w:ascii="宋体" w:eastAsia="宋体" w:hAnsi="宋体" w:cs="宋体" w:hint="eastAsia"/>
          <w:sz w:val="24"/>
        </w:rPr>
      </w:pPr>
    </w:p>
    <w:sectPr w:rsidR="00F50CD8" w:rsidRPr="00272CA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73792" w14:textId="77777777" w:rsidR="00784ACD" w:rsidRDefault="00784ACD">
      <w:r>
        <w:separator/>
      </w:r>
    </w:p>
  </w:endnote>
  <w:endnote w:type="continuationSeparator" w:id="0">
    <w:p w14:paraId="66E14865" w14:textId="77777777" w:rsidR="00784ACD" w:rsidRDefault="00784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2C352" w14:textId="77777777" w:rsidR="00F50CD8" w:rsidRDefault="00000000">
    <w:pPr>
      <w:pStyle w:val="a4"/>
    </w:pPr>
    <w:r>
      <w:rPr>
        <w:noProof/>
      </w:rPr>
      <mc:AlternateContent>
        <mc:Choice Requires="wps">
          <w:drawing>
            <wp:anchor distT="0" distB="0" distL="114300" distR="114300" simplePos="0" relativeHeight="251659264" behindDoc="0" locked="0" layoutInCell="1" allowOverlap="1" wp14:anchorId="3317BCD8" wp14:editId="30B47912">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956FC6" w14:textId="77777777" w:rsidR="00F50CD8" w:rsidRDefault="00000000">
                          <w:pPr>
                            <w:pStyle w:val="a4"/>
                          </w:pPr>
                          <w:r>
                            <w:fldChar w:fldCharType="begin"/>
                          </w:r>
                          <w:r>
                            <w:instrText xml:space="preserve"> PAGE  \* MERGEFORMAT </w:instrText>
                          </w:r>
                          <w:r>
                            <w:fldChar w:fldCharType="separate"/>
                          </w:r>
                          <w:r>
                            <w:t>1</w:t>
                          </w:r>
                          <w:r>
                            <w:fldChar w:fldCharType="end"/>
                          </w:r>
                          <w:r>
                            <w:t xml:space="preserve"> / </w:t>
                          </w:r>
                          <w:fldSimple w:instr=" NUMPAGES  \* MERGEFORMAT ">
                            <w:r>
                              <w:t>862</w:t>
                            </w:r>
                          </w:fldSimple>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317BCD8"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6956FC6" w14:textId="77777777" w:rsidR="00F50CD8" w:rsidRDefault="00000000">
                    <w:pPr>
                      <w:pStyle w:val="a4"/>
                    </w:pPr>
                    <w:r>
                      <w:fldChar w:fldCharType="begin"/>
                    </w:r>
                    <w:r>
                      <w:instrText xml:space="preserve"> PAGE  \* MERGEFORMAT </w:instrText>
                    </w:r>
                    <w:r>
                      <w:fldChar w:fldCharType="separate"/>
                    </w:r>
                    <w:r>
                      <w:t>1</w:t>
                    </w:r>
                    <w:r>
                      <w:fldChar w:fldCharType="end"/>
                    </w:r>
                    <w:r>
                      <w:t xml:space="preserve"> / </w:t>
                    </w:r>
                    <w:fldSimple w:instr=" NUMPAGES  \* MERGEFORMAT ">
                      <w:r>
                        <w:t>862</w:t>
                      </w:r>
                    </w:fldSimple>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D08BA" w14:textId="77777777" w:rsidR="00784ACD" w:rsidRDefault="00784ACD">
      <w:r>
        <w:separator/>
      </w:r>
    </w:p>
  </w:footnote>
  <w:footnote w:type="continuationSeparator" w:id="0">
    <w:p w14:paraId="6D2FC130" w14:textId="77777777" w:rsidR="00784ACD" w:rsidRDefault="00784A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TRiYTQ1MmU1MmExNzczMjEyMTMzMWU2NjQyMzE4ODEifQ=="/>
  </w:docVars>
  <w:rsids>
    <w:rsidRoot w:val="4ECB4FE6"/>
    <w:rsid w:val="00272CA3"/>
    <w:rsid w:val="00784ACD"/>
    <w:rsid w:val="00813151"/>
    <w:rsid w:val="00F50CD8"/>
    <w:rsid w:val="035C4E21"/>
    <w:rsid w:val="03F33B3D"/>
    <w:rsid w:val="043C7E24"/>
    <w:rsid w:val="06C453DB"/>
    <w:rsid w:val="0E5E4367"/>
    <w:rsid w:val="146F5092"/>
    <w:rsid w:val="16465E0D"/>
    <w:rsid w:val="1AF5570C"/>
    <w:rsid w:val="1F1B6263"/>
    <w:rsid w:val="1F4153C3"/>
    <w:rsid w:val="208F03B0"/>
    <w:rsid w:val="218C1987"/>
    <w:rsid w:val="2CD803A2"/>
    <w:rsid w:val="2D8F19F0"/>
    <w:rsid w:val="2DFD1691"/>
    <w:rsid w:val="30730ED0"/>
    <w:rsid w:val="31F62311"/>
    <w:rsid w:val="3627310D"/>
    <w:rsid w:val="3E784438"/>
    <w:rsid w:val="419431DF"/>
    <w:rsid w:val="462C207A"/>
    <w:rsid w:val="478E1ED9"/>
    <w:rsid w:val="48BB6BEC"/>
    <w:rsid w:val="49B902EA"/>
    <w:rsid w:val="4D1D271C"/>
    <w:rsid w:val="4DAB1AD6"/>
    <w:rsid w:val="4DF521E1"/>
    <w:rsid w:val="4ECB4FE6"/>
    <w:rsid w:val="4FBE0928"/>
    <w:rsid w:val="505A1262"/>
    <w:rsid w:val="54CC5154"/>
    <w:rsid w:val="54CD3C6B"/>
    <w:rsid w:val="55250BAE"/>
    <w:rsid w:val="57AF48B9"/>
    <w:rsid w:val="5C3443D8"/>
    <w:rsid w:val="63E241AA"/>
    <w:rsid w:val="65257F68"/>
    <w:rsid w:val="66ED3745"/>
    <w:rsid w:val="67C92AE2"/>
    <w:rsid w:val="6A072332"/>
    <w:rsid w:val="6A2A5538"/>
    <w:rsid w:val="6A45223E"/>
    <w:rsid w:val="6BE70223"/>
    <w:rsid w:val="6DD93FE6"/>
    <w:rsid w:val="70B60ACE"/>
    <w:rsid w:val="71DD152F"/>
    <w:rsid w:val="731C2BC3"/>
    <w:rsid w:val="789412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7101EB"/>
  <w15:docId w15:val="{3DF86C5B-3761-448A-84A4-51853396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nhideWhenUsed="1" w:qFormat="1"/>
    <w:lsdException w:name="footer"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next w:val="a0"/>
    <w:link w:val="10"/>
    <w:qFormat/>
    <w:pPr>
      <w:keepNext/>
      <w:keepLines/>
      <w:spacing w:before="130" w:line="280" w:lineRule="atLeast"/>
      <w:outlineLvl w:val="0"/>
    </w:pPr>
    <w:rPr>
      <w:rFonts w:eastAsia="华文楷体"/>
      <w:b/>
      <w:sz w:val="24"/>
    </w:rPr>
  </w:style>
  <w:style w:type="paragraph" w:styleId="2">
    <w:name w:val="heading 2"/>
    <w:next w:val="a0"/>
    <w:qFormat/>
    <w:pPr>
      <w:keepNext/>
      <w:keepLines/>
      <w:spacing w:before="130" w:line="280" w:lineRule="atLeast"/>
      <w:outlineLvl w:val="1"/>
    </w:pPr>
    <w:rPr>
      <w:rFonts w:eastAsia="华文楷体"/>
      <w:b/>
      <w:i/>
      <w:sz w:val="24"/>
    </w:rPr>
  </w:style>
  <w:style w:type="paragraph" w:styleId="3">
    <w:name w:val="heading 3"/>
    <w:next w:val="a0"/>
    <w:qFormat/>
    <w:pPr>
      <w:keepNext/>
      <w:keepLines/>
      <w:spacing w:before="130" w:line="260" w:lineRule="atLeast"/>
      <w:outlineLvl w:val="2"/>
    </w:pPr>
    <w:rPr>
      <w:rFonts w:eastAsia="华文楷体"/>
      <w:i/>
      <w:sz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qFormat/>
    <w:pPr>
      <w:spacing w:before="130" w:after="130" w:line="260" w:lineRule="atLeast"/>
    </w:pPr>
    <w:rPr>
      <w:rFonts w:eastAsia="华文楷体"/>
      <w:sz w:val="22"/>
      <w:szCs w:val="22"/>
    </w:rPr>
  </w:style>
  <w:style w:type="paragraph" w:styleId="a4">
    <w:name w:val="footer"/>
    <w:basedOn w:val="a"/>
    <w:unhideWhenUsed/>
    <w:qFormat/>
    <w:pPr>
      <w:tabs>
        <w:tab w:val="center" w:pos="4153"/>
        <w:tab w:val="right" w:pos="8306"/>
      </w:tabs>
      <w:snapToGrid w:val="0"/>
      <w:jc w:val="left"/>
    </w:pPr>
    <w:rPr>
      <w:sz w:val="18"/>
      <w:szCs w:val="18"/>
    </w:rPr>
  </w:style>
  <w:style w:type="paragraph" w:styleId="a5">
    <w:name w:val="header"/>
    <w:basedOn w:val="a"/>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a6">
    <w:name w:val="Normal (Web)"/>
    <w:basedOn w:val="a"/>
    <w:qFormat/>
    <w:pPr>
      <w:spacing w:beforeAutospacing="1" w:afterAutospacing="1"/>
      <w:jc w:val="left"/>
    </w:pPr>
    <w:rPr>
      <w:rFonts w:cs="Times New Roman"/>
      <w:kern w:val="0"/>
      <w:sz w:val="24"/>
    </w:rPr>
  </w:style>
  <w:style w:type="character" w:styleId="a7">
    <w:name w:val="Strong"/>
    <w:basedOn w:val="a1"/>
    <w:qFormat/>
    <w:rPr>
      <w:b/>
    </w:rPr>
  </w:style>
  <w:style w:type="character" w:customStyle="1" w:styleId="10">
    <w:name w:val="标题 1 字符"/>
    <w:link w:val="1"/>
    <w:rPr>
      <w:rFonts w:ascii="Times New Roman" w:eastAsia="华文楷体" w:hAnsi="Times New Roman" w:cs="Times New Roman"/>
      <w:b/>
      <w:sz w:val="24"/>
      <w:szCs w:val="20"/>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870033">
      <w:bodyDiv w:val="1"/>
      <w:marLeft w:val="0"/>
      <w:marRight w:val="0"/>
      <w:marTop w:val="0"/>
      <w:marBottom w:val="0"/>
      <w:divBdr>
        <w:top w:val="none" w:sz="0" w:space="0" w:color="auto"/>
        <w:left w:val="none" w:sz="0" w:space="0" w:color="auto"/>
        <w:bottom w:val="none" w:sz="0" w:space="0" w:color="auto"/>
        <w:right w:val="none" w:sz="0" w:space="0" w:color="auto"/>
      </w:divBdr>
    </w:div>
    <w:div w:id="1051420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1204</Pages>
  <Words>118784</Words>
  <Characters>677074</Characters>
  <Application>Microsoft Office Word</Application>
  <DocSecurity>0</DocSecurity>
  <Lines>5642</Lines>
  <Paragraphs>1588</Paragraphs>
  <ScaleCrop>false</ScaleCrop>
  <Company/>
  <LinksUpToDate>false</LinksUpToDate>
  <CharactersWithSpaces>794270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歖歡</dc:creator>
  <cp:lastModifiedBy>佳丽 王</cp:lastModifiedBy>
  <cp:revision>2</cp:revision>
  <dcterms:created xsi:type="dcterms:W3CDTF">2023-11-23T23:19:00Z</dcterms:created>
  <dcterms:modified xsi:type="dcterms:W3CDTF">2025-01-06T13:14:00Z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39F8577437854D3FBC9205BEAD55F73A_11</vt:lpwstr>
  </property>
</Properties>
</file>