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  <w:rPr>
          <w:rFonts w:ascii="黑体" w:hAnsi="黑体" w:eastAsia="黑体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6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中国财务公司协会2024年财务公司</w:t>
      </w:r>
      <w:r>
        <w:rPr>
          <w:rFonts w:ascii="黑体" w:hAnsi="黑体" w:eastAsia="黑体"/>
          <w:sz w:val="36"/>
          <w:szCs w:val="36"/>
        </w:rPr>
        <w:br/>
      </w:r>
      <w:r>
        <w:rPr>
          <w:rFonts w:hint="eastAsia" w:ascii="黑体" w:hAnsi="黑体" w:eastAsia="黑体"/>
          <w:sz w:val="36"/>
          <w:szCs w:val="36"/>
        </w:rPr>
        <w:t>数据统计优秀单位名单</w:t>
      </w:r>
    </w:p>
    <w:p>
      <w:pPr>
        <w:jc w:val="center"/>
        <w:rPr>
          <w:rFonts w:ascii="黑体" w:hAnsi="黑体" w:eastAsia="黑体"/>
          <w:sz w:val="36"/>
          <w:szCs w:val="36"/>
        </w:rPr>
      </w:pPr>
    </w:p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（财务公司名单按音序排列）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安徽省能源集团财务有限公司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安徽省皖北煤电集团财务有限公司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兵器装备集团财务有限责任公司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重庆市能源投资集团财务有限公司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创维集团财务有限公司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东风汽车财务有限公司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东航集团财务有限责任公司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鄂尔多斯财务有限公司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光明食品集团财务有限公司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国家电投集团财务有限公司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国家能源集团财务有限公司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国药集团财务有限公司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海信集团财务有限公司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华联财务有限责任公司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淮北矿业集团财务有限公司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江铃汽车集团财务有限公司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江苏交通控股集团财务有限公司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江苏省国信集团财务有限公司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美的集团财务有限公司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南方电网财务有限公司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南山集团财务有限公司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内蒙古电力集团财务有限责任公司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三峡财务有限责任公司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沙钢财务有限公司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山东晨鸣集团财务有限公司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山东港口集团财务有限责任公司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山东黄金集团财务有限公司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山东能源集团财务有限公司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山东省商业集团财务有限公司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上海城投集团财务有限公司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上海电气集团财务有限责任公司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上海复星高科技集团财务有限公司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上海华谊集团财务有限责任公司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上海上实集团财务有限公司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上海外高桥集团财务有限公司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上海文化广播影视集团财务有限公司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首钢集团财务有限公司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特变电工集团财务有限公司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天津天保财务有限公司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天津医药集团财务有限公司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万向财务有限公司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五矿集团财务有限责任公司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物产中大集团财务有限公司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西门子财务服务有限责任公司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新疆金风科技集团财务有限公司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新希望财务有限公司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阳泉煤业集团财务有限责任公司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浙江海港集团财务有限公司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郑州宇通集团财务有限公司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中车财务有限公司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中船财务有限责任公司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中广核财务有限责任公司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中国电建集团财务有限责任公司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中国电子财务有限责任公司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中国华电集团财务有限公司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中国华能财务有限责任公司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中国平煤神马集团财务有限责任公司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中国融通集团财务有限责任公司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中化工程集团财务有限公司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中化集团财务有限责任公司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中建财务有限公司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中铁财务有限责任公司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中信财务有限公司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中兴通讯集团财务有限公司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中油财务有限责任公司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珠海华发集团财务有限公司</w:t>
      </w:r>
    </w:p>
    <w:p>
      <w:pPr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紫金矿业集团财务有限公司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qFormat="1"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182</Words>
  <Characters>1038</Characters>
  <Lines>8</Lines>
  <Paragraphs>2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2017-11-09T01:47:00Z</dcterms:created>
  <dc:creator>Administrator</dc:creator>
  <cp:lastModifiedBy>商屹</cp:lastModifiedBy>
  <cp:lastPrinted>2020-12-11T07:28:00Z</cp:lastPrinted>
  <dcterms:modified xsi:type="dcterms:W3CDTF">2024-12-27T06:19:12Z</dcterms:modified>
  <dc:title>关于对2016年度行业数据统计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  <property fmtid="{D5CDD505-2E9C-101B-9397-08002B2CF9AE}" pid="3" name="ICV">
    <vt:lpwstr>93FB3ED719A645B18C82B30D817D3336_12</vt:lpwstr>
  </property>
</Properties>
</file>