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360" w:lineRule="auto"/>
        <w:contextualSpacing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 xml:space="preserve">  </w:t>
      </w:r>
    </w:p>
    <w:p>
      <w:pPr>
        <w:pStyle w:val="4"/>
        <w:spacing w:before="0" w:after="0" w:line="360" w:lineRule="auto"/>
        <w:contextualSpacing/>
        <w:rPr>
          <w:rFonts w:ascii="黑体" w:hAnsi="黑体" w:eastAsia="黑体"/>
          <w:b w:val="0"/>
          <w:bCs w:val="0"/>
          <w:sz w:val="36"/>
          <w:szCs w:val="36"/>
        </w:rPr>
      </w:pPr>
      <w:r>
        <w:rPr>
          <w:rFonts w:hint="eastAsia" w:ascii="黑体" w:hAnsi="黑体" w:eastAsia="黑体"/>
          <w:b w:val="0"/>
          <w:bCs w:val="0"/>
          <w:sz w:val="36"/>
          <w:szCs w:val="36"/>
        </w:rPr>
        <w:t>2024年度课题研究突出贡献单位名单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一、《一流财务公司建设的行业标准》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中国电力财务有限公司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南方电网财务有限公司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新兴际华集团财务有限公司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中国铁路财务有限责任公司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国投财务有限公司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有色矿业集团财务有限公司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浙江省交通投资集团财务有限责任公司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哈尔滨电气集团财务有限责任公司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中国大唐集团财务有限公司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鞍钢集团财务有限责任公司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二、《新环境下财务公司功能定位和发展路径》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中国石化财务有限责任公司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徐工集团财务有限公司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中国建材集团财务有限公司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中国电子财务有限责任公司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中国电建集团财务有限责任公司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联通集团财务有限公司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陕西延长石油财务有限公司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中船财务有限责任公司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海信集团财务有限公司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北京首都旅游集团财务有限公司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三、《财务公司数智化转型研究》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国家电投集团财务有限公司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中国融通集团财务有限责任公司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诚通财务有限责任公司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湖北交投集团财务有限公司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山东重工集团财务有限公司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万向财务公司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中广核财务有限责任公司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中交财务有限公司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海尔集团财务有限责任公司</w:t>
      </w:r>
    </w:p>
    <w:p>
      <w:pPr>
        <w:pStyle w:val="6"/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四、《关于财务公司行业差异化适用法规制度建议的报告》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中国电力财务有限公司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航天科工财务有限责任公司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中国电子科技财务有限公司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中国石化财务有限责任公司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中国铁建财务有限公司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京能集团财务有限公司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首钢集团财务有限公司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中国航发集团财务有限公司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珠海华发集团财务公司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浙江省能源集团财务有限责任公司</w:t>
      </w:r>
    </w:p>
    <w:p>
      <w:pPr>
        <w:pStyle w:val="6"/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五、《财务公司行业做好金融“五篇大文章”调研报告》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宝武集团财务有限责任公司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上海汽车集团财务有限责任公司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TCL科技集团财务有限公司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航天科技财务有限责任公司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北京金隅财务有限公司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顺丰控股集团财务有限公司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四川省宜宾五粮液集团财务有限公司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中国重汽财务有限公司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浙江省能源集团财务有限责任公司</w:t>
      </w:r>
    </w:p>
    <w:p>
      <w:pPr>
        <w:pStyle w:val="6"/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六、《中国企业集团财务公司行业发展报告（2024）》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国家能源集团财务有限公司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国新集团财务有限责任公司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联通集团财务有限公司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南方电网财务有限公司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上海电气集团财务有限责任公司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浙江省交通投资集团财务有限责任公司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中车财务有限公司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中国电子科技财务有限公司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中国华电集团财务有限公司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中国石化财务有限责任公司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中海石油财务有限责任公司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中化工程集团财务有限公司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中建财务有限公司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中油财务有限责任公司 </w:t>
      </w:r>
    </w:p>
    <w:p>
      <w:pPr>
        <w:pStyle w:val="6"/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七、《财务公司信息化供应商评价体系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南方电网财务有限公司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鞍钢集团财务有限责任公司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东航集团财务有限责任公司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光明食品集团财务有限公司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上海复星高科技集团财务有限公司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中国电子科技财务有限公司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中国石化财务有限责任公司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中国移动通信集团财务有限公司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中兴通讯集团财务有限公司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紫金矿业集团财务有限公司</w:t>
      </w:r>
    </w:p>
    <w:p>
      <w:pPr>
        <w:pStyle w:val="6"/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八、《2022-2023中国企业集团财务公司行业社会责任报告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中信财务有限公司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宝武集团财务有限责任公司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国家能源集团财务有限公司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中国移动通信集团财务有限公司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中建财务有限公司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上海电气集团财务有限责任公司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西电集团财务有限责任公司</w:t>
      </w:r>
    </w:p>
    <w:p>
      <w:pPr>
        <w:pStyle w:val="6"/>
        <w:spacing w:line="360" w:lineRule="auto"/>
        <w:contextualSpacing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九、《中国企业集团财务公司品牌建设报告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》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中信财务有限公司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中煤财务有限责任公司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中国电建集团财务有限责任公司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海尔集团财务有限责任公司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国新集团财务有限责任公司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江苏交通控股集团财务有限公司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中车财务有限公司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中铁财务有限责任公司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中国电力财务有限公司</w:t>
      </w:r>
    </w:p>
    <w:p>
      <w:pPr>
        <w:pStyle w:val="6"/>
        <w:spacing w:line="360" w:lineRule="auto"/>
        <w:ind w:firstLine="640"/>
        <w:contextualSpacing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万向财务有限公司</w:t>
      </w:r>
    </w:p>
    <w:p>
      <w:pPr>
        <w:spacing w:line="360" w:lineRule="auto"/>
        <w:contextualSpacing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br w:type="page"/>
      </w:r>
    </w:p>
    <w:p>
      <w:pPr>
        <w:pStyle w:val="4"/>
        <w:spacing w:before="0" w:after="0" w:line="360" w:lineRule="auto"/>
        <w:contextualSpacing/>
        <w:rPr>
          <w:rFonts w:ascii="黑体" w:hAnsi="黑体" w:eastAsia="黑体"/>
          <w:b w:val="0"/>
          <w:bCs w:val="0"/>
          <w:sz w:val="36"/>
          <w:szCs w:val="36"/>
        </w:rPr>
      </w:pPr>
      <w:r>
        <w:rPr>
          <w:rFonts w:hint="eastAsia" w:ascii="黑体" w:hAnsi="黑体" w:eastAsia="黑体"/>
          <w:b w:val="0"/>
          <w:bCs w:val="0"/>
          <w:sz w:val="36"/>
          <w:szCs w:val="36"/>
        </w:rPr>
        <w:t>2024年度课题研究优秀个人名单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一、《一流财务公司建设的行业标准》</w:t>
      </w:r>
    </w:p>
    <w:p>
      <w:pPr>
        <w:widowControl/>
        <w:spacing w:line="360" w:lineRule="auto"/>
        <w:contextualSpacing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中国电力财务有限公司                     尹红华</w:t>
      </w:r>
    </w:p>
    <w:p>
      <w:pPr>
        <w:widowControl/>
        <w:spacing w:line="360" w:lineRule="auto"/>
        <w:contextualSpacing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南方电网财务有限公司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王  彪</w:t>
      </w:r>
    </w:p>
    <w:p>
      <w:pPr>
        <w:widowControl/>
        <w:spacing w:line="360" w:lineRule="auto"/>
        <w:contextualSpacing/>
        <w:jc w:val="left"/>
        <w:rPr>
          <w:rFonts w:ascii="仿宋_GB2312" w:hAnsi="仿宋_GB2312" w:eastAsia="仿宋_GB2312" w:cs="仿宋_GB2312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中国铁路财务有限责任公司                 王  迪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二、《新环境下财务公司功能定位和发展路径》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中国石化财务有限责任公司                 李  勇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中国电建集团财务有限责任公司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贾灵强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联通集团财务有限公司                     张晓朦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三、《财务公司数智化转型研究》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国家电投集团财务有限公司                 刘  雷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山东重工集团财务有限公司                 王青山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湖北交投集团财务有限公司                 吴晓东</w:t>
      </w:r>
    </w:p>
    <w:p>
      <w:pPr>
        <w:pStyle w:val="6"/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四、《关于财务公司行业差异化适用法规制度建议的报告》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中国电力财务有限公司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高与聪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中国电子科技财务有限公司                 邵立娟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京能集团财务有限公司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侯莉娟</w:t>
      </w:r>
    </w:p>
    <w:p>
      <w:pPr>
        <w:widowControl/>
        <w:spacing w:line="360" w:lineRule="auto"/>
        <w:contextualSpacing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五、《财务公司行业做好金融“五篇大文章”调研报告》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宝武集团财务有限责任公司                 谢  放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上海汽车集团财务有限责任公司             张淑静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北京金隅财务有限公司                     郭艳玲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六、《中国企业集团财务公司行业发展报告（2024）》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联通集团财务有限公司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张  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南方电网财务有限公司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        王  彪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上海电气集团财务有限责任公司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            俞  慧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中国电子科技财务有限公司                  吕  煌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中化工程集团财务有限公司                  李  卓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中建财务有限公司                          吴  琼</w:t>
      </w:r>
    </w:p>
    <w:p>
      <w:pPr>
        <w:spacing w:line="360" w:lineRule="auto"/>
        <w:contextualSpacing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七、《2022-2023中国企业集团财务公司行业社会责任报告》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中信财务有限公司                          丁斯琴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上海电气集团财务有限责任公司              冯  鹭</w:t>
      </w:r>
    </w:p>
    <w:p>
      <w:pPr>
        <w:pStyle w:val="6"/>
        <w:spacing w:line="360" w:lineRule="auto"/>
        <w:contextualSpacing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八、《中国</w:t>
      </w:r>
      <w:r>
        <w:rPr>
          <w:rFonts w:hint="eastAsia" w:ascii="黑体" w:hAnsi="黑体" w:eastAsia="黑体"/>
          <w:sz w:val="32"/>
          <w:szCs w:val="32"/>
        </w:rPr>
        <w:t>企业集团财务公司品牌建设报告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》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中信财务有限公司                          刘晓坤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中煤财务有限责任公司                      刘  恺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中国电建集团财务有限责任公司              贾灵强</w:t>
      </w:r>
    </w:p>
    <w:p>
      <w:pPr>
        <w:spacing w:line="360" w:lineRule="auto"/>
        <w:contextualSpacing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中铁财务有限责任公司                      付  蓉</w:t>
      </w:r>
    </w:p>
    <w:p>
      <w:pPr>
        <w:pStyle w:val="6"/>
        <w:spacing w:line="360" w:lineRule="auto"/>
        <w:contextualSpacing/>
        <w:rPr>
          <w:rFonts w:ascii="仿宋" w:hAnsi="仿宋" w:eastAsia="仿宋" w:cs="仿宋_GB2312"/>
          <w:color w:val="000000"/>
          <w:sz w:val="32"/>
          <w:szCs w:val="32"/>
        </w:rPr>
      </w:pPr>
    </w:p>
    <w:p>
      <w:pPr>
        <w:spacing w:line="360" w:lineRule="auto"/>
        <w:contextualSpacing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6">
    <w:name w:val="p0"/>
    <w:basedOn w:val="1"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7">
    <w:name w:val="p16"/>
    <w:basedOn w:val="1"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8">
    <w:name w:val="[Normal]"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kern w:val="0"/>
      <w:sz w:val="24"/>
      <w:szCs w:val="24"/>
    </w:rPr>
  </w:style>
  <w:style w:type="character" w:customStyle="1" w:styleId="9">
    <w:name w:val="标题 Char"/>
    <w:basedOn w:val="5"/>
    <w:link w:val="4"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0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452</Words>
  <Characters>2583</Characters>
  <Lines>21</Lines>
  <Paragraphs>6</Paragraphs>
  <TotalTime>0</TotalTime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2024-12-09T03:22:00Z</dcterms:created>
  <dc:creator>佳丽 王</dc:creator>
  <cp:lastModifiedBy>商屹</cp:lastModifiedBy>
  <dcterms:modified xsi:type="dcterms:W3CDTF">2024-12-27T06:18:48Z</dcterms:modified>
  <dc:title>_x000F_附件5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