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rPr>
          <w:rFonts w:ascii="仿宋" w:hAnsi="仿宋" w:eastAsia="仿宋" w:cs="仿宋"/>
          <w:kern w:val="0"/>
          <w:sz w:val="32"/>
          <w:szCs w:val="32"/>
        </w:rPr>
      </w:pPr>
      <w:bookmarkStart w:id="0" w:name="_GoBack"/>
      <w:bookmarkEnd w:id="0"/>
      <w:r>
        <w:rPr>
          <w:rFonts w:hint="eastAsia" w:ascii="仿宋" w:hAnsi="仿宋" w:eastAsia="仿宋" w:cs="仿宋"/>
          <w:kern w:val="0"/>
          <w:sz w:val="32"/>
          <w:szCs w:val="32"/>
        </w:rPr>
        <w:t>附件</w:t>
      </w:r>
      <w:r>
        <w:rPr>
          <w:rFonts w:hint="eastAsia" w:ascii="仿宋" w:hAnsi="仿宋" w:eastAsia="仿宋" w:cs="仿宋"/>
          <w:kern w:val="0"/>
          <w:sz w:val="32"/>
          <w:szCs w:val="32"/>
          <w:lang w:val="en-US" w:eastAsia="zh-CN"/>
        </w:rPr>
        <w:t>4</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jc w:val="center"/>
        <w:rPr>
          <w:rFonts w:ascii="黑体" w:hAnsi="黑体" w:eastAsia="黑体"/>
          <w:color w:val="000000"/>
          <w:sz w:val="28"/>
        </w:rPr>
      </w:pPr>
      <w:r>
        <w:rPr>
          <w:rFonts w:hint="eastAsia" w:ascii="黑体" w:hAnsi="黑体" w:eastAsia="黑体"/>
          <w:color w:val="000000"/>
          <w:sz w:val="36"/>
          <w:szCs w:val="36"/>
        </w:rPr>
        <w:t>2022-2023年度中国财务公司社会责任典型案例获奖单位名单</w:t>
      </w:r>
    </w:p>
    <w:tbl>
      <w:tblPr>
        <w:tblW w:w="9238" w:type="dxa"/>
        <w:tblInd w:w="-1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22"/>
        <w:gridCol w:w="2995"/>
        <w:gridCol w:w="5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序号</w:t>
            </w:r>
          </w:p>
        </w:tc>
        <w:tc>
          <w:tcPr>
            <w:tcW w:w="8416"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治理类优秀案例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西电集团财务有限责任公司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优化完善公司治理  助推公司跨越发展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2</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中信财务有限公司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中信财务有限公司案例1.1.3：运用系统思维打好“五廉”组合拳共育中信财务公司清廉金融文化生态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3</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上海电气集团财务有限责任公司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上海电气集团财务有限责任公司打造财务体检评估模型，推进风险管理数字化转型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2"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4</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青岛啤酒财务有限责任公司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“党员1+N” 服务实体赋能主业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5</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宝武集团财务有限责任公司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以合规管理认证为契机，完善合规管理体系建设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2"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6</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中国华电集团财务有限公司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持续深化风险管理体系建设 筑牢安全防线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7</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中车财务有限公司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建立“六步融合”机制贯彻落实党的领导与完善公司治理有机统一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8</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中船财务有限责任公司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构筑AI算法与专家规则双轮驱动的智慧监督风控中台，助力集团风控数智化转型升级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9</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中国航发集团财务有限公司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“铸心”新长征党员突击队 攻关一线冲在前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8"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10</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中铁财务有限责任公司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大力深化“五彩党建”品牌  助力企业高质量金融服务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11</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万向财务有限公司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深入开展主题教育</w:t>
            </w:r>
            <w:r>
              <w:rPr>
                <w:rFonts w:ascii="仿宋" w:hAnsi="仿宋" w:eastAsia="仿宋" w:cs="仿宋"/>
                <w:color w:val="000000"/>
                <w:sz w:val="22"/>
              </w:rPr>
              <w:t> </w:t>
            </w:r>
            <w:r>
              <w:rPr>
                <w:rFonts w:hint="eastAsia" w:ascii="仿宋" w:hAnsi="仿宋" w:eastAsia="仿宋" w:cs="仿宋"/>
                <w:color w:val="000000"/>
                <w:sz w:val="22"/>
              </w:rPr>
              <w:t>积极践行社会责任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12</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西电集团财务有限责任公司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开展“七抓”工程  建强基层堡垒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13</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中建财务有限公司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打造“金融服务进项目”系列党建共建活动，助力价值创造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14</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中国南航集团财务有限公司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深化培育“金木棉”党建品牌，擦亮金融特色名片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15</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中国电建集团财务有限责任公司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电建财务公司四个途径有效外部董事作用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16</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包钢集团财务有限责任公司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高度关注监管新规，公司治理从“有实”到“有质”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17</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兵工财务有限责任公司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不断擦亮“全国文明单位”金字招牌，持续推动公司高质量发展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18</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中国大唐集团财务有限公司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全面风险管理中的应急处置预案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19</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国家能源集团财务有限公司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境外账户监控圆满收官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20</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通号集团财务有限公司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学习贯彻习近平总书记重要指示批示，推动企业改革、促进高质量发展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序号</w:t>
            </w:r>
          </w:p>
        </w:tc>
        <w:tc>
          <w:tcPr>
            <w:tcW w:w="8416"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服务类优秀案例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中信财务有限公司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助力建成全球领先的碳酸锂项目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中油财务有限责任公司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助力中国石油“一带一路”国际能源合作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71"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3</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国新集团财务有限责任公司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精准“引灌”金融活水，助力实体经济发展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4</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通用技术集团财务有限责任公司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金融赋能主业，“通用技术-健康票”助力医药医疗健康企业高质量发展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5</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国家能源集团财务有限公司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业务重塑，激活全渠道发展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71"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6</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中信财务有限公司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拓宽融资渠道，提供精准金融服务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7</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中车财务有限公司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积极落实国家重大金融战略打通CIPS渠道助力“一带一路”合作的金字招牌“雅万高铁”项目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8</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中远海运集团财务有限责任公司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助力拓展自贸区建设新格局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9</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中煤财务有限责任公司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积极为中国中煤“两个联营+”项目提供金融支持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10</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国家能源集团财务有限公司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首笔科技攻关项目建设期贷款案例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11</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上海电气集团财务有限责任公司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上海电气集团财务有限责任公司推广“集票宝”应用，赋能集团管理和企业数字化转型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12</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中国能源建设集团财务有限公司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中国能建财务公司基于AI大模型和安全运营平台的“人机共智”网络安全应用实践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13</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中国航油集团财务有限公司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履行央企社会责任  服务国家重点发展战略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14</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中国移动通信集团财务有限公司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升级司库运营服务机制 助力集团司库体系建设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15</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广西交通投资集团财务有限责任公司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打造同城灾备中心 加快公司数字化发展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16</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国机财务有限责任公司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助力光伏电站EPC工程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17</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宝武集团财务有限责任公司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科技金融跑出“加速度”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18</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中国铁建财务有限公司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金融赋能深化惠企增效，助力成员单位破局前行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19</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一汽财务有限公司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全力支持集团海外出口，助力突破百亿元营收大关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86"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20</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中国铁建财务有限公司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“扫码通”开启铁建移动收款新篇章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序号</w:t>
            </w:r>
          </w:p>
        </w:tc>
        <w:tc>
          <w:tcPr>
            <w:tcW w:w="8416"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公益类优秀案例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鞍钢集团财务有限责任公司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构建“5+1”绿色金融服务体系 赋能鞍钢集团绿色低碳高质量发展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新希望财务有限公司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同筑金融惠民合力，共谱乡村振兴新曲——新希望财务公司助力乡村振兴建设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3</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国家电投集团财务有限公司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光伏治沙点亮乡村振兴路，债务优化助推企业提质增效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4</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上海电气集团财务有限责任公司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上海电气集团财务有限责任公司助力成员企业发行绿色超短期融资券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5</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国家能源集团财务有限公司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全力支持青海玛尔挡水电项目建设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6</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宝武集团财务有限责任公司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厚植绿色发展底色，赋能低碳转型发展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7</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国联财务有限责任公司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国联财务公司探索“数字人民币+企业信贷+绿色金融”服务智慧园区建设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8</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中铁财务有限责任公司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中铁财务公司以“金融先锋”文化建设助力中国中铁加快建设世界一流企业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9</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中国电建集团财务有限责任公司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金融服务有温度，批量代发解“薪”愁——电建财务公司全力服务农民工权益保障工作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10</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宝武集团财务有限责任公司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 xml:space="preserve">建立“3+1”人才培养体系，打造高素质金融人才队伍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11</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中国电力财务有限公司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积极践行绿色金融，助推光伏产业发展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12</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西电集团财务有限责任公司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公司工会开展“三八”妇女节掐丝珐琅工艺团建活动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13</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珠海格力集团财务有限责任公司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格力多元化发展助力健全“三农”金融服务体系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14</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中核财务有限责任公司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勇于责任担当，助力乡村振兴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15</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新疆金风科技集团财务有限公司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践行绿色金融，助力双碳战略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2"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16</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中化集团财务有限责任公司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以金融力量支持农业种业高质量发展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71"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ascii="仿宋" w:hAnsi="仿宋" w:eastAsia="仿宋" w:cs="仿宋"/>
                <w:color w:val="000000"/>
                <w:sz w:val="22"/>
              </w:rPr>
              <w:t>17</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MS Gothic" w:hAnsi="MS Gothic" w:eastAsia="MS Gothic" w:cs="MS Gothic"/>
                <w:color w:val="000000"/>
                <w:sz w:val="22"/>
              </w:rPr>
              <w:t>​</w:t>
            </w:r>
            <w:r>
              <w:rPr>
                <w:rFonts w:hint="eastAsia" w:ascii="仿宋" w:hAnsi="仿宋" w:eastAsia="仿宋" w:cs="仿宋"/>
                <w:color w:val="000000"/>
                <w:sz w:val="22"/>
              </w:rPr>
              <w:t>中远海运集团财务有限责任公司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开展定点帮扶，助力乡村振兴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18</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TCL科技集团财务有限公司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创新绿色金融模式 助力产业低碳转型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2"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19</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中核财务有限责任公司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聚焦司库型财务公司转型，塑造数字金融核心竞争力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 w:hRule="atLeast"/>
        </w:trPr>
        <w:tc>
          <w:tcPr>
            <w:tcW w:w="822" w:type="dxa"/>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20</w:t>
            </w:r>
          </w:p>
        </w:tc>
        <w:tc>
          <w:tcPr>
            <w:tcW w:w="2995"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诚通财务有限责任公司</w:t>
            </w:r>
          </w:p>
        </w:tc>
        <w:tc>
          <w:tcPr>
            <w:tcW w:w="5421" w:type="dxa"/>
            <w:tcBorders>
              <w:top w:val="single" w:color="auto" w:sz="6" w:space="0"/>
              <w:left w:val="single" w:color="auto" w:sz="6" w:space="0"/>
              <w:bottom w:val="single" w:color="auto" w:sz="6" w:space="0"/>
              <w:right w:val="single" w:color="auto" w:sz="6" w:space="0"/>
            </w:tcBorders>
            <w:vAlign w:val="top"/>
          </w:tcPr>
          <w:p>
            <w:pPr>
              <w:autoSpaceDE w:val="0"/>
              <w:autoSpaceDN w:val="0"/>
              <w:rPr>
                <w:rFonts w:ascii="仿宋" w:hAnsi="仿宋" w:eastAsia="仿宋" w:cs="仿宋"/>
                <w:color w:val="000000"/>
                <w:sz w:val="22"/>
              </w:rPr>
            </w:pPr>
            <w:r>
              <w:rPr>
                <w:rFonts w:hint="eastAsia" w:ascii="仿宋" w:hAnsi="仿宋" w:eastAsia="仿宋" w:cs="仿宋"/>
                <w:color w:val="000000"/>
                <w:sz w:val="22"/>
              </w:rPr>
              <w:t>"诚通财务公司领导赴河南省宜阳县调研定点帮扶工作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序号</w:t>
            </w:r>
          </w:p>
        </w:tc>
        <w:tc>
          <w:tcPr>
            <w:tcW w:w="8416"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楷体" w:hAnsi="楷体" w:eastAsia="楷体"/>
                <w:b/>
                <w:color w:val="000000"/>
                <w:sz w:val="24"/>
              </w:rPr>
            </w:pPr>
            <w:r>
              <w:rPr>
                <w:rFonts w:hint="eastAsia" w:ascii="楷体" w:hAnsi="楷体" w:eastAsia="楷体"/>
                <w:b/>
                <w:color w:val="000000"/>
                <w:sz w:val="24"/>
              </w:rPr>
              <w:t>优秀组织奖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MS Gothic" w:hAnsi="MS Gothic" w:eastAsia="MS Gothic" w:cs="MS Gothic"/>
                <w:color w:val="000000"/>
                <w:sz w:val="22"/>
              </w:rPr>
              <w:t>​</w:t>
            </w:r>
            <w:r>
              <w:rPr>
                <w:rFonts w:hint="eastAsia" w:ascii="仿宋" w:hAnsi="仿宋" w:eastAsia="仿宋" w:cs="仿宋"/>
                <w:color w:val="000000"/>
                <w:sz w:val="22"/>
              </w:rPr>
              <w:t>中远海运集团财务有限责任公司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中国电建集团财务有限责任公司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3</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鞍钢集团财务有限责任公司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4</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中建财务有限公司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5</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海信集团财务有限公司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6</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中车财务有限公司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7</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中国铁建财务有限公司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8</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宝武集团财务有限责任公司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9</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浪潮集团财务有限公司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10</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五矿集团财务有限责任公司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11</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万向财务有限公司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12</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中油财务有限责任公司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13</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广西交通投资集团财务有限责任公司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14</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中国大唐集团财务有限公司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15</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中国电力财务有限公司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16</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首钢集团财务有限公司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17</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中国华能财务有限责任公司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18</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国家能源集团财务有限公司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19</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航天科工财务有限责任公司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20</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中国南航集团财务有限公司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21</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西电集团财务有限责任公司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9" w:hRule="atLeast"/>
        </w:trPr>
        <w:tc>
          <w:tcPr>
            <w:tcW w:w="822"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22</w:t>
            </w:r>
          </w:p>
        </w:tc>
        <w:tc>
          <w:tcPr>
            <w:tcW w:w="8416"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jc w:val="center"/>
              <w:rPr>
                <w:rFonts w:ascii="仿宋" w:hAnsi="仿宋" w:eastAsia="仿宋" w:cs="仿宋"/>
                <w:color w:val="000000"/>
                <w:sz w:val="22"/>
              </w:rPr>
            </w:pPr>
            <w:r>
              <w:rPr>
                <w:rFonts w:hint="eastAsia" w:ascii="仿宋" w:hAnsi="仿宋" w:eastAsia="仿宋" w:cs="仿宋"/>
                <w:color w:val="000000"/>
                <w:sz w:val="22"/>
              </w:rPr>
              <w:t>中铁财务有限责任公司</w:t>
            </w:r>
          </w:p>
        </w:tc>
      </w:tr>
    </w:tbl>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paragraph" w:styleId="2">
    <w:name w:val="Date"/>
    <w:basedOn w:val="1"/>
    <w:next w:val="1"/>
    <w:link w:val="9"/>
    <w:semiHidden/>
    <w:unhideWhenUsed/>
    <w:uiPriority w:val="0"/>
    <w:pPr>
      <w:ind w:left="100" w:leftChars="2500"/>
    </w:pPr>
  </w:style>
  <w:style w:type="paragraph" w:styleId="3">
    <w:name w:val="footer"/>
    <w:basedOn w:val="1"/>
    <w:link w:val="8"/>
    <w:unhideWhenUsed/>
    <w:uiPriority w:val="0"/>
    <w:pPr>
      <w:tabs>
        <w:tab w:val="center" w:pos="4153"/>
        <w:tab w:val="right" w:pos="8306"/>
      </w:tabs>
      <w:snapToGrid w:val="0"/>
      <w:jc w:val="left"/>
    </w:pPr>
    <w:rPr>
      <w:sz w:val="18"/>
      <w:szCs w:val="18"/>
    </w:rPr>
  </w:style>
  <w:style w:type="paragraph" w:styleId="4">
    <w:name w:val="header"/>
    <w:basedOn w:val="1"/>
    <w:link w:val="7"/>
    <w:unhideWhenUsed/>
    <w:uiPriority w:val="0"/>
    <w:pPr>
      <w:tabs>
        <w:tab w:val="center" w:pos="4153"/>
        <w:tab w:val="right" w:pos="8306"/>
      </w:tabs>
      <w:snapToGrid w:val="0"/>
      <w:jc w:val="center"/>
    </w:pPr>
    <w:rPr>
      <w:sz w:val="18"/>
      <w:szCs w:val="18"/>
    </w:rPr>
  </w:style>
  <w:style w:type="paragraph" w:customStyle="1" w:styleId="6">
    <w:name w:val="p0"/>
    <w:basedOn w:val="1"/>
    <w:qFormat/>
    <w:uiPriority w:val="0"/>
    <w:pPr>
      <w:widowControl/>
      <w:jc w:val="left"/>
    </w:pPr>
    <w:rPr>
      <w:rFonts w:ascii="Times New Roman" w:hAnsi="Times New Roman"/>
      <w:kern w:val="0"/>
      <w:szCs w:val="21"/>
    </w:rPr>
  </w:style>
  <w:style w:type="character" w:customStyle="1" w:styleId="7">
    <w:name w:val="页眉 Char"/>
    <w:basedOn w:val="5"/>
    <w:link w:val="4"/>
    <w:uiPriority w:val="0"/>
    <w:rPr>
      <w:rFonts w:ascii="Calibri" w:hAnsi="Calibri"/>
      <w:kern w:val="2"/>
      <w:sz w:val="18"/>
      <w:szCs w:val="18"/>
    </w:rPr>
  </w:style>
  <w:style w:type="character" w:customStyle="1" w:styleId="8">
    <w:name w:val="页脚 Char"/>
    <w:basedOn w:val="5"/>
    <w:link w:val="3"/>
    <w:uiPriority w:val="0"/>
    <w:rPr>
      <w:rFonts w:ascii="Calibri" w:hAnsi="Calibri"/>
      <w:kern w:val="2"/>
      <w:sz w:val="18"/>
      <w:szCs w:val="18"/>
    </w:rPr>
  </w:style>
  <w:style w:type="character" w:customStyle="1" w:styleId="9">
    <w:name w:val="日期 Char"/>
    <w:basedOn w:val="5"/>
    <w:link w:val="2"/>
    <w:semiHidden/>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471</Words>
  <Characters>2689</Characters>
  <Lines>22</Lines>
  <Paragraphs>6</Paragraphs>
  <TotalTime>0</TotalTime>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2024-12-02T05:45:00Z</dcterms:created>
  <dc:creator>商屹</dc:creator>
  <cp:lastModifiedBy>商屹</cp:lastModifiedBy>
  <dcterms:modified xsi:type="dcterms:W3CDTF">2024-12-27T06:17:29Z</dcterms:modified>
  <dc:title>鉴于近期新冠肺炎疫情防控形势严峻，为严格落实疫情防控要求，中国财务公司协会（以下简称“中国财协”）社会责任工作委员会2022年第二次会议将以通讯方式召开，对《关于审议2020-2021年度中国财务公司行业社会责任优秀案例评选结果的议案》（附件1）进行书面审议。请各位委员于11月9日前将审议意见回执（附件2）扫描成PDF格式发送至邮箱：cxjlhzb@163.com。</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y fmtid="{D5CDD505-2E9C-101B-9397-08002B2CF9AE}" pid="3" name="ICV">
    <vt:lpwstr>F48052CD7D02418EAC465FC74E57FA1E_12</vt:lpwstr>
  </property>
</Properties>
</file>