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jc w:val="left"/>
        <w:rPr>
          <w:rFonts w:ascii="黑体" w:hAnsi="黑体" w:eastAsia="黑体"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3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autoSpaceDE w:val="0"/>
        <w:autoSpaceDN w:val="0"/>
        <w:adjustRightInd w:val="0"/>
        <w:jc w:val="center"/>
        <w:rPr>
          <w:rFonts w:ascii="黑体" w:hAnsi="黑体" w:eastAsia="黑体"/>
          <w:kern w:val="0"/>
          <w:sz w:val="36"/>
          <w:szCs w:val="36"/>
        </w:rPr>
      </w:pPr>
      <w:r>
        <w:rPr>
          <w:rFonts w:hint="eastAsia" w:ascii="黑体" w:hAnsi="黑体" w:eastAsia="黑体"/>
          <w:kern w:val="0"/>
          <w:sz w:val="36"/>
          <w:szCs w:val="36"/>
        </w:rPr>
        <w:t>《</w:t>
      </w:r>
      <w:r>
        <w:rPr>
          <w:rFonts w:hint="eastAsia" w:ascii="黑体" w:hAnsi="黑体" w:eastAsia="黑体" w:cs="黑体"/>
          <w:sz w:val="36"/>
          <w:szCs w:val="36"/>
        </w:rPr>
        <w:t>中国企业集团财务公司品牌建设报告</w:t>
      </w:r>
      <w:r>
        <w:rPr>
          <w:rFonts w:hint="eastAsia" w:ascii="黑体" w:hAnsi="黑体" w:eastAsia="黑体"/>
          <w:kern w:val="0"/>
          <w:sz w:val="36"/>
          <w:szCs w:val="36"/>
        </w:rPr>
        <w:t>》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autoSpaceDE w:val="0"/>
        <w:autoSpaceDN w:val="0"/>
        <w:adjustRightInd w:val="0"/>
        <w:jc w:val="center"/>
        <w:rPr>
          <w:rFonts w:ascii="黑体" w:hAnsi="黑体" w:eastAsia="黑体"/>
          <w:kern w:val="0"/>
          <w:sz w:val="36"/>
          <w:szCs w:val="36"/>
        </w:rPr>
      </w:pPr>
      <w:r>
        <w:rPr>
          <w:rFonts w:hint="eastAsia" w:ascii="黑体" w:hAnsi="黑体" w:eastAsia="黑体"/>
          <w:kern w:val="0"/>
          <w:sz w:val="36"/>
          <w:szCs w:val="36"/>
        </w:rPr>
        <w:t>入选案例供稿单位名单</w:t>
      </w:r>
    </w:p>
    <w:p>
      <w:pPr>
        <w:widowControl/>
        <w:jc w:val="center"/>
        <w:textAlignment w:val="center"/>
        <w:rPr>
          <w:rFonts w:ascii="宋体" w:hAnsi="宋体" w:eastAsia="宋体" w:cs="宋体"/>
          <w:color w:val="000000"/>
          <w:kern w:val="0"/>
          <w:sz w:val="21"/>
          <w:szCs w:val="21"/>
        </w:rPr>
      </w:pPr>
    </w:p>
    <w:p>
      <w:pPr>
        <w:widowControl/>
        <w:jc w:val="center"/>
        <w:textAlignment w:val="center"/>
        <w:rPr>
          <w:rFonts w:ascii="宋体" w:hAnsi="宋体" w:eastAsia="宋体" w:cs="宋体"/>
          <w:color w:val="000000"/>
          <w:kern w:val="0"/>
          <w:sz w:val="21"/>
          <w:szCs w:val="21"/>
        </w:rPr>
      </w:pPr>
    </w:p>
    <w:tbl>
      <w:tblPr>
        <w:tblW w:w="8349" w:type="dxa"/>
        <w:tblInd w:w="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703"/>
        <w:gridCol w:w="3452"/>
        <w:gridCol w:w="41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  <w:t>供稿单位</w:t>
            </w:r>
          </w:p>
        </w:tc>
        <w:tc>
          <w:tcPr>
            <w:tcW w:w="4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  <w:t>入选案例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中核财务有限责任公司</w:t>
            </w:r>
          </w:p>
        </w:tc>
        <w:tc>
          <w:tcPr>
            <w:tcW w:w="4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三线合力推动全员共建中核司库品牌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国药集团财务有限公司</w:t>
            </w:r>
          </w:p>
        </w:tc>
        <w:tc>
          <w:tcPr>
            <w:tcW w:w="4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以金融服务品牌建设推动高质量发展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宝武集团财务有限责任公司</w:t>
            </w:r>
          </w:p>
        </w:tc>
        <w:tc>
          <w:tcPr>
            <w:tcW w:w="4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“3+1”高素质金融人才培养体系建设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海尔集团财务有限责任公司</w:t>
            </w:r>
          </w:p>
        </w:tc>
        <w:tc>
          <w:tcPr>
            <w:tcW w:w="4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“复盘工作坊”加速员工企业双向奔赴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中国电建集团财务有限责任公司</w:t>
            </w:r>
          </w:p>
        </w:tc>
        <w:tc>
          <w:tcPr>
            <w:tcW w:w="4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以普惠金融</w:t>
            </w:r>
            <w:r>
              <w:rPr>
                <w:rFonts w:hint="eastAsia" w:ascii="Segoe UI" w:hAnsi="Segoe UI" w:eastAsia="Segoe UI" w:cs="Segoe UI"/>
                <w:color w:val="000000"/>
                <w:kern w:val="0"/>
                <w:sz w:val="18"/>
                <w:szCs w:val="18"/>
              </w:rPr>
              <w:t>理念探索</w:t>
            </w: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电建金服品牌实践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江苏</w:t>
            </w:r>
            <w:r>
              <w:rPr>
                <w:rFonts w:hint="eastAsia" w:ascii="Segoe UI" w:hAnsi="Segoe UI" w:eastAsia="Segoe UI" w:cs="Segoe UI"/>
                <w:color w:val="000000"/>
                <w:kern w:val="0"/>
                <w:sz w:val="18"/>
                <w:szCs w:val="18"/>
              </w:rPr>
              <w:t>交通控股</w:t>
            </w: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集团财务有限公司</w:t>
            </w:r>
          </w:p>
        </w:tc>
        <w:tc>
          <w:tcPr>
            <w:tcW w:w="4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“三位一体”打造“鑫易通”金融服务品牌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中车财务有限公司</w:t>
            </w:r>
          </w:p>
        </w:tc>
        <w:tc>
          <w:tcPr>
            <w:tcW w:w="4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开启行业首笔墨西哥比索购汇业务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国家能源集团财务有限公司</w:t>
            </w:r>
          </w:p>
        </w:tc>
        <w:tc>
          <w:tcPr>
            <w:tcW w:w="4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数据驱动赋能“国能e链金服”品牌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万向财务有限公司</w:t>
            </w:r>
          </w:p>
        </w:tc>
        <w:tc>
          <w:tcPr>
            <w:tcW w:w="4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新质生产力银企聚能论坛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徐工集团财务有限公司</w:t>
            </w:r>
          </w:p>
        </w:tc>
        <w:tc>
          <w:tcPr>
            <w:tcW w:w="4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“贷”你“链”上品质科技金融品牌建设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五矿</w:t>
            </w:r>
            <w:r>
              <w:rPr>
                <w:rFonts w:hint="eastAsia" w:ascii="Segoe UI" w:hAnsi="Segoe UI" w:eastAsia="Segoe UI" w:cs="Segoe UI"/>
                <w:color w:val="000000"/>
                <w:kern w:val="0"/>
                <w:sz w:val="18"/>
                <w:szCs w:val="18"/>
              </w:rPr>
              <w:t>集团</w:t>
            </w: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财务</w:t>
            </w:r>
            <w:r>
              <w:rPr>
                <w:rFonts w:hint="eastAsia" w:ascii="Segoe UI" w:hAnsi="Segoe UI" w:eastAsia="Segoe UI" w:cs="Segoe UI"/>
                <w:color w:val="000000"/>
                <w:kern w:val="0"/>
                <w:sz w:val="18"/>
                <w:szCs w:val="18"/>
              </w:rPr>
              <w:t>有限责任</w:t>
            </w: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公司</w:t>
            </w:r>
          </w:p>
        </w:tc>
        <w:tc>
          <w:tcPr>
            <w:tcW w:w="4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《五矿财司在路上》自创司歌筑梦远航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东风汽车财务有限公司</w:t>
            </w:r>
          </w:p>
        </w:tc>
        <w:tc>
          <w:tcPr>
            <w:tcW w:w="4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IP引领，打造品牌文化矩阵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hint="eastAsia" w:ascii="Segoe UI" w:hAnsi="Segoe UI" w:eastAsia="Segoe UI" w:cs="Segoe UI"/>
                <w:color w:val="000000"/>
                <w:kern w:val="0"/>
                <w:sz w:val="18"/>
                <w:szCs w:val="18"/>
              </w:rPr>
              <w:t>江苏省</w:t>
            </w: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国信</w:t>
            </w:r>
            <w:r>
              <w:rPr>
                <w:rFonts w:hint="eastAsia" w:ascii="Segoe UI" w:hAnsi="Segoe UI" w:eastAsia="Segoe UI" w:cs="Segoe UI"/>
                <w:color w:val="000000"/>
                <w:kern w:val="0"/>
                <w:sz w:val="18"/>
                <w:szCs w:val="18"/>
              </w:rPr>
              <w:t>集团</w:t>
            </w: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财务有限公司</w:t>
            </w:r>
          </w:p>
        </w:tc>
        <w:tc>
          <w:tcPr>
            <w:tcW w:w="4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“金墩墩带你学金融”高素质金融人才培养体系建设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中铁财务有限责任公司</w:t>
            </w:r>
          </w:p>
        </w:tc>
        <w:tc>
          <w:tcPr>
            <w:tcW w:w="4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“金融先锋”企业文化建设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浙江省交通投资集团财务有限责任公司</w:t>
            </w:r>
          </w:p>
        </w:tc>
        <w:tc>
          <w:tcPr>
            <w:tcW w:w="4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“金银花”女职工青年服务队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国新集团财务有限责任公司</w:t>
            </w:r>
          </w:p>
        </w:tc>
        <w:tc>
          <w:tcPr>
            <w:tcW w:w="4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行业首份财务公司ESG报告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中国电力财务有限公司</w:t>
            </w:r>
          </w:p>
        </w:tc>
        <w:tc>
          <w:tcPr>
            <w:tcW w:w="4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分布式光伏电费对私批量支付功能创新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中信财务有限公司</w:t>
            </w:r>
          </w:p>
        </w:tc>
        <w:tc>
          <w:tcPr>
            <w:tcW w:w="4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“五廉”组合拳，共育清廉金融文化生态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中煤财务有限责任公司</w:t>
            </w:r>
          </w:p>
        </w:tc>
        <w:tc>
          <w:tcPr>
            <w:tcW w:w="4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“金融+”党建品牌建设</w:t>
            </w:r>
            <w:r>
              <w:rPr>
                <w:rFonts w:hint="eastAsia" w:ascii="Segoe UI" w:hAnsi="Segoe UI" w:eastAsia="Segoe UI" w:cs="Segoe UI"/>
                <w:color w:val="000000"/>
                <w:kern w:val="0"/>
                <w:sz w:val="18"/>
                <w:szCs w:val="18"/>
              </w:rPr>
              <w:t>为企业发展赋能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3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通用技术集团财务有限责任公司</w:t>
            </w:r>
          </w:p>
        </w:tc>
        <w:tc>
          <w:tcPr>
            <w:tcW w:w="4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widowControl/>
              <w:spacing w:line="21" w:lineRule="atLeast"/>
              <w:jc w:val="center"/>
              <w:textAlignment w:val="top"/>
              <w:rPr>
                <w:rFonts w:ascii="Segoe UI" w:hAnsi="Segoe UI" w:eastAsia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eastAsia="Segoe UI" w:cs="Segoe UI"/>
                <w:color w:val="000000"/>
                <w:kern w:val="0"/>
                <w:sz w:val="18"/>
                <w:szCs w:val="18"/>
              </w:rPr>
              <w:t>党建经营深度融合的“通财模式”</w:t>
            </w:r>
          </w:p>
        </w:tc>
      </w:tr>
    </w:tbl>
    <w:p>
      <w:pPr>
        <w:rPr>
          <w:rFonts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uiPriority w:val="0"/>
    <w:pPr>
      <w:widowControl w:val="0"/>
      <w:jc w:val="both"/>
    </w:pPr>
    <w:rPr>
      <w:rFonts w:ascii="Helvetica Neue" w:hAnsi="Helvetica Neue" w:eastAsia="Helvetica Neue" w:cs="Helvetica Neue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p0"/>
    <w:basedOn w:val="1"/>
    <w:qFormat/>
    <w:uiPriority w:val="0"/>
    <w:pPr>
      <w:widowControl/>
      <w:jc w:val="left"/>
    </w:pPr>
    <w:rPr>
      <w:rFonts w:ascii="Times New Roman" w:hAnsi="Times New Roman"/>
      <w:kern w:val="0"/>
      <w:szCs w:val="21"/>
    </w:rPr>
  </w:style>
  <w:style w:type="character" w:customStyle="1" w:styleId="6">
    <w:name w:val="页眉 Char"/>
    <w:basedOn w:val="4"/>
    <w:link w:val="3"/>
    <w:uiPriority w:val="0"/>
    <w:rPr>
      <w:rFonts w:ascii="Helvetica Neue" w:hAnsi="Helvetica Neue" w:eastAsia="Helvetica Neue" w:cs="Helvetica Neue"/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Helvetica Neue" w:hAnsi="Helvetica Neue" w:eastAsia="Helvetica Neue" w:cs="Helvetica Neue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168</Words>
  <Characters>964</Characters>
  <Lines>8</Lines>
  <Paragraphs>2</Paragraphs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2024-11-29T06:40:00Z</dcterms:created>
  <dc:creator>朱静</dc:creator>
  <cp:lastModifiedBy>商屹</cp:lastModifiedBy>
  <dcterms:modified xsi:type="dcterms:W3CDTF">2024-12-27T06:16:41Z</dcterms:modified>
  <dc:title>附件3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  <property fmtid="{D5CDD505-2E9C-101B-9397-08002B2CF9AE}" pid="3" name="ICV">
    <vt:lpwstr>B0FD5D90455E4A9A80CFC1BF5A6FA7E2_13</vt:lpwstr>
  </property>
</Properties>
</file>