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spacing w:line="560" w:lineRule="exact"/>
        <w:rPr>
          <w:rFonts w:ascii="仿宋" w:hAnsi="仿宋" w:eastAsia="仿宋" w:cs="黑体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黑体"/>
          <w:sz w:val="32"/>
          <w:szCs w:val="32"/>
        </w:rPr>
        <w:t>附件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2</w:t>
      </w:r>
    </w:p>
    <w:p>
      <w:pPr>
        <w:pStyle w:val="6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《中国企业集团财务公司行业社会责任报告（2022-2023）》入选案例供稿单位名单</w:t>
      </w:r>
    </w:p>
    <w:p>
      <w:pPr>
        <w:pStyle w:val="6"/>
        <w:spacing w:line="560" w:lineRule="exact"/>
        <w:rPr>
          <w:rFonts w:ascii="黑体" w:hAnsi="黑体" w:eastAsia="黑体" w:cs="黑体"/>
          <w:sz w:val="32"/>
          <w:szCs w:val="32"/>
        </w:rPr>
      </w:pPr>
    </w:p>
    <w:tbl>
      <w:tblPr>
        <w:tblW w:w="89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46"/>
        <w:gridCol w:w="3118"/>
        <w:gridCol w:w="49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kern w:val="0"/>
                <w:sz w:val="30"/>
                <w:szCs w:val="30"/>
              </w:rPr>
              <w:t>单位名称</w:t>
            </w:r>
          </w:p>
        </w:tc>
        <w:tc>
          <w:tcPr>
            <w:tcW w:w="4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TCL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科技集团财务有限公司</w:t>
            </w:r>
          </w:p>
        </w:tc>
        <w:tc>
          <w:tcPr>
            <w:tcW w:w="4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创新绿色金融模式助力产业低碳转型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鞍钢集团财务有限责任公司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构建“5+1”绿色金融服务体系 赋能鞍钢集团绿色低碳高质量发展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健全抓实责任链条  推进党建提质升级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包钢集团财务有限责任公司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高度关注监管新规，公司治理从“有实”到“有质”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宝武集团财务有限责任公司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“宝财掌上通”让财资服务触手可及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厚植绿色发展底色，赋能低碳转型发展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建立“3+1”人才培养体系，打造高素质金融人才队伍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开展金融普法，提高消保意识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科技金融跑出“加速度”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热心公益慈善，撒播爱与希望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以合规管理认证为契机，完善合规管理体系建设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保利财务有限公司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打造“闪亮保利财务一抹金”精益党建品牌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开展“残健同行 温情相伴”助盲志愿活动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构建全面风险管理体系，助力集团高质量发展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兵工财务有限责任公司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助力集团高端装备制造产业发展实践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不断擦亮“全国文明单位”金字招牌，持续推动公司高质量发展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诚通财务有限责任公司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赴河南省宜阳县调研定点帮扶工作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东方电气集团财务有限公司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严格风险防控 创新风控手段迈出风控智能化第一步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强化金融服务平台作用 助力集团内企业可持续发展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东风汽车财务有限公司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普及金融知识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甘肃电投集团财务有限公司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强化金融保障 助力企业脱困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多元化金融服务支持，助力集团大数据产业发展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完善顶层设计 推动治理体系与治理效能协同提升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供销集团财务有限公司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多措并举控风险 凝心聚力促合规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开展急救培训，老师手把手教你“心肺复苏”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光明食品集团财务有限公司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降债赋能双助力，财司增效不停步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践行监督理念，塑造监督价值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广东能源集团财务有限公司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“碳”路者：绿色票据（碳减排领域）再贴现助力绿美广东建设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广东省广晟财务有限公司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支持成员单位降本增效、降杠杆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广东省交通集团财务有限公司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贯彻执行“第一议题”制度  促进高质量发展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广西交通投资集团财务有限责任公司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“我为制度找缺陷”活动案例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打造同城灾备中心 加快公司数字化发展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国机财务有限责任公司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助力船舶绿色节能改造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助力光伏电站EPC工程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国家电投集团财务有限公司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光伏治沙点亮乡村振兴路，债务优化助推企业提质增效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国家能源集团财务有限公司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首笔科技攻关项目建设期贷款案例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境外账户监控圆满收官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全力支持青海玛尔挡水电项目建设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Courier New"/>
                <w:color w:val="000000"/>
                <w:kern w:val="0"/>
                <w:sz w:val="24"/>
                <w:szCs w:val="24"/>
              </w:rPr>
              <w:t>首笔科技攻关项目建设期贷款案例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Courier New"/>
                <w:color w:val="000000"/>
                <w:kern w:val="0"/>
                <w:sz w:val="24"/>
                <w:szCs w:val="24"/>
              </w:rPr>
              <w:t>业务重塑，激活全渠道发展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助力集团建设全流程在线的司库管控体系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国联财务有限责任公司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探索“数字人民币+企业信贷+绿色金融”服务智慧园区建设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国投财务有限公司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积极开展志愿活动、助力乡村振兴，奉献慈善爱心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完善公司治理架构，不断提升治理能力水平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国新集团财务有限责任公司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精准“引灌”金融活水，助力实体经济发展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国药集团财务有限公司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政策护航 稳健发展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哈尔滨电气集团财务有限责任公司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支持专精特新“小巨人”哈电阀门高质量发展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海尔集团财务有限责任公司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多元活动之复盘工作坊，促进员工职业发展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举办亲子活动，关心员工生活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海信集团财务有限公司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为产业链客户纾困解难，支持集团勇担产业链链长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深化公司治理制度体系建设，夯实公司治理基础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航天科工财务有限责任公司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“我为群众办实事”案例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司库系统助力集团公司财务数字化转型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以高质量党建赋能金融服务提升案例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红豆集团财务有限公司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助力集团海外发展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江苏交通控股集团财务有限公司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绿色金融赋能风电产业发展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金川集团财务有限公司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推进高管层任期制和契约化改革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京能集团财务有限公司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支持集团大基地项目建设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浪潮集团财务有限公司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推动减费让利切实惠及成员单位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发挥金融阵地作用，积极承担金融宣教责任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推进合规管理长效工作机制建设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连云港港口集团财务有限公司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“红色引领”构筑金融机构特色公司治理体系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潞安集团财务有限公司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积极推进构建战略型董事会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青岛啤酒财务有限责任公司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“党员1+N” 服务实体赋能主业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厦门翔业集团财务有限公司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全过程保障重大基础设施项目建设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山东东明石化集团财务有限公司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海关保函规模达十亿元 有力支持“稳外贸”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山东港口集团财务有限责任公司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财务公司支持智慧港口建设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开展征信、反洗钱宣传活动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山东能源集团财务有限公司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推进公司治理规范化建设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陕西煤业化工集团财务有限公司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助力服务高端装备制造业发展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上海电气集团财务有限责任公司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打造财务体检评估模型，推进风险管理数字化转型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推广“集票宝”应用，赋能集团管理和企业数字化转型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助力成员企业发行绿色超短期融资券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上海浦东发展集团财务有限责任公司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充分发挥财顾优势 切实降低直融成本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党建引领聚合力 温情助老暖人心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聚焦“金融赋能、科技赋智”，召开“新发展、芯趋势、心服务”金融论坛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上海文化广播影视集团财务有限公司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全体员工在崇明长兴岛郊野公园践行绿色发展理念、开展义务植树活动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首钢集团财务有限公司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严控监管指标，降低经营风险暴露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以推动数字化转型为目标的数据治理体系构建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通号集团财务有限公司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学习贯彻习近平总书记重要指示批示，推动企业改革、促进高质量发展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通用技术集团财务有限责任公司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产融结合，共同发力，为集团“专精特新”企业高质量发展贡献金融力量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金融赋能主业，“通用技术-健康票”助力医药医疗健康企业高质量发展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践行央企担当，创新拓展CIPS应用场景，助力推动人民币国际化进程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献爱心，办实事，以实际行动履行企业社会责任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万向财务有限公司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链通海洋经济 服务“一带一路” 勇担社会责任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深入开展主题教育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 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积极践行社会责任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五矿集团财务有限责任公司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支持绿色运营案例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物产中大集团财务有限公司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建设“金财保”系统 深化廉洁风险与经营风险协同防控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西电集团财务有限责任公司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工会开展“三八”妇女节掐丝珐琅工艺团建活动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开展“七抓”工程  建强基层堡垒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开展65环境日主题作品征集活动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优化完善公司治理  助推公司跨越发展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新疆金风科技集团财务有限公司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践行绿色金融，助力双碳战略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新希望财务有限公司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同筑金融惠民合力，共谱乡村振兴新曲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徐工集团财务有限公司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开展廉洁文化教育主题党日活动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一汽财务有限公司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全力支持集团海外出口，助力突破百亿元营收大关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有色矿业集团财务有限公司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“强内控合规守清廉底线”系列培训活动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粤海集团财务有限公司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搭建案件防控长效机制，压实案防主体责任，推动案防机制有序运行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招商局集团财务有限公司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聚焦绿色金融 做成员单位“双碳”行动伙伴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浙江海港集团财务有限公司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打造金融知识宣传特色 践行“金融为民”担当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浙江省交通投资集团财务有限责任公司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创建巾帼文明 贡献金融力量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“一核三能”聚力打造“财资卫士”品牌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浙江省能源集团财务有限责任公司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山海协作 携手共富 浙能财务公司助力共建美丽乡村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中车财务有限公司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积极落实国家重大金融战略打通CIPS渠道助力“一带一路”合作的金字招牌“雅万高铁”项目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建立“六步融合”机制贯彻落实党的领导与完善公司治理有机统一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建立健全“六位一体”文化传承体系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具有财务公司特色的“七位一体”人才选拔培养体系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以“154”工作法推进主题教育落地见效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拥抱司库型资金管理变革  搭建中车外汇汇率风险管理平台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中船财务有限责任公司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构筑AI算法与专家规则双轮驱动的智慧监督风控中台，助力集团风控数智化转型升级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中国大唐集团财务有限公司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弘扬卓越文化，践行公益事业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全面风险管理中的应急处置预案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人工智能引领新质生产力，数字化赋能公司卓越发展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中国电建集团财务有限责任公司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企业文化落地案例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四个途径有效外部董事作用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高端装备制造业金融服务体系案例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金融服务有温度，批量代发解“薪”愁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三方监管账户服务助力集团提升资金集中管理水平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中国电力财务有限公司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积极践行绿色金融，助推光伏产业发展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中国电子财务有限责任公司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充分发挥金融资源聚集平台功能，打造中国电子特色司库管理平台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中国航发集团财务有限公司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“铸心”新长征党员突击队 攻关一线冲在前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强化“四心”“四感”关爱   凝聚“铸心”奋进力量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中国航油集团财务有限公司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履行央企社会责任  服务国家重点发展战略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金融数据安全管理体系建设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顺利完成股权变更事项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中国华电集团财务有限公司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持续深化风险管理体系建设 筑牢安全防线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中国华能财务有限责任公司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RPA智能化平台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开展年轻干部清廉教育系列活动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中国南航集团财务有限公司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构建市场化“竞聘PK”机制 锻造高素质专业队伍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弘扬航空金融特色 培育企业合规文化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深化培育“金木棉”党建品牌，擦亮金融特色名片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一枝一叶总关情 工会温暖润人心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中国能源建设集团财务有限公司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基于AI大模型和安全运营平台的“人机共智”网络安全应用实践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中国融通集团财务有限责任公司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积极培树“融智”党建品牌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中国石化财务有限责任公司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积极组织参与公益活动  践行央企社会责任担当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中国铁建财务有限公司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“扫码通”开启铁建移动收款新篇章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坚守主责主业，落实金融监管政策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金融赋能深化惠企增效，助力成员单位破局前行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中国移动通信集团财务有限公司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升级司库运营服务机制 助力集团司库体系建设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中国重汽财务有限公司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服务高端装备制造业发展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服务国家重点发展战略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新兴产业壮大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加强基础建设提质增效-构建安全高效的“数智”财司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以党建引领业务，推动党建与业务融合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助力新兴产业壮大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中核财务有限责任公司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聚焦司库型财务公司转型，塑造数字金融核心竞争力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勇于责任担当，助力乡村振兴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中化工程集团财务有限公司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切实推动耕地保护，为乡村振兴贡献央企力量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中化集团财务有限责任公司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以金融力量支持农业种业高质量发展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中建财务有限公司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搭建司库票据管理平台，助力集团司库体系建设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打造集团内多元化交流平台 深度推进产融结合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筑牢根魂优势，深化主题教育成效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打造“金融服务进项目”系列党建共建活动，助力价值创造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中节能财务有限公司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发起拼团贷款助力集团绿色新材料业务扩充产能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中煤财务有限责任公司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牵头协同引领多能助力中煤集团降本增效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积极为中国中煤“两个联营+”项目提供金融支持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中铁财务有限责任公司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助力成员单位直接融资 高效推进各类债券发行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“点亮小桔灯 温暖心连心”中铁财务公司开展爱心志愿活动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大力深化“五彩党建”品牌  助力企业高质量金融服务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以“金融先锋”文化建设助力中国中铁加快建设世界一流企业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中铁财务数字员工赋能数智化发展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中信财务有限公司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金融活水注入新区发展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拓宽融资渠道，提供精准金融服务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运用系统思维打好“五廉”组合拳共育中信财务公司清廉金融文化生态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助力建成全球领先的碳酸锂项目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中油财务有限责任公司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融融协同护航新材料业务“加速跑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助力中国石油“一带一路”国际能源合作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为主业经营发展提供金融后盾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开展第一期青马工程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三项工程促数字化转型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31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MS Gothic" w:hAnsi="MS Gothic" w:eastAsia="MS Gothic" w:cs="MS Gothic"/>
                <w:color w:val="000000"/>
                <w:kern w:val="0"/>
                <w:sz w:val="24"/>
                <w:szCs w:val="24"/>
              </w:rPr>
              <w:t>​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中远海运集团财务有限责任公司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开展定点帮扶，助力乡村振兴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践行环保理念 实现绿色运营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助力拓展自贸区建设新格局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珠海格力集团财务有限责任公司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格力多元化发展助力健全“三农”金融服务体系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0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珠海华发集团财务有限公司</w:t>
            </w:r>
          </w:p>
        </w:tc>
        <w:tc>
          <w:tcPr>
            <w:tcW w:w="4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增加注册资本 提升综合服务实力和抵御风险能力</w:t>
            </w:r>
          </w:p>
        </w:tc>
      </w:tr>
    </w:tbl>
    <w:p>
      <w:pPr>
        <w:pStyle w:val="6"/>
        <w:spacing w:line="560" w:lineRule="exact"/>
        <w:rPr>
          <w:rFonts w:ascii="仿宋" w:hAnsi="仿宋" w:eastAsia="仿宋"/>
          <w:sz w:val="24"/>
          <w:szCs w:val="24"/>
        </w:rPr>
      </w:pPr>
    </w:p>
    <w:p>
      <w:pPr>
        <w:pStyle w:val="6"/>
        <w:spacing w:line="560" w:lineRule="exact"/>
        <w:rPr>
          <w:rFonts w:ascii="黑体" w:hAnsi="黑体" w:eastAsia="黑体" w:cs="黑体"/>
          <w:sz w:val="32"/>
          <w:szCs w:val="32"/>
        </w:rPr>
      </w:pPr>
    </w:p>
    <w:sectPr>
      <w:headerReference r:id="rId4" w:type="default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黑体"/>
      <w:sz w:val="18"/>
      <w:szCs w:val="18"/>
    </w:rPr>
  </w:style>
  <w:style w:type="character" w:styleId="5">
    <w:name w:val="Emphasis"/>
    <w:basedOn w:val="4"/>
    <w:qFormat/>
    <w:uiPriority w:val="20"/>
    <w:rPr>
      <w:i/>
    </w:rPr>
  </w:style>
  <w:style w:type="paragraph" w:customStyle="1" w:styleId="6">
    <w:name w:val="p0"/>
    <w:basedOn w:val="1"/>
    <w:qFormat/>
    <w:uiPriority w:val="0"/>
    <w:pPr>
      <w:widowControl/>
      <w:jc w:val="left"/>
    </w:pPr>
    <w:rPr>
      <w:rFonts w:ascii="Times New Roman" w:hAnsi="Times New Roman"/>
      <w:kern w:val="0"/>
      <w:szCs w:val="21"/>
    </w:rPr>
  </w:style>
  <w:style w:type="paragraph" w:customStyle="1" w:styleId="7">
    <w:name w:val="样式1"/>
    <w:qFormat/>
    <w:uiPriority w:val="0"/>
    <w:pPr>
      <w:spacing w:line="640" w:lineRule="exact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10</Pages>
  <Words>831</Words>
  <Characters>4740</Characters>
  <Lines>39</Lines>
  <Paragraphs>11</Paragraphs>
  <TotalTime>0</TotalTime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2024-12-02T05:45:00Z</dcterms:created>
  <dc:creator>123</dc:creator>
  <cp:lastModifiedBy>商屹</cp:lastModifiedBy>
  <dcterms:modified xsi:type="dcterms:W3CDTF">2024-12-27T06:16:15Z</dcterms:modified>
  <dc:title>关于表彰《中国企业集团财务公司行业社会责任报告（2016-2017）》入选案例供稿单位的议案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  <property fmtid="{D5CDD505-2E9C-101B-9397-08002B2CF9AE}" pid="3" name="ICV">
    <vt:lpwstr>582C32B629174973BA17C907DEE2600F_12</vt:lpwstr>
  </property>
</Properties>
</file>