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jc w:val="left"/>
        <w:rPr>
          <w:rFonts w:ascii="黑体" w:hAnsi="黑体" w:eastAsia="黑体"/>
          <w:kern w:val="0"/>
          <w:sz w:val="36"/>
          <w:szCs w:val="36"/>
        </w:rPr>
      </w:pPr>
      <w:r>
        <w:rPr>
          <w:rFonts w:hint="eastAsia" w:ascii="黑体" w:hAnsi="黑体" w:eastAsia="黑体" w:cs="黑体"/>
          <w:kern w:val="0"/>
          <w:sz w:val="32"/>
          <w:szCs w:val="32"/>
        </w:rPr>
        <w:t>附件</w:t>
      </w:r>
      <w:r>
        <w:rPr>
          <w:rFonts w:hint="eastAsia" w:ascii="黑体" w:hAnsi="黑体" w:eastAsia="黑体" w:cs="黑体"/>
          <w:kern w:val="0"/>
          <w:sz w:val="32"/>
          <w:szCs w:val="32"/>
          <w:lang w:val="en-US" w:eastAsia="zh-CN"/>
        </w:rPr>
        <w:t>1</w:t>
      </w:r>
      <w:bookmarkStart w:id="0" w:name="_GoBack"/>
      <w:bookmarkEnd w:id="0"/>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jc w:val="center"/>
        <w:rPr>
          <w:rFonts w:ascii="黑体" w:hAnsi="黑体" w:eastAsia="黑体"/>
          <w:kern w:val="0"/>
          <w:sz w:val="36"/>
          <w:szCs w:val="36"/>
        </w:rPr>
      </w:pPr>
      <w:r>
        <w:rPr>
          <w:rFonts w:hint="eastAsia" w:ascii="黑体" w:hAnsi="黑体" w:eastAsia="黑体"/>
          <w:kern w:val="0"/>
          <w:sz w:val="36"/>
          <w:szCs w:val="36"/>
        </w:rPr>
        <w:t>《中国企业集团财务公司行业发展报告（2024）》</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jc w:val="center"/>
        <w:rPr>
          <w:rFonts w:ascii="黑体" w:hAnsi="黑体" w:eastAsia="黑体"/>
          <w:kern w:val="0"/>
          <w:sz w:val="36"/>
          <w:szCs w:val="36"/>
        </w:rPr>
      </w:pPr>
      <w:r>
        <w:rPr>
          <w:rFonts w:hint="eastAsia" w:ascii="黑体" w:hAnsi="黑体" w:eastAsia="黑体"/>
          <w:kern w:val="0"/>
          <w:sz w:val="36"/>
          <w:szCs w:val="36"/>
        </w:rPr>
        <w:t>入选案例供稿单位名单</w:t>
      </w:r>
    </w:p>
    <w:tbl>
      <w:tblPr>
        <w:tblW w:w="932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
      <w:tblGrid>
        <w:gridCol w:w="692"/>
        <w:gridCol w:w="3660"/>
        <w:gridCol w:w="49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85" w:hRule="atLeast"/>
          <w:tblHeader/>
          <w:jc w:val="center"/>
        </w:trPr>
        <w:tc>
          <w:tcPr>
            <w:tcW w:w="69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序号</w:t>
            </w:r>
          </w:p>
        </w:tc>
        <w:tc>
          <w:tcPr>
            <w:tcW w:w="366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供 稿 单 位</w:t>
            </w: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入  选  案  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366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安徽省能源集团财务有限公司</w:t>
            </w: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皖能财务公司担当作为 助力破解小微项目融资难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w:t>
            </w:r>
          </w:p>
        </w:tc>
        <w:tc>
          <w:tcPr>
            <w:tcW w:w="366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鞍钢集团财务有限责任公司</w:t>
            </w: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鞍钢集团财务有限责任公司提供境外咨询服务控制融资风险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0"/>
                <w:szCs w:val="20"/>
              </w:rPr>
            </w:pPr>
          </w:p>
        </w:tc>
        <w:tc>
          <w:tcPr>
            <w:tcW w:w="3660" w:type="dxa"/>
            <w:vMerge w:val="continue"/>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color w:val="000000"/>
                <w:sz w:val="20"/>
                <w:szCs w:val="20"/>
              </w:rPr>
            </w:pP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加入“反诈白名单”提升防风险能力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0"/>
                <w:szCs w:val="20"/>
              </w:rPr>
            </w:pPr>
          </w:p>
        </w:tc>
        <w:tc>
          <w:tcPr>
            <w:tcW w:w="3660" w:type="dxa"/>
            <w:vMerge w:val="continue"/>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color w:val="000000"/>
                <w:sz w:val="20"/>
                <w:szCs w:val="20"/>
              </w:rPr>
            </w:pP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大监督体系下的监督融合应用实践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0"/>
                <w:szCs w:val="20"/>
              </w:rPr>
            </w:pPr>
          </w:p>
        </w:tc>
        <w:tc>
          <w:tcPr>
            <w:tcW w:w="3660" w:type="dxa"/>
            <w:vMerge w:val="continue"/>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color w:val="000000"/>
                <w:sz w:val="20"/>
                <w:szCs w:val="20"/>
              </w:rPr>
            </w:pP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培育数字化人才赋能企业转型升级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0"/>
                <w:szCs w:val="20"/>
              </w:rPr>
            </w:pPr>
          </w:p>
        </w:tc>
        <w:tc>
          <w:tcPr>
            <w:tcW w:w="3660" w:type="dxa"/>
            <w:vMerge w:val="continue"/>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color w:val="000000"/>
                <w:sz w:val="20"/>
                <w:szCs w:val="20"/>
              </w:rPr>
            </w:pP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编制《核算手册》，助力核算标准化实践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w:t>
            </w:r>
          </w:p>
        </w:tc>
        <w:tc>
          <w:tcPr>
            <w:tcW w:w="366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宝武集团财务有限责任公司</w:t>
            </w: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推动产融往下游走，促进服务提质增效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0"/>
                <w:szCs w:val="20"/>
              </w:rPr>
            </w:pPr>
          </w:p>
        </w:tc>
        <w:tc>
          <w:tcPr>
            <w:tcW w:w="3660" w:type="dxa"/>
            <w:vMerge w:val="continue"/>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color w:val="000000"/>
                <w:sz w:val="20"/>
                <w:szCs w:val="20"/>
              </w:rPr>
            </w:pP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发挥外汇专业能力，协助集团完善外汇风险管理体系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0"/>
                <w:szCs w:val="20"/>
              </w:rPr>
            </w:pPr>
          </w:p>
        </w:tc>
        <w:tc>
          <w:tcPr>
            <w:tcW w:w="3660" w:type="dxa"/>
            <w:vMerge w:val="continue"/>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color w:val="000000"/>
                <w:sz w:val="20"/>
                <w:szCs w:val="20"/>
              </w:rPr>
            </w:pP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宝武财务公司“大监督”体系建设经验案例分享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0"/>
                <w:szCs w:val="20"/>
              </w:rPr>
            </w:pPr>
          </w:p>
        </w:tc>
        <w:tc>
          <w:tcPr>
            <w:tcW w:w="3660" w:type="dxa"/>
            <w:vMerge w:val="continue"/>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color w:val="000000"/>
                <w:sz w:val="20"/>
                <w:szCs w:val="20"/>
              </w:rPr>
            </w:pP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推动成本分摊系统建设，进一步细化销管费用管理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0"/>
                <w:szCs w:val="20"/>
              </w:rPr>
            </w:pPr>
          </w:p>
        </w:tc>
        <w:tc>
          <w:tcPr>
            <w:tcW w:w="3660" w:type="dxa"/>
            <w:vMerge w:val="continue"/>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color w:val="000000"/>
                <w:sz w:val="20"/>
                <w:szCs w:val="20"/>
              </w:rPr>
            </w:pP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厚植绿色发展底色，赋能低碳转型发展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w:t>
            </w:r>
          </w:p>
        </w:tc>
        <w:tc>
          <w:tcPr>
            <w:tcW w:w="366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北京金融街集团财务有限公司</w:t>
            </w: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机房搬迁方案研究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w:t>
            </w:r>
          </w:p>
        </w:tc>
        <w:tc>
          <w:tcPr>
            <w:tcW w:w="366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北京汽车集团财务有限公司</w:t>
            </w: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全面风险管理系统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0"/>
                <w:szCs w:val="20"/>
              </w:rPr>
            </w:pPr>
          </w:p>
        </w:tc>
        <w:tc>
          <w:tcPr>
            <w:tcW w:w="3660" w:type="dxa"/>
            <w:vMerge w:val="continue"/>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color w:val="000000"/>
                <w:sz w:val="20"/>
                <w:szCs w:val="20"/>
              </w:rPr>
            </w:pP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灾备切换指挥系统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0"/>
                <w:szCs w:val="20"/>
              </w:rPr>
            </w:pPr>
          </w:p>
        </w:tc>
        <w:tc>
          <w:tcPr>
            <w:tcW w:w="3660" w:type="dxa"/>
            <w:vMerge w:val="continue"/>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color w:val="000000"/>
                <w:sz w:val="20"/>
                <w:szCs w:val="20"/>
              </w:rPr>
            </w:pP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基于大数据技术的轻型商用车零售贷款欺诈风险管理体系建设与实践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w:t>
            </w:r>
          </w:p>
        </w:tc>
        <w:tc>
          <w:tcPr>
            <w:tcW w:w="366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兵工财务有限责任公司</w:t>
            </w: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以司库管理平台建设带动集团资金管理数智化转型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7</w:t>
            </w:r>
          </w:p>
        </w:tc>
        <w:tc>
          <w:tcPr>
            <w:tcW w:w="366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诚通财务有限责任公司</w:t>
            </w: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深化三项制度改革 为高质量发展注入强劲动力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8</w:t>
            </w:r>
          </w:p>
        </w:tc>
        <w:tc>
          <w:tcPr>
            <w:tcW w:w="366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广东省广晟财务有限公司</w:t>
            </w: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广晟财务公司建立健全资本充足应急体系，不断增强资本管理质效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9</w:t>
            </w:r>
          </w:p>
        </w:tc>
        <w:tc>
          <w:tcPr>
            <w:tcW w:w="366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广东省交通集团财务有限公司</w:t>
            </w: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勇当高质量发展“开路先锋”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w:t>
            </w:r>
          </w:p>
        </w:tc>
        <w:tc>
          <w:tcPr>
            <w:tcW w:w="366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广西交通投资集团财务有限责任公司</w:t>
            </w: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推进财务管理数字化转型 实现费用报销审批线上化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11</w:t>
            </w:r>
          </w:p>
        </w:tc>
        <w:tc>
          <w:tcPr>
            <w:tcW w:w="366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国家电投集团财务有限公司</w:t>
            </w: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国家电投财务公司“绿金”促“绿能”，创新助“双碳”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0"/>
                <w:szCs w:val="20"/>
              </w:rPr>
            </w:pPr>
          </w:p>
        </w:tc>
        <w:tc>
          <w:tcPr>
            <w:tcW w:w="3660" w:type="dxa"/>
            <w:vMerge w:val="continue"/>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color w:val="000000"/>
                <w:sz w:val="20"/>
                <w:szCs w:val="20"/>
              </w:rPr>
            </w:pP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“精益化党建”引领保障企业高质量发展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0"/>
                <w:szCs w:val="20"/>
              </w:rPr>
            </w:pPr>
          </w:p>
        </w:tc>
        <w:tc>
          <w:tcPr>
            <w:tcW w:w="3660" w:type="dxa"/>
            <w:vMerge w:val="continue"/>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color w:val="000000"/>
                <w:sz w:val="20"/>
                <w:szCs w:val="20"/>
              </w:rPr>
            </w:pP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以“穿石”行动推进“大监督”体系建设走深走实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12</w:t>
            </w:r>
          </w:p>
        </w:tc>
        <w:tc>
          <w:tcPr>
            <w:tcW w:w="366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国家能源集团财务有限公司</w:t>
            </w: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财务公司上市公司关联交易超额划转功能探索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0"/>
                <w:szCs w:val="20"/>
              </w:rPr>
            </w:pPr>
          </w:p>
        </w:tc>
        <w:tc>
          <w:tcPr>
            <w:tcW w:w="3660" w:type="dxa"/>
            <w:vMerge w:val="continue"/>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color w:val="000000"/>
                <w:sz w:val="20"/>
                <w:szCs w:val="20"/>
              </w:rPr>
            </w:pP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国家能源财务公司助力集团境外账户监控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0"/>
                <w:szCs w:val="20"/>
              </w:rPr>
            </w:pPr>
          </w:p>
        </w:tc>
        <w:tc>
          <w:tcPr>
            <w:tcW w:w="3660" w:type="dxa"/>
            <w:vMerge w:val="continue"/>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color w:val="000000"/>
                <w:sz w:val="20"/>
                <w:szCs w:val="20"/>
              </w:rPr>
            </w:pP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创业精神破难题  十个专班促提升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540" w:hRule="atLeast"/>
          <w:jc w:val="center"/>
        </w:trPr>
        <w:tc>
          <w:tcPr>
            <w:tcW w:w="69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0"/>
                <w:szCs w:val="20"/>
              </w:rPr>
            </w:pPr>
          </w:p>
        </w:tc>
        <w:tc>
          <w:tcPr>
            <w:tcW w:w="3660" w:type="dxa"/>
            <w:vMerge w:val="continue"/>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color w:val="000000"/>
                <w:sz w:val="20"/>
                <w:szCs w:val="20"/>
              </w:rPr>
            </w:pP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以财务公司为实施平台的司库体系建设关键问题研究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13</w:t>
            </w:r>
          </w:p>
        </w:tc>
        <w:tc>
          <w:tcPr>
            <w:tcW w:w="366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国投财务有限公司</w:t>
            </w: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国投财务公司通过“科创贷”业务，助力集团科技企业高质量发展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0"/>
                <w:szCs w:val="20"/>
              </w:rPr>
            </w:pPr>
          </w:p>
        </w:tc>
        <w:tc>
          <w:tcPr>
            <w:tcW w:w="3660" w:type="dxa"/>
            <w:vMerge w:val="continue"/>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color w:val="000000"/>
                <w:sz w:val="20"/>
                <w:szCs w:val="20"/>
              </w:rPr>
            </w:pP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细化流程，精准推介，国投财务为集团企业提供高质量财务顾问服务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0"/>
                <w:szCs w:val="20"/>
              </w:rPr>
            </w:pPr>
          </w:p>
        </w:tc>
        <w:tc>
          <w:tcPr>
            <w:tcW w:w="3660" w:type="dxa"/>
            <w:vMerge w:val="continue"/>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color w:val="000000"/>
                <w:sz w:val="20"/>
                <w:szCs w:val="20"/>
              </w:rPr>
            </w:pP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国投财务以“四个对标”为抓手 ，一体推进主题教育务实见效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0"/>
                <w:szCs w:val="20"/>
              </w:rPr>
            </w:pPr>
          </w:p>
        </w:tc>
        <w:tc>
          <w:tcPr>
            <w:tcW w:w="3660" w:type="dxa"/>
            <w:vMerge w:val="continue"/>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color w:val="000000"/>
                <w:sz w:val="20"/>
                <w:szCs w:val="20"/>
              </w:rPr>
            </w:pP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发挥绩效考核“指挥棒”作用，国投财务紧抓绩效反馈“牛鼻子”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0"/>
                <w:szCs w:val="20"/>
              </w:rPr>
            </w:pPr>
          </w:p>
        </w:tc>
        <w:tc>
          <w:tcPr>
            <w:tcW w:w="3660" w:type="dxa"/>
            <w:vMerge w:val="continue"/>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color w:val="000000"/>
                <w:sz w:val="20"/>
                <w:szCs w:val="20"/>
              </w:rPr>
            </w:pP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国投财务创新养老金融服务，开展集团养老服务机构押金监管业务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14</w:t>
            </w:r>
          </w:p>
        </w:tc>
        <w:tc>
          <w:tcPr>
            <w:tcW w:w="366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国新集团财务有限责任公司</w:t>
            </w: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国新财务公司丰富监督形式 切实提升内审质效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15</w:t>
            </w:r>
          </w:p>
        </w:tc>
        <w:tc>
          <w:tcPr>
            <w:tcW w:w="366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国药集团财务有限公司</w:t>
            </w: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国药集团财务有限公司以优质服务为抓手全面提升竞争力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16</w:t>
            </w:r>
          </w:p>
        </w:tc>
        <w:tc>
          <w:tcPr>
            <w:tcW w:w="366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海信集团财务有限公司</w:t>
            </w: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海信集团公司成功落地青岛市首笔本外币一体化资金池项下套保业务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0"/>
                <w:szCs w:val="20"/>
              </w:rPr>
            </w:pPr>
          </w:p>
        </w:tc>
        <w:tc>
          <w:tcPr>
            <w:tcW w:w="3660" w:type="dxa"/>
            <w:vMerge w:val="continue"/>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color w:val="000000"/>
                <w:sz w:val="20"/>
                <w:szCs w:val="20"/>
              </w:rPr>
            </w:pP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海信财务公司实现监管指标监测自动化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17</w:t>
            </w:r>
          </w:p>
        </w:tc>
        <w:tc>
          <w:tcPr>
            <w:tcW w:w="366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航天科工财务有限责任公司</w:t>
            </w: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开展监管数据治理，赋能公司数智化转型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0"/>
                <w:szCs w:val="20"/>
              </w:rPr>
            </w:pPr>
          </w:p>
        </w:tc>
        <w:tc>
          <w:tcPr>
            <w:tcW w:w="3660" w:type="dxa"/>
            <w:vMerge w:val="continue"/>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color w:val="000000"/>
                <w:sz w:val="20"/>
                <w:szCs w:val="20"/>
              </w:rPr>
            </w:pP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事业共进 利润共享 发展共赢 超额利润分享机制助推企业高质量发展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18</w:t>
            </w:r>
          </w:p>
        </w:tc>
        <w:tc>
          <w:tcPr>
            <w:tcW w:w="366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航天科技财务有限责任公司</w:t>
            </w: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航天科技财务公司以高质量金融服务助推集团产业高质量发展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0"/>
                <w:szCs w:val="20"/>
              </w:rPr>
            </w:pPr>
          </w:p>
        </w:tc>
        <w:tc>
          <w:tcPr>
            <w:tcW w:w="3660" w:type="dxa"/>
            <w:vMerge w:val="continue"/>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color w:val="000000"/>
                <w:sz w:val="20"/>
                <w:szCs w:val="20"/>
              </w:rPr>
            </w:pP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财务公司支撑集团司库建设探索与实践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19</w:t>
            </w:r>
          </w:p>
        </w:tc>
        <w:tc>
          <w:tcPr>
            <w:tcW w:w="366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红豆集团财务有限公司</w:t>
            </w: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坚守服务定位，助力集团高质量发展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20</w:t>
            </w:r>
          </w:p>
        </w:tc>
        <w:tc>
          <w:tcPr>
            <w:tcW w:w="366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淮南矿业集团财务有限公司</w:t>
            </w: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淮南矿业财务公司高标准落实资金归集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21</w:t>
            </w:r>
          </w:p>
        </w:tc>
        <w:tc>
          <w:tcPr>
            <w:tcW w:w="366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江铃汽车集团财务有限公司</w:t>
            </w: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基于区块链存证的智能司法服务项目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0"/>
                <w:szCs w:val="20"/>
              </w:rPr>
            </w:pPr>
          </w:p>
        </w:tc>
        <w:tc>
          <w:tcPr>
            <w:tcW w:w="3660" w:type="dxa"/>
            <w:vMerge w:val="continue"/>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color w:val="000000"/>
                <w:sz w:val="20"/>
                <w:szCs w:val="20"/>
              </w:rPr>
            </w:pP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让利于企助发展，普惠金融提质效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22</w:t>
            </w:r>
          </w:p>
        </w:tc>
        <w:tc>
          <w:tcPr>
            <w:tcW w:w="366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江苏省国信集团财务有限公司</w:t>
            </w: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江苏省国信集团财务有限公司党委念好“稳 准 真”三字诀 高质量推进主题教育取得扎实成效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23</w:t>
            </w:r>
          </w:p>
        </w:tc>
        <w:tc>
          <w:tcPr>
            <w:tcW w:w="366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晋煤集团财务有限公司</w:t>
            </w: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“小成本 高效率”四步完成1104数据填报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24</w:t>
            </w:r>
          </w:p>
        </w:tc>
        <w:tc>
          <w:tcPr>
            <w:tcW w:w="366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京能集团财务有限公司</w:t>
            </w: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京能集团财务有限公司以“五个下功夫”创新推进主题教育走深走实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25</w:t>
            </w:r>
          </w:p>
        </w:tc>
        <w:tc>
          <w:tcPr>
            <w:tcW w:w="366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联通集团财务有限公司</w:t>
            </w: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联通财务公司内部结算创新高，降本增效添妙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0"/>
                <w:szCs w:val="20"/>
              </w:rPr>
            </w:pPr>
          </w:p>
        </w:tc>
        <w:tc>
          <w:tcPr>
            <w:tcW w:w="3660" w:type="dxa"/>
            <w:vMerge w:val="continue"/>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color w:val="000000"/>
                <w:sz w:val="20"/>
                <w:szCs w:val="20"/>
              </w:rPr>
            </w:pP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抓实抓细业务连续性管理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0"/>
                <w:szCs w:val="20"/>
              </w:rPr>
            </w:pPr>
          </w:p>
        </w:tc>
        <w:tc>
          <w:tcPr>
            <w:tcW w:w="3660" w:type="dxa"/>
            <w:vMerge w:val="continue"/>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color w:val="000000"/>
                <w:sz w:val="20"/>
                <w:szCs w:val="20"/>
              </w:rPr>
            </w:pP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推进财务数字转型 提高整体财务效率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26</w:t>
            </w:r>
          </w:p>
        </w:tc>
        <w:tc>
          <w:tcPr>
            <w:tcW w:w="366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潞安集团财务有限公司</w:t>
            </w: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厚植“算账文化”沃土 激发价值创造活力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27</w:t>
            </w:r>
          </w:p>
        </w:tc>
        <w:tc>
          <w:tcPr>
            <w:tcW w:w="366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南方电网财务有限公司</w:t>
            </w: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南网财务公司积极推广票据缴费业务,助力集团供应链金融业务工作实现新突破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0"/>
                <w:szCs w:val="20"/>
              </w:rPr>
            </w:pPr>
          </w:p>
        </w:tc>
        <w:tc>
          <w:tcPr>
            <w:tcW w:w="3660" w:type="dxa"/>
            <w:vMerge w:val="continue"/>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color w:val="000000"/>
                <w:sz w:val="20"/>
                <w:szCs w:val="20"/>
              </w:rPr>
            </w:pP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南方电网财务有限公司开展贯彻落实党的二十大精神，以底线思维、系统观念进一步加强金融风险管控研究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0"/>
                <w:szCs w:val="20"/>
              </w:rPr>
            </w:pPr>
          </w:p>
        </w:tc>
        <w:tc>
          <w:tcPr>
            <w:tcW w:w="3660" w:type="dxa"/>
            <w:vMerge w:val="continue"/>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color w:val="000000"/>
                <w:sz w:val="20"/>
                <w:szCs w:val="20"/>
              </w:rPr>
            </w:pP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构建“2+2”网络安全运营工作机制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0"/>
                <w:szCs w:val="20"/>
              </w:rPr>
            </w:pPr>
          </w:p>
        </w:tc>
        <w:tc>
          <w:tcPr>
            <w:tcW w:w="3660" w:type="dxa"/>
            <w:vMerge w:val="continue"/>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color w:val="000000"/>
                <w:sz w:val="20"/>
                <w:szCs w:val="20"/>
              </w:rPr>
            </w:pP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聚焦核心业务和核心能力，提升公司核心竞争力——南网财务公司创新柔性团队用工模式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0"/>
                <w:szCs w:val="20"/>
              </w:rPr>
            </w:pPr>
          </w:p>
        </w:tc>
        <w:tc>
          <w:tcPr>
            <w:tcW w:w="3660" w:type="dxa"/>
            <w:vMerge w:val="continue"/>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color w:val="000000"/>
                <w:sz w:val="20"/>
                <w:szCs w:val="20"/>
              </w:rPr>
            </w:pP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积极探索财务创新，推动财务数字化转型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28</w:t>
            </w:r>
          </w:p>
        </w:tc>
        <w:tc>
          <w:tcPr>
            <w:tcW w:w="366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内蒙古电力集团财务有限责任公司</w:t>
            </w: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内蒙古电力集团财务有限责任公司司库案例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29</w:t>
            </w:r>
          </w:p>
        </w:tc>
        <w:tc>
          <w:tcPr>
            <w:tcW w:w="366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山东港口集团财务有限责任公司</w:t>
            </w: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践行“三个一” 深化特色服务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30</w:t>
            </w:r>
          </w:p>
        </w:tc>
        <w:tc>
          <w:tcPr>
            <w:tcW w:w="366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山东能源集团财务有限公司</w:t>
            </w: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开展首笔关税保函业务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31</w:t>
            </w:r>
          </w:p>
        </w:tc>
        <w:tc>
          <w:tcPr>
            <w:tcW w:w="366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陕西煤业化工集团财务有限公司</w:t>
            </w: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陕西煤化财务公司财务数智化系统案例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32</w:t>
            </w:r>
          </w:p>
        </w:tc>
        <w:tc>
          <w:tcPr>
            <w:tcW w:w="366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陕西延长石油财务有限公司</w:t>
            </w: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党建引领 服务实体 数据赋能 为延长石油集团高质量发展提供金融动能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33</w:t>
            </w:r>
          </w:p>
        </w:tc>
        <w:tc>
          <w:tcPr>
            <w:tcW w:w="366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商飞集团财务有限责任公司</w:t>
            </w: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商飞财务公司飞机买方信贷服务案例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0"/>
                <w:szCs w:val="20"/>
              </w:rPr>
            </w:pPr>
          </w:p>
        </w:tc>
        <w:tc>
          <w:tcPr>
            <w:tcW w:w="3660" w:type="dxa"/>
            <w:vMerge w:val="continue"/>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color w:val="000000"/>
                <w:sz w:val="20"/>
                <w:szCs w:val="20"/>
              </w:rPr>
            </w:pP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商飞财务公司落地首单数字人民币跨境支付业务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34</w:t>
            </w:r>
          </w:p>
        </w:tc>
        <w:tc>
          <w:tcPr>
            <w:tcW w:w="366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上海电气集团财务有限责任公司</w:t>
            </w: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上海电气集团财务有限责任公司助力电气控股成功注册可交换债券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0"/>
                <w:szCs w:val="20"/>
              </w:rPr>
            </w:pPr>
          </w:p>
        </w:tc>
        <w:tc>
          <w:tcPr>
            <w:tcW w:w="3660" w:type="dxa"/>
            <w:vMerge w:val="continue"/>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color w:val="000000"/>
                <w:sz w:val="20"/>
                <w:szCs w:val="20"/>
              </w:rPr>
            </w:pP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拓宽跨境人民币流动渠道，支持集团海外项目高质量发展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0"/>
                <w:szCs w:val="20"/>
              </w:rPr>
            </w:pPr>
          </w:p>
        </w:tc>
        <w:tc>
          <w:tcPr>
            <w:tcW w:w="3660" w:type="dxa"/>
            <w:vMerge w:val="continue"/>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color w:val="000000"/>
                <w:sz w:val="20"/>
                <w:szCs w:val="20"/>
              </w:rPr>
            </w:pP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搭建信贷资金用途监督智能化模型，赋能审计数字化转型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0"/>
                <w:szCs w:val="20"/>
              </w:rPr>
            </w:pPr>
          </w:p>
        </w:tc>
        <w:tc>
          <w:tcPr>
            <w:tcW w:w="3660" w:type="dxa"/>
            <w:vMerge w:val="continue"/>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color w:val="000000"/>
                <w:sz w:val="20"/>
                <w:szCs w:val="20"/>
              </w:rPr>
            </w:pP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深化公司治理体系建设，夯实稳健发展根基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0"/>
                <w:szCs w:val="20"/>
              </w:rPr>
            </w:pPr>
          </w:p>
        </w:tc>
        <w:tc>
          <w:tcPr>
            <w:tcW w:w="3660" w:type="dxa"/>
            <w:vMerge w:val="continue"/>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color w:val="000000"/>
                <w:sz w:val="20"/>
                <w:szCs w:val="20"/>
              </w:rPr>
            </w:pP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人行大集中报表系统项目，助力财司数字化报送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35</w:t>
            </w:r>
          </w:p>
        </w:tc>
        <w:tc>
          <w:tcPr>
            <w:tcW w:w="366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上海上实集团财务有限公司</w:t>
            </w: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“聚沙成塔”初心依然--以深化党建品牌为抓手，推动党建与业务深度融合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36</w:t>
            </w:r>
          </w:p>
        </w:tc>
        <w:tc>
          <w:tcPr>
            <w:tcW w:w="366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申能集团财务有限公司</w:t>
            </w: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申能财务公司落地上海地区首单碳减排激励贷款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0"/>
                <w:szCs w:val="20"/>
              </w:rPr>
            </w:pPr>
          </w:p>
        </w:tc>
        <w:tc>
          <w:tcPr>
            <w:tcW w:w="3660" w:type="dxa"/>
            <w:vMerge w:val="continue"/>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color w:val="000000"/>
                <w:sz w:val="20"/>
                <w:szCs w:val="20"/>
              </w:rPr>
            </w:pP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申能财务公司落地上海地区首单碳减排激励贷款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37</w:t>
            </w:r>
          </w:p>
        </w:tc>
        <w:tc>
          <w:tcPr>
            <w:tcW w:w="366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深圳能源财务有限公司</w:t>
            </w: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金融让利助力精准扶贫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38</w:t>
            </w:r>
          </w:p>
        </w:tc>
        <w:tc>
          <w:tcPr>
            <w:tcW w:w="366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首钢集团财务有限公司</w:t>
            </w: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首钢财务公司“通”系列专项再贴现业务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39</w:t>
            </w:r>
          </w:p>
        </w:tc>
        <w:tc>
          <w:tcPr>
            <w:tcW w:w="366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天津渤海集团财务有限责任公司</w:t>
            </w: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风险审计协作配合联合监督案例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40</w:t>
            </w:r>
          </w:p>
        </w:tc>
        <w:tc>
          <w:tcPr>
            <w:tcW w:w="366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天津能源集团财务有限公司</w:t>
            </w: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天津能源集团财务有限公司加强党对内部审计工作的引领作用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0"/>
                <w:szCs w:val="20"/>
              </w:rPr>
            </w:pPr>
          </w:p>
        </w:tc>
        <w:tc>
          <w:tcPr>
            <w:tcW w:w="3660" w:type="dxa"/>
            <w:vMerge w:val="continue"/>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color w:val="000000"/>
                <w:sz w:val="20"/>
                <w:szCs w:val="20"/>
              </w:rPr>
            </w:pP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“三会一层”切实发挥履职效能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41</w:t>
            </w:r>
          </w:p>
        </w:tc>
        <w:tc>
          <w:tcPr>
            <w:tcW w:w="366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通用技术集团财务有限责任公司</w:t>
            </w: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创新“通用技术-机床票”，金融服务助力制造业强国发展道路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0"/>
                <w:szCs w:val="20"/>
              </w:rPr>
            </w:pPr>
          </w:p>
        </w:tc>
        <w:tc>
          <w:tcPr>
            <w:tcW w:w="3660" w:type="dxa"/>
            <w:vMerge w:val="continue"/>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color w:val="000000"/>
                <w:sz w:val="20"/>
                <w:szCs w:val="20"/>
              </w:rPr>
            </w:pP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打造“通财模式”党建推进党建经营深度融合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42</w:t>
            </w:r>
          </w:p>
        </w:tc>
        <w:tc>
          <w:tcPr>
            <w:tcW w:w="366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万向财务有限公司</w:t>
            </w: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全面优化资金运作，万向财务公司流动性管理的高效路径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0"/>
                <w:szCs w:val="20"/>
              </w:rPr>
            </w:pPr>
          </w:p>
        </w:tc>
        <w:tc>
          <w:tcPr>
            <w:tcW w:w="3660" w:type="dxa"/>
            <w:vMerge w:val="continue"/>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color w:val="000000"/>
                <w:sz w:val="20"/>
                <w:szCs w:val="20"/>
              </w:rPr>
            </w:pP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万向财务积极推进落实万向数智内网安全建设项目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43</w:t>
            </w:r>
          </w:p>
        </w:tc>
        <w:tc>
          <w:tcPr>
            <w:tcW w:w="366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物产中大集团财务有限公司</w:t>
            </w: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“易汇融”本外币双池汇融联动 服务集团高水平稳链固链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44</w:t>
            </w:r>
          </w:p>
        </w:tc>
        <w:tc>
          <w:tcPr>
            <w:tcW w:w="366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西电集团财务有限责任公司</w:t>
            </w: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以廉养德润清廉金融 以洁修身扬财司清风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45</w:t>
            </w:r>
          </w:p>
        </w:tc>
        <w:tc>
          <w:tcPr>
            <w:tcW w:w="366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新疆金风科技集团财务有限公司</w:t>
            </w: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党建引领公司治理促民营财司发展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46</w:t>
            </w:r>
          </w:p>
        </w:tc>
        <w:tc>
          <w:tcPr>
            <w:tcW w:w="366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新希望财务有限公司</w:t>
            </w: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新希望财务公司多措并举提升民企党建工作质效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47</w:t>
            </w:r>
          </w:p>
        </w:tc>
        <w:tc>
          <w:tcPr>
            <w:tcW w:w="366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徐工集团财务有限公司</w:t>
            </w: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徐工财务公司初心如磐担使命，打造人才聚集地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0"/>
                <w:szCs w:val="20"/>
              </w:rPr>
            </w:pPr>
          </w:p>
        </w:tc>
        <w:tc>
          <w:tcPr>
            <w:tcW w:w="3660" w:type="dxa"/>
            <w:vMerge w:val="continue"/>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color w:val="000000"/>
                <w:sz w:val="20"/>
                <w:szCs w:val="20"/>
              </w:rPr>
            </w:pP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徐工财务公司加大金融支持科技信贷力度，深度发挥金融支撑产业作用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48</w:t>
            </w:r>
          </w:p>
        </w:tc>
        <w:tc>
          <w:tcPr>
            <w:tcW w:w="366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伊利财务有限公司</w:t>
            </w: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全力保障集团境外资金高效运用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49</w:t>
            </w:r>
          </w:p>
        </w:tc>
        <w:tc>
          <w:tcPr>
            <w:tcW w:w="366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有色矿业集团财务有限公司</w:t>
            </w: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有色财务公司精耕细作，金融平台功能发挥显著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0"/>
                <w:szCs w:val="20"/>
              </w:rPr>
            </w:pPr>
          </w:p>
        </w:tc>
        <w:tc>
          <w:tcPr>
            <w:tcW w:w="3660" w:type="dxa"/>
            <w:vMerge w:val="continue"/>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color w:val="000000"/>
                <w:sz w:val="20"/>
                <w:szCs w:val="20"/>
              </w:rPr>
            </w:pP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有色矿业集团财务有限公司党建工作案例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50</w:t>
            </w:r>
          </w:p>
        </w:tc>
        <w:tc>
          <w:tcPr>
            <w:tcW w:w="366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招商局集团财务有限公司</w:t>
            </w: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开展代开保函业务助力船舶制造企业扩大产品出口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0"/>
                <w:szCs w:val="20"/>
              </w:rPr>
            </w:pPr>
          </w:p>
        </w:tc>
        <w:tc>
          <w:tcPr>
            <w:tcW w:w="3660" w:type="dxa"/>
            <w:vMerge w:val="continue"/>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color w:val="000000"/>
                <w:sz w:val="20"/>
                <w:szCs w:val="20"/>
              </w:rPr>
            </w:pP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积极探索实践“六个一”模式 夯实新时代清廉金融文化根基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51</w:t>
            </w:r>
          </w:p>
        </w:tc>
        <w:tc>
          <w:tcPr>
            <w:tcW w:w="366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浙江省交通投资集团财务有限责任公司</w:t>
            </w: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浙江交投财务公司建立阳光资金管理体系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0"/>
                <w:szCs w:val="20"/>
              </w:rPr>
            </w:pPr>
          </w:p>
        </w:tc>
        <w:tc>
          <w:tcPr>
            <w:tcW w:w="3660" w:type="dxa"/>
            <w:vMerge w:val="continue"/>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color w:val="000000"/>
                <w:sz w:val="20"/>
                <w:szCs w:val="20"/>
              </w:rPr>
            </w:pP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自主研发1104监管报送系统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0"/>
                <w:szCs w:val="20"/>
              </w:rPr>
            </w:pPr>
          </w:p>
        </w:tc>
        <w:tc>
          <w:tcPr>
            <w:tcW w:w="3660" w:type="dxa"/>
            <w:vMerge w:val="continue"/>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color w:val="000000"/>
                <w:sz w:val="20"/>
                <w:szCs w:val="20"/>
              </w:rPr>
            </w:pP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浙江交投财务公司推行减费让利措施支持成员企业发展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52</w:t>
            </w:r>
          </w:p>
        </w:tc>
        <w:tc>
          <w:tcPr>
            <w:tcW w:w="366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中车财务有限公司</w:t>
            </w: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中车财务公司“精耕细作”资金集中管理，开创集团资金集约化发展新局面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0"/>
                <w:szCs w:val="20"/>
              </w:rPr>
            </w:pPr>
          </w:p>
        </w:tc>
        <w:tc>
          <w:tcPr>
            <w:tcW w:w="3660" w:type="dxa"/>
            <w:vMerge w:val="continue"/>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color w:val="000000"/>
                <w:sz w:val="20"/>
                <w:szCs w:val="20"/>
              </w:rPr>
            </w:pP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中车财务有限公司扎实做好员工异常行为排查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53</w:t>
            </w:r>
          </w:p>
        </w:tc>
        <w:tc>
          <w:tcPr>
            <w:tcW w:w="366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中船财务有限责任公司</w:t>
            </w: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中船财务公司服务实体经济提质增效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54</w:t>
            </w:r>
          </w:p>
        </w:tc>
        <w:tc>
          <w:tcPr>
            <w:tcW w:w="366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中广核财务有限责任公司</w:t>
            </w: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创新应用跨境融资，助力海外项目降本增效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55</w:t>
            </w:r>
          </w:p>
        </w:tc>
        <w:tc>
          <w:tcPr>
            <w:tcW w:w="366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中国大唐集团财务有限公司</w:t>
            </w: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大唐财务公司聚焦账户可视化管理账户直联比实现新突破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56</w:t>
            </w:r>
          </w:p>
        </w:tc>
        <w:tc>
          <w:tcPr>
            <w:tcW w:w="366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中国电建集团财务有限责任公司</w:t>
            </w: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基于票据全生命周期管理，构建票据资产全链条运营业务体系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0"/>
                <w:szCs w:val="20"/>
              </w:rPr>
            </w:pPr>
          </w:p>
        </w:tc>
        <w:tc>
          <w:tcPr>
            <w:tcW w:w="3660" w:type="dxa"/>
            <w:vMerge w:val="continue"/>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color w:val="000000"/>
                <w:sz w:val="20"/>
                <w:szCs w:val="20"/>
              </w:rPr>
            </w:pP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淬炼思想铸忠诚 锻造铁军强担当 以自我革命精神推动教育整顿走深走实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0"/>
                <w:szCs w:val="20"/>
              </w:rPr>
            </w:pPr>
          </w:p>
        </w:tc>
        <w:tc>
          <w:tcPr>
            <w:tcW w:w="3660" w:type="dxa"/>
            <w:vMerge w:val="continue"/>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color w:val="000000"/>
                <w:sz w:val="20"/>
                <w:szCs w:val="20"/>
              </w:rPr>
            </w:pP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实施“1331”培训体系 着力培养集团金融专业人才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0"/>
                <w:szCs w:val="20"/>
              </w:rPr>
            </w:pPr>
          </w:p>
        </w:tc>
        <w:tc>
          <w:tcPr>
            <w:tcW w:w="3660" w:type="dxa"/>
            <w:vMerge w:val="continue"/>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color w:val="000000"/>
                <w:sz w:val="20"/>
                <w:szCs w:val="20"/>
              </w:rPr>
            </w:pP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电建财务公司开展研发费用加计扣除，助力公司提质增效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0"/>
                <w:szCs w:val="20"/>
              </w:rPr>
            </w:pPr>
          </w:p>
        </w:tc>
        <w:tc>
          <w:tcPr>
            <w:tcW w:w="3660" w:type="dxa"/>
            <w:vMerge w:val="continue"/>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color w:val="000000"/>
                <w:sz w:val="20"/>
                <w:szCs w:val="20"/>
              </w:rPr>
            </w:pP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电建财务公司立足集团产业特点实施普惠金融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57</w:t>
            </w:r>
          </w:p>
        </w:tc>
        <w:tc>
          <w:tcPr>
            <w:tcW w:w="366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中国电力财务有限公司</w:t>
            </w: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以“旗帜领航”工程推动党建与发展融合共进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0"/>
                <w:szCs w:val="20"/>
              </w:rPr>
            </w:pPr>
          </w:p>
        </w:tc>
        <w:tc>
          <w:tcPr>
            <w:tcW w:w="3660" w:type="dxa"/>
            <w:vMerge w:val="continue"/>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color w:val="000000"/>
                <w:sz w:val="20"/>
                <w:szCs w:val="20"/>
              </w:rPr>
            </w:pP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提升预算管理效能，促进经营任务高效完成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58</w:t>
            </w:r>
          </w:p>
        </w:tc>
        <w:tc>
          <w:tcPr>
            <w:tcW w:w="366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中国电子财务有限责任公司</w:t>
            </w: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充分发挥财务顾问作用助力公司高质量发展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59</w:t>
            </w:r>
          </w:p>
        </w:tc>
        <w:tc>
          <w:tcPr>
            <w:tcW w:w="366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中国电子科技财务有限公司</w:t>
            </w: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深入“出题、领题、解题”三步走，用好调查研究传家宝——中电科财务公司深入开展主题教育调研推动改革发展难题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0"/>
                <w:szCs w:val="20"/>
              </w:rPr>
            </w:pPr>
          </w:p>
        </w:tc>
        <w:tc>
          <w:tcPr>
            <w:tcW w:w="3660" w:type="dxa"/>
            <w:vMerge w:val="continue"/>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color w:val="000000"/>
                <w:sz w:val="20"/>
                <w:szCs w:val="20"/>
              </w:rPr>
            </w:pP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坚持自主可控，推动司库数智化应用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60</w:t>
            </w:r>
          </w:p>
        </w:tc>
        <w:tc>
          <w:tcPr>
            <w:tcW w:w="366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中国航发集团财务有限公司</w:t>
            </w: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以深化调查研究推动金融服务提质增效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0"/>
                <w:szCs w:val="20"/>
              </w:rPr>
            </w:pPr>
          </w:p>
        </w:tc>
        <w:tc>
          <w:tcPr>
            <w:tcW w:w="3660" w:type="dxa"/>
            <w:vMerge w:val="continue"/>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color w:val="000000"/>
                <w:sz w:val="20"/>
                <w:szCs w:val="20"/>
              </w:rPr>
            </w:pP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打造一流航发特色司库 支撑资金管理价值创造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61</w:t>
            </w:r>
          </w:p>
        </w:tc>
        <w:tc>
          <w:tcPr>
            <w:tcW w:w="366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中国航油集团财务有限公司</w:t>
            </w: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以高质量党建激发“新质生产力”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0"/>
                <w:szCs w:val="20"/>
              </w:rPr>
            </w:pPr>
          </w:p>
        </w:tc>
        <w:tc>
          <w:tcPr>
            <w:tcW w:w="3660" w:type="dxa"/>
            <w:vMerge w:val="continue"/>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color w:val="000000"/>
                <w:sz w:val="20"/>
                <w:szCs w:val="20"/>
              </w:rPr>
            </w:pP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管理会计在降本增效中的探索研究--中航油财务公司定额成本管理体系建设和应用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62</w:t>
            </w:r>
          </w:p>
        </w:tc>
        <w:tc>
          <w:tcPr>
            <w:tcW w:w="366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中国华电集团财务有限公司</w:t>
            </w: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华电财务公司构建“五个一”内控体系，推进金融高质量发展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63</w:t>
            </w:r>
          </w:p>
        </w:tc>
        <w:tc>
          <w:tcPr>
            <w:tcW w:w="366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中国能源建设集团财务有限公司</w:t>
            </w: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用活用好联学联建 用心用情服务企业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0"/>
                <w:szCs w:val="20"/>
              </w:rPr>
            </w:pPr>
          </w:p>
        </w:tc>
        <w:tc>
          <w:tcPr>
            <w:tcW w:w="3660" w:type="dxa"/>
            <w:vMerge w:val="continue"/>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color w:val="000000"/>
                <w:sz w:val="20"/>
                <w:szCs w:val="20"/>
              </w:rPr>
            </w:pP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人才选拔出真招 深化改革显实效 竞聘上岗为公司高质量发展蓄势赋能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64</w:t>
            </w:r>
          </w:p>
        </w:tc>
        <w:tc>
          <w:tcPr>
            <w:tcW w:w="366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中国融通集团财务有限责任公司</w:t>
            </w: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提升合规管理效能，助力公司高质量发展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65</w:t>
            </w:r>
          </w:p>
        </w:tc>
        <w:tc>
          <w:tcPr>
            <w:tcW w:w="366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中国石化财务有限责任公司</w:t>
            </w: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发挥关键用户团队价值 协同推进智慧财司建设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66</w:t>
            </w:r>
          </w:p>
        </w:tc>
        <w:tc>
          <w:tcPr>
            <w:tcW w:w="366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中国铁建财务有限公司</w:t>
            </w: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加强结算运营平台建设，支持集团资金集中管理——铁建财务结算体系建设实践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0"/>
                <w:szCs w:val="20"/>
              </w:rPr>
            </w:pPr>
          </w:p>
        </w:tc>
        <w:tc>
          <w:tcPr>
            <w:tcW w:w="3660" w:type="dxa"/>
            <w:vMerge w:val="continue"/>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color w:val="000000"/>
                <w:sz w:val="20"/>
                <w:szCs w:val="20"/>
              </w:rPr>
            </w:pP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铁建财务着力打造智能风控管理体系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0"/>
                <w:szCs w:val="20"/>
              </w:rPr>
            </w:pPr>
          </w:p>
        </w:tc>
        <w:tc>
          <w:tcPr>
            <w:tcW w:w="3660" w:type="dxa"/>
            <w:vMerge w:val="continue"/>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color w:val="000000"/>
                <w:sz w:val="20"/>
                <w:szCs w:val="20"/>
              </w:rPr>
            </w:pP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信息系统开发测试与维护管理审计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0"/>
                <w:szCs w:val="20"/>
              </w:rPr>
            </w:pPr>
          </w:p>
        </w:tc>
        <w:tc>
          <w:tcPr>
            <w:tcW w:w="3660" w:type="dxa"/>
            <w:vMerge w:val="continue"/>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color w:val="000000"/>
                <w:sz w:val="20"/>
                <w:szCs w:val="20"/>
              </w:rPr>
            </w:pP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在数字化转型背景下智能运维平台建设的探索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0"/>
                <w:szCs w:val="20"/>
              </w:rPr>
            </w:pPr>
          </w:p>
        </w:tc>
        <w:tc>
          <w:tcPr>
            <w:tcW w:w="3660" w:type="dxa"/>
            <w:vMerge w:val="continue"/>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color w:val="000000"/>
                <w:sz w:val="20"/>
                <w:szCs w:val="20"/>
              </w:rPr>
            </w:pP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服务战略引导信贷投放案例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67</w:t>
            </w:r>
          </w:p>
        </w:tc>
        <w:tc>
          <w:tcPr>
            <w:tcW w:w="366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中海石油财务有限责任公司</w:t>
            </w: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海油财务全面梳理优化流程，助力金融服务降本增效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68</w:t>
            </w:r>
          </w:p>
        </w:tc>
        <w:tc>
          <w:tcPr>
            <w:tcW w:w="366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中航工业集团财务有限责任公司</w:t>
            </w: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航空工业财务主题教育亮点工作——系统性谋划 高站位推进 主题教育走深走实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69</w:t>
            </w:r>
          </w:p>
        </w:tc>
        <w:tc>
          <w:tcPr>
            <w:tcW w:w="366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中核财务有限责任公司</w:t>
            </w: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基于财务公司数字化转型的人力资源管理变革与创新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0"/>
                <w:szCs w:val="20"/>
              </w:rPr>
            </w:pPr>
          </w:p>
        </w:tc>
        <w:tc>
          <w:tcPr>
            <w:tcW w:w="3660" w:type="dxa"/>
            <w:vMerge w:val="continue"/>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color w:val="000000"/>
                <w:sz w:val="20"/>
                <w:szCs w:val="20"/>
              </w:rPr>
            </w:pP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中核财务加快建设央企一流司库开启中核司库价值创造大门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70</w:t>
            </w:r>
          </w:p>
        </w:tc>
        <w:tc>
          <w:tcPr>
            <w:tcW w:w="366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中化工程集团财务有限公司</w:t>
            </w: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贯彻融资顾问服务职能，破解实业项目融资难题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0"/>
                <w:szCs w:val="20"/>
              </w:rPr>
            </w:pPr>
          </w:p>
        </w:tc>
        <w:tc>
          <w:tcPr>
            <w:tcW w:w="3660" w:type="dxa"/>
            <w:vMerge w:val="continue"/>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color w:val="000000"/>
                <w:sz w:val="20"/>
                <w:szCs w:val="20"/>
              </w:rPr>
            </w:pP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中国化学工程集团以财务公司为主体开展外汇风险管理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0"/>
                <w:szCs w:val="20"/>
              </w:rPr>
            </w:pPr>
          </w:p>
        </w:tc>
        <w:tc>
          <w:tcPr>
            <w:tcW w:w="3660" w:type="dxa"/>
            <w:vMerge w:val="continue"/>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color w:val="000000"/>
                <w:sz w:val="20"/>
                <w:szCs w:val="20"/>
              </w:rPr>
            </w:pP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构建差异化考核体系 发挥金融服务效能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71</w:t>
            </w:r>
          </w:p>
        </w:tc>
        <w:tc>
          <w:tcPr>
            <w:tcW w:w="366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中化集团财务有限责任公司</w:t>
            </w: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中化财司信用风险量化工具的探索与应用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72</w:t>
            </w:r>
          </w:p>
        </w:tc>
        <w:tc>
          <w:tcPr>
            <w:tcW w:w="366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中集集团财务有限公司</w:t>
            </w: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中集“外汇管家”闪亮登场，助力汇率避险新模式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73</w:t>
            </w:r>
          </w:p>
        </w:tc>
        <w:tc>
          <w:tcPr>
            <w:tcW w:w="366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中建财务有限公司</w:t>
            </w: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搭建票据服务平台，开创集团票据管理新局面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0"/>
                <w:szCs w:val="20"/>
              </w:rPr>
            </w:pPr>
          </w:p>
        </w:tc>
        <w:tc>
          <w:tcPr>
            <w:tcW w:w="3660" w:type="dxa"/>
            <w:vMerge w:val="continue"/>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color w:val="000000"/>
                <w:sz w:val="20"/>
                <w:szCs w:val="20"/>
              </w:rPr>
            </w:pP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跨境资金池业务助力集团强化资金集中管理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0"/>
                <w:szCs w:val="20"/>
              </w:rPr>
            </w:pPr>
          </w:p>
        </w:tc>
        <w:tc>
          <w:tcPr>
            <w:tcW w:w="3660" w:type="dxa"/>
            <w:vMerge w:val="continue"/>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color w:val="000000"/>
                <w:sz w:val="20"/>
                <w:szCs w:val="20"/>
              </w:rPr>
            </w:pP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构建“全覆盖联学”模式，推动主题教育取得实效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0"/>
                <w:szCs w:val="20"/>
              </w:rPr>
            </w:pPr>
          </w:p>
        </w:tc>
        <w:tc>
          <w:tcPr>
            <w:tcW w:w="3660" w:type="dxa"/>
            <w:vMerge w:val="continue"/>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color w:val="000000"/>
                <w:sz w:val="20"/>
                <w:szCs w:val="20"/>
              </w:rPr>
            </w:pP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打造集团内多元化交流平台 深度推进产融结合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74</w:t>
            </w:r>
          </w:p>
        </w:tc>
        <w:tc>
          <w:tcPr>
            <w:tcW w:w="366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中铁财务有限责任公司</w:t>
            </w: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中铁财务公司以“三型审计”构建内部审计立体监督新模式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75</w:t>
            </w:r>
          </w:p>
        </w:tc>
        <w:tc>
          <w:tcPr>
            <w:tcW w:w="366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中兴通讯集团财务有限公司</w:t>
            </w: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监管指标自动化监测系统成功上线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76</w:t>
            </w:r>
          </w:p>
        </w:tc>
        <w:tc>
          <w:tcPr>
            <w:tcW w:w="366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中油财务有限责任公司</w:t>
            </w: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中油财务公司异地灾备中心建设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0"/>
                <w:szCs w:val="20"/>
              </w:rPr>
            </w:pPr>
          </w:p>
        </w:tc>
        <w:tc>
          <w:tcPr>
            <w:tcW w:w="3660" w:type="dxa"/>
            <w:vMerge w:val="continue"/>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color w:val="000000"/>
                <w:sz w:val="20"/>
                <w:szCs w:val="20"/>
              </w:rPr>
            </w:pP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中油财务公司打出考核分配“组合拳” 激发三项制度改革动力活力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77</w:t>
            </w:r>
          </w:p>
        </w:tc>
        <w:tc>
          <w:tcPr>
            <w:tcW w:w="366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中远海运集团财务有限责任公司</w:t>
            </w: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中远海运财务公司ESG指标挂钩银团贷款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jc w:val="center"/>
        </w:trPr>
        <w:tc>
          <w:tcPr>
            <w:tcW w:w="69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78</w:t>
            </w:r>
          </w:p>
        </w:tc>
        <w:tc>
          <w:tcPr>
            <w:tcW w:w="366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珠海华发集团财务有限公司</w:t>
            </w:r>
          </w:p>
        </w:tc>
        <w:tc>
          <w:tcPr>
            <w:tcW w:w="49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珠海华发集团财务有限公司“1234”内控合规体系建设</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Helvetica Neue">
    <w:altName w:val="Segoe Print"/>
    <w:panose1 w:val="00000000000000000000"/>
    <w:charset w:val="00"/>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trackRevisions w:val="1"/>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annotation subject"/>
    <w:lsdException w:unhideWhenUsed="0" w:uiPriority="0" w:semiHidden="0" w:name="Balloon Text"/>
  </w:latentStyles>
  <w:style w:type="paragraph" w:default="1" w:styleId="1">
    <w:name w:val="Normal"/>
    <w:qFormat/>
    <w:uiPriority w:val="0"/>
    <w:pPr>
      <w:widowControl w:val="0"/>
      <w:jc w:val="both"/>
    </w:pPr>
    <w:rPr>
      <w:rFonts w:ascii="Helvetica Neue" w:hAnsi="Helvetica Neue" w:eastAsia="Helvetica Neue" w:cs="Helvetica Neue"/>
      <w:kern w:val="2"/>
      <w:sz w:val="24"/>
      <w:szCs w:val="24"/>
      <w:lang w:val="en-US" w:eastAsia="zh-CN" w:bidi="ar-SA"/>
    </w:rPr>
  </w:style>
  <w:style w:type="character" w:default="1" w:styleId="5">
    <w:name w:val="Default Paragraph Font"/>
    <w:semiHidden/>
    <w:unhideWhenUsed/>
    <w:uiPriority w:val="1"/>
  </w:style>
  <w:style w:type="paragraph" w:styleId="2">
    <w:name w:val="Balloon Text"/>
    <w:basedOn w:val="1"/>
    <w:link w:val="7"/>
    <w:uiPriority w:val="0"/>
    <w:rPr>
      <w:sz w:val="18"/>
      <w:szCs w:val="18"/>
    </w:rPr>
  </w:style>
  <w:style w:type="paragraph" w:styleId="3">
    <w:name w:val="footer"/>
    <w:basedOn w:val="1"/>
    <w:link w:val="9"/>
    <w:uiPriority w:val="0"/>
    <w:pPr>
      <w:tabs>
        <w:tab w:val="center" w:pos="4153"/>
        <w:tab w:val="right" w:pos="8306"/>
      </w:tabs>
      <w:snapToGrid w:val="0"/>
      <w:jc w:val="left"/>
    </w:pPr>
    <w:rPr>
      <w:sz w:val="18"/>
      <w:szCs w:val="18"/>
    </w:rPr>
  </w:style>
  <w:style w:type="paragraph" w:styleId="4">
    <w:name w:val="header"/>
    <w:basedOn w:val="1"/>
    <w:link w:val="8"/>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jc w:val="left"/>
    </w:pPr>
    <w:rPr>
      <w:rFonts w:ascii="Times New Roman" w:hAnsi="Times New Roman"/>
      <w:kern w:val="0"/>
      <w:szCs w:val="21"/>
    </w:rPr>
  </w:style>
  <w:style w:type="character" w:customStyle="1" w:styleId="7">
    <w:name w:val="批注框文本 Char"/>
    <w:basedOn w:val="5"/>
    <w:link w:val="2"/>
    <w:uiPriority w:val="0"/>
    <w:rPr>
      <w:rFonts w:ascii="Helvetica Neue" w:hAnsi="Helvetica Neue" w:eastAsia="Helvetica Neue" w:cs="Helvetica Neue"/>
      <w:kern w:val="2"/>
      <w:sz w:val="18"/>
      <w:szCs w:val="18"/>
    </w:rPr>
  </w:style>
  <w:style w:type="character" w:customStyle="1" w:styleId="8">
    <w:name w:val="页眉 Char"/>
    <w:basedOn w:val="5"/>
    <w:link w:val="4"/>
    <w:uiPriority w:val="0"/>
    <w:rPr>
      <w:rFonts w:ascii="Helvetica Neue" w:hAnsi="Helvetica Neue" w:eastAsia="Helvetica Neue" w:cs="Helvetica Neue"/>
      <w:kern w:val="2"/>
      <w:sz w:val="18"/>
      <w:szCs w:val="18"/>
    </w:rPr>
  </w:style>
  <w:style w:type="character" w:customStyle="1" w:styleId="9">
    <w:name w:val="页脚 Char"/>
    <w:basedOn w:val="5"/>
    <w:link w:val="3"/>
    <w:uiPriority w:val="0"/>
    <w:rPr>
      <w:rFonts w:ascii="Helvetica Neue" w:hAnsi="Helvetica Neue" w:eastAsia="Helvetica Neue" w:cs="Helvetica Neue"/>
      <w:kern w:val="2"/>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776</Words>
  <Characters>4427</Characters>
  <Lines>36</Lines>
  <Paragraphs>10</Paragraphs>
  <TotalTime>0</TotalTime>
  <ScaleCrop>false</ScaleCrop>
  <LinksUpToDate>false</LinksUpToDate>
  <CharactersWithSpaces>0</CharactersWithSpaces>
  <Application>WPS Office 专业版_9.1.0.4688_{F1E327BC-269C-435d-A152-05C5408002CA}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2024-11-29T06:40:00Z</dcterms:created>
  <dc:creator>朱静</dc:creator>
  <cp:lastModifiedBy>商屹</cp:lastModifiedBy>
  <dcterms:modified xsi:type="dcterms:W3CDTF">2024-12-27T06:15:35Z</dcterms:modified>
  <dc:title>附件1</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2052-9.1.0.4688</vt:lpwstr>
  </property>
  <property fmtid="{D5CDD505-2E9C-101B-9397-08002B2CF9AE}" pid="3" name="ICV">
    <vt:lpwstr>3AF5D3F284FA44EB9221400148BB33C6_13</vt:lpwstr>
  </property>
</Properties>
</file>