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7"/>
        <w:ind w:firstLine="420"/>
        <w:rPr>
          <w:rFonts w:hint="eastAsia"/>
        </w:rPr>
      </w:pPr>
      <w:r>
        <mc:AlternateContent>
          <mc:Choice Requires="wpg">
            <w:drawing>
              <wp:anchor distT="0" distB="0" distL="114300" distR="114300" simplePos="0" relativeHeight="251660288" behindDoc="1" locked="0" layoutInCell="1" allowOverlap="1">
                <wp:simplePos x="0" y="0"/>
                <wp:positionH relativeFrom="page">
                  <wp:posOffset>302260</wp:posOffset>
                </wp:positionH>
                <wp:positionV relativeFrom="page">
                  <wp:align>center</wp:align>
                </wp:positionV>
                <wp:extent cx="2494280" cy="10157460"/>
                <wp:effectExtent l="4445" t="0" r="6350" b="8255"/>
                <wp:wrapNone/>
                <wp:docPr id="12" name="组 2"/>
                <wp:cNvGraphicFramePr/>
                <a:graphic xmlns:a="http://schemas.openxmlformats.org/drawingml/2006/main">
                  <a:graphicData uri="http://schemas.microsoft.com/office/word/2010/wordprocessingGroup">
                    <wpg:wgp>
                      <wpg:cNvGrpSpPr/>
                      <wpg:grpSpPr>
                        <a:xfrm>
                          <a:off x="0" y="0"/>
                          <a:ext cx="2494280" cy="10157460"/>
                          <a:chOff x="0" y="0"/>
                          <a:chExt cx="3928" cy="15996"/>
                        </a:xfrm>
                      </wpg:grpSpPr>
                      <wps:wsp>
                        <wps:cNvPr id="13" name="矩形 17"/>
                        <wps:cNvSpPr>
                          <a:spLocks noChangeArrowheads="1"/>
                        </wps:cNvSpPr>
                        <wps:spPr bwMode="auto">
                          <a:xfrm>
                            <a:off x="0" y="0"/>
                            <a:ext cx="348" cy="15996"/>
                          </a:xfrm>
                          <a:prstGeom prst="rect">
                            <a:avLst/>
                          </a:prstGeom>
                          <a:solidFill>
                            <a:srgbClr val="455F51"/>
                          </a:solidFill>
                          <a:ln>
                            <a:noFill/>
                          </a:ln>
                        </wps:spPr>
                        <wps:bodyPr rot="0" vert="horz" wrap="square" lIns="91440" tIns="45720" rIns="91440" bIns="45720" anchor="t" anchorCtr="0" upright="1">
                          <a:noAutofit/>
                        </wps:bodyPr>
                      </wps:wsp>
                      <wps:wsp>
                        <wps:cNvPr id="14" name="五边形 4"/>
                        <wps:cNvSpPr>
                          <a:spLocks noChangeArrowheads="1"/>
                        </wps:cNvSpPr>
                        <wps:spPr bwMode="auto">
                          <a:xfrm>
                            <a:off x="0" y="2571"/>
                            <a:ext cx="3928" cy="968"/>
                          </a:xfrm>
                          <a:prstGeom prst="homePlate">
                            <a:avLst>
                              <a:gd name="adj" fmla="val 51024"/>
                            </a:avLst>
                          </a:prstGeom>
                          <a:solidFill>
                            <a:srgbClr val="539E37"/>
                          </a:solidFill>
                          <a:ln>
                            <a:noFill/>
                          </a:ln>
                        </wps:spPr>
                        <wps:txbx>
                          <w:txbxContent>
                            <w:p>
                              <w:pPr>
                                <w:pStyle w:val="37"/>
                                <w:jc w:val="right"/>
                                <w:rPr>
                                  <w:rFonts w:hint="eastAsia"/>
                                  <w:color w:val="FFFFFF"/>
                                  <w:sz w:val="28"/>
                                  <w:szCs w:val="28"/>
                                </w:rPr>
                              </w:pPr>
                              <w:r>
                                <w:rPr>
                                  <w:color w:val="FFFFFF"/>
                                  <w:sz w:val="28"/>
                                  <w:szCs w:val="28"/>
                                </w:rPr>
                                <w:t xml:space="preserve">     </w:t>
                              </w:r>
                            </w:p>
                          </w:txbxContent>
                        </wps:txbx>
                        <wps:bodyPr rot="0" vert="horz" wrap="square" lIns="91440" tIns="0" rIns="182880" bIns="0" anchor="t" anchorCtr="0" upright="1">
                          <a:noAutofit/>
                        </wps:bodyPr>
                      </wps:wsp>
                      <wpg:grpSp>
                        <wpg:cNvPr id="15" name="组 5"/>
                        <wpg:cNvGrpSpPr/>
                        <wpg:grpSpPr>
                          <a:xfrm>
                            <a:off x="137" y="7380"/>
                            <a:ext cx="3682" cy="8607"/>
                            <a:chOff x="227" y="11615"/>
                            <a:chExt cx="3683" cy="8607"/>
                          </a:xfrm>
                        </wpg:grpSpPr>
                        <wpg:grpSp>
                          <wpg:cNvPr id="16" name="组 6"/>
                          <wpg:cNvGrpSpPr/>
                          <wpg:grpSpPr>
                            <a:xfrm>
                              <a:off x="397" y="11615"/>
                              <a:ext cx="2955" cy="8607"/>
                              <a:chOff x="397" y="11615"/>
                              <a:chExt cx="2955" cy="8607"/>
                            </a:xfrm>
                          </wpg:grpSpPr>
                          <wps:wsp>
                            <wps:cNvPr id="18" name="任意多边形 20"/>
                            <wps:cNvSpPr>
                              <a:spLocks noChangeArrowheads="1"/>
                            </wps:cNvSpPr>
                            <wps:spPr bwMode="auto">
                              <a:xfrm>
                                <a:off x="1042" y="17145"/>
                                <a:ext cx="546" cy="1926"/>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 name="T18" fmla="*/ 0 w 122"/>
                                  <a:gd name="T19" fmla="*/ 0 h 440"/>
                                  <a:gd name="T20" fmla="*/ 8621 w 122"/>
                                  <a:gd name="T21" fmla="*/ 3057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55F51"/>
                              </a:solidFill>
                              <a:ln w="0">
                                <a:solidFill>
                                  <a:srgbClr val="455F51"/>
                                </a:solidFill>
                                <a:round/>
                              </a:ln>
                            </wps:spPr>
                            <wps:bodyPr rot="0" vert="horz" wrap="square" lIns="91440" tIns="45720" rIns="91440" bIns="45720" anchor="t" anchorCtr="0" upright="1">
                              <a:noAutofit/>
                            </wps:bodyPr>
                          </wps:wsp>
                          <wps:wsp>
                            <wps:cNvPr id="19" name="任意多边形 21"/>
                            <wps:cNvSpPr>
                              <a:spLocks noChangeArrowheads="1"/>
                            </wps:cNvSpPr>
                            <wps:spPr bwMode="auto">
                              <a:xfrm>
                                <a:off x="1615" y="19045"/>
                                <a:ext cx="519" cy="1177"/>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 name="T20" fmla="*/ 0 w 116"/>
                                  <a:gd name="T21" fmla="*/ 0 h 269"/>
                                  <a:gd name="T22" fmla="*/ 8194 w 116"/>
                                  <a:gd name="T23" fmla="*/ 18683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55F51"/>
                              </a:solidFill>
                              <a:ln w="0">
                                <a:solidFill>
                                  <a:srgbClr val="455F51"/>
                                </a:solidFill>
                                <a:round/>
                              </a:ln>
                            </wps:spPr>
                            <wps:bodyPr rot="0" vert="horz" wrap="square" lIns="91440" tIns="45720" rIns="91440" bIns="45720" anchor="t" anchorCtr="0" upright="1">
                              <a:noAutofit/>
                            </wps:bodyPr>
                          </wps:wsp>
                          <wps:wsp>
                            <wps:cNvPr id="20" name="任意多边形 22"/>
                            <wps:cNvSpPr>
                              <a:spLocks noChangeArrowheads="1"/>
                            </wps:cNvSpPr>
                            <wps:spPr bwMode="auto">
                              <a:xfrm>
                                <a:off x="397" y="11615"/>
                                <a:ext cx="627" cy="5569"/>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 name="T44" fmla="*/ 0 w 140"/>
                                  <a:gd name="T45" fmla="*/ 0 h 1272"/>
                                  <a:gd name="T46" fmla="*/ 9892 w 140"/>
                                  <a:gd name="T47" fmla="*/ 88408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55F51"/>
                              </a:solidFill>
                              <a:ln w="0">
                                <a:solidFill>
                                  <a:srgbClr val="455F51"/>
                                </a:solidFill>
                                <a:round/>
                              </a:ln>
                            </wps:spPr>
                            <wps:bodyPr rot="0" vert="horz" wrap="square" lIns="91440" tIns="45720" rIns="91440" bIns="45720" anchor="t" anchorCtr="0" upright="1">
                              <a:noAutofit/>
                            </wps:bodyPr>
                          </wps:wsp>
                          <wps:wsp>
                            <wps:cNvPr id="21" name="任意多边形 23"/>
                            <wps:cNvSpPr>
                              <a:spLocks noChangeArrowheads="1"/>
                            </wps:cNvSpPr>
                            <wps:spPr bwMode="auto">
                              <a:xfrm>
                                <a:off x="962" y="13406"/>
                                <a:ext cx="201" cy="3739"/>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 name="T40" fmla="*/ 0 w 45"/>
                                  <a:gd name="T41" fmla="*/ 0 h 854"/>
                                  <a:gd name="T42" fmla="*/ 3178 w 45"/>
                                  <a:gd name="T43" fmla="*/ 59356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55F51"/>
                              </a:solidFill>
                              <a:ln w="0">
                                <a:solidFill>
                                  <a:srgbClr val="455F51"/>
                                </a:solidFill>
                                <a:round/>
                              </a:ln>
                            </wps:spPr>
                            <wps:bodyPr rot="0" vert="horz" wrap="square" lIns="91440" tIns="45720" rIns="91440" bIns="45720" anchor="t" anchorCtr="0" upright="1">
                              <a:noAutofit/>
                            </wps:bodyPr>
                          </wps:wsp>
                          <wps:wsp>
                            <wps:cNvPr id="22" name="任意多边形 24"/>
                            <wps:cNvSpPr>
                              <a:spLocks noChangeArrowheads="1"/>
                            </wps:cNvSpPr>
                            <wps:spPr bwMode="auto">
                              <a:xfrm>
                                <a:off x="1024" y="17184"/>
                                <a:ext cx="689" cy="2754"/>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 name="T38" fmla="*/ 0 w 154"/>
                                  <a:gd name="T39" fmla="*/ 0 h 629"/>
                                  <a:gd name="T40" fmla="*/ 10871 w 154"/>
                                  <a:gd name="T41" fmla="*/ 43718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55F51"/>
                              </a:solidFill>
                              <a:ln w="0">
                                <a:solidFill>
                                  <a:srgbClr val="455F51"/>
                                </a:solidFill>
                                <a:round/>
                              </a:ln>
                            </wps:spPr>
                            <wps:bodyPr rot="0" vert="horz" wrap="square" lIns="91440" tIns="45720" rIns="91440" bIns="45720" anchor="t" anchorCtr="0" upright="1">
                              <a:noAutofit/>
                            </wps:bodyPr>
                          </wps:wsp>
                          <wps:wsp>
                            <wps:cNvPr id="23" name="任意多边形 25"/>
                            <wps:cNvSpPr>
                              <a:spLocks noChangeArrowheads="1"/>
                            </wps:cNvSpPr>
                            <wps:spPr bwMode="auto">
                              <a:xfrm>
                                <a:off x="1749" y="19920"/>
                                <a:ext cx="148" cy="302"/>
                              </a:xfrm>
                              <a:custGeom>
                                <a:avLst/>
                                <a:gdLst>
                                  <a:gd name="T0" fmla="*/ 0 w 33"/>
                                  <a:gd name="T1" fmla="*/ 0 h 69"/>
                                  <a:gd name="T2" fmla="*/ 33 w 33"/>
                                  <a:gd name="T3" fmla="*/ 69 h 69"/>
                                  <a:gd name="T4" fmla="*/ 24 w 33"/>
                                  <a:gd name="T5" fmla="*/ 69 h 69"/>
                                  <a:gd name="T6" fmla="*/ 12 w 33"/>
                                  <a:gd name="T7" fmla="*/ 35 h 69"/>
                                  <a:gd name="T8" fmla="*/ 0 w 33"/>
                                  <a:gd name="T9" fmla="*/ 0 h 69"/>
                                  <a:gd name="T10" fmla="*/ 0 w 33"/>
                                  <a:gd name="T11" fmla="*/ 0 h 69"/>
                                  <a:gd name="T12" fmla="*/ 2334 w 33"/>
                                  <a:gd name="T13" fmla="*/ 4793 h 69"/>
                                </a:gdLst>
                                <a:ahLst/>
                                <a:cxnLst>
                                  <a:cxn ang="0">
                                    <a:pos x="T0" y="T1"/>
                                  </a:cxn>
                                  <a:cxn ang="0">
                                    <a:pos x="T2" y="T3"/>
                                  </a:cxn>
                                  <a:cxn ang="0">
                                    <a:pos x="T4" y="T5"/>
                                  </a:cxn>
                                  <a:cxn ang="0">
                                    <a:pos x="T6" y="T7"/>
                                  </a:cxn>
                                  <a:cxn ang="0">
                                    <a:pos x="T8" y="T9"/>
                                  </a:cxn>
                                </a:cxnLst>
                                <a:rect l="T10" t="T11" r="T12" b="T13"/>
                                <a:pathLst>
                                  <a:path w="33" h="69">
                                    <a:moveTo>
                                      <a:pt x="0" y="0"/>
                                    </a:moveTo>
                                    <a:lnTo>
                                      <a:pt x="33" y="69"/>
                                    </a:lnTo>
                                    <a:lnTo>
                                      <a:pt x="24" y="69"/>
                                    </a:lnTo>
                                    <a:lnTo>
                                      <a:pt x="12" y="35"/>
                                    </a:lnTo>
                                    <a:lnTo>
                                      <a:pt x="0" y="0"/>
                                    </a:lnTo>
                                    <a:close/>
                                  </a:path>
                                </a:pathLst>
                              </a:custGeom>
                              <a:solidFill>
                                <a:srgbClr val="455F51"/>
                              </a:solidFill>
                              <a:ln w="0">
                                <a:solidFill>
                                  <a:srgbClr val="455F51"/>
                                </a:solidFill>
                                <a:round/>
                              </a:ln>
                            </wps:spPr>
                            <wps:bodyPr rot="0" vert="horz" wrap="square" lIns="91440" tIns="45720" rIns="91440" bIns="45720" anchor="t" anchorCtr="0" upright="1">
                              <a:noAutofit/>
                            </wps:bodyPr>
                          </wps:wsp>
                          <wps:wsp>
                            <wps:cNvPr id="24" name="任意多边形 26"/>
                            <wps:cNvSpPr>
                              <a:spLocks noChangeArrowheads="1"/>
                            </wps:cNvSpPr>
                            <wps:spPr bwMode="auto">
                              <a:xfrm>
                                <a:off x="1002" y="16969"/>
                                <a:ext cx="67" cy="407"/>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 name="T12" fmla="*/ 0 w 15"/>
                                  <a:gd name="T13" fmla="*/ 0 h 93"/>
                                  <a:gd name="T14" fmla="*/ 1063 w 15"/>
                                  <a:gd name="T15" fmla="*/ 6459 h 93"/>
                                </a:gdLst>
                                <a:ahLst/>
                                <a:cxnLst>
                                  <a:cxn ang="0">
                                    <a:pos x="T0" y="T1"/>
                                  </a:cxn>
                                  <a:cxn ang="0">
                                    <a:pos x="T2" y="T3"/>
                                  </a:cxn>
                                  <a:cxn ang="0">
                                    <a:pos x="T4" y="T5"/>
                                  </a:cxn>
                                  <a:cxn ang="0">
                                    <a:pos x="T6" y="T7"/>
                                  </a:cxn>
                                  <a:cxn ang="0">
                                    <a:pos x="T8" y="T9"/>
                                  </a:cxn>
                                  <a:cxn ang="0">
                                    <a:pos x="T10" y="T11"/>
                                  </a:cxn>
                                </a:cxnLst>
                                <a:rect l="T12" t="T13" r="T14" b="T15"/>
                                <a:pathLst>
                                  <a:path w="15" h="93">
                                    <a:moveTo>
                                      <a:pt x="0" y="0"/>
                                    </a:moveTo>
                                    <a:lnTo>
                                      <a:pt x="9" y="37"/>
                                    </a:lnTo>
                                    <a:lnTo>
                                      <a:pt x="9" y="40"/>
                                    </a:lnTo>
                                    <a:lnTo>
                                      <a:pt x="15" y="93"/>
                                    </a:lnTo>
                                    <a:lnTo>
                                      <a:pt x="5" y="49"/>
                                    </a:lnTo>
                                    <a:lnTo>
                                      <a:pt x="0" y="0"/>
                                    </a:lnTo>
                                    <a:close/>
                                  </a:path>
                                </a:pathLst>
                              </a:custGeom>
                              <a:solidFill>
                                <a:srgbClr val="455F51"/>
                              </a:solidFill>
                              <a:ln w="0">
                                <a:solidFill>
                                  <a:srgbClr val="455F51"/>
                                </a:solidFill>
                                <a:round/>
                              </a:ln>
                            </wps:spPr>
                            <wps:bodyPr rot="0" vert="horz" wrap="square" lIns="91440" tIns="45720" rIns="91440" bIns="45720" anchor="t" anchorCtr="0" upright="1">
                              <a:noAutofit/>
                            </wps:bodyPr>
                          </wps:wsp>
                          <wps:wsp>
                            <wps:cNvPr id="25" name="任意多边形 27"/>
                            <wps:cNvSpPr>
                              <a:spLocks noChangeArrowheads="1"/>
                            </wps:cNvSpPr>
                            <wps:spPr bwMode="auto">
                              <a:xfrm>
                                <a:off x="1588" y="15691"/>
                                <a:ext cx="1764" cy="3354"/>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 name="T62" fmla="*/ 0 w 394"/>
                                  <a:gd name="T63" fmla="*/ 0 h 766"/>
                                  <a:gd name="T64" fmla="*/ 27830 w 394"/>
                                  <a:gd name="T65" fmla="*/ 53248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55F51"/>
                              </a:solidFill>
                              <a:ln w="0">
                                <a:solidFill>
                                  <a:srgbClr val="455F51"/>
                                </a:solidFill>
                                <a:round/>
                              </a:ln>
                            </wps:spPr>
                            <wps:bodyPr rot="0" vert="horz" wrap="square" lIns="91440" tIns="45720" rIns="91440" bIns="45720" anchor="t" anchorCtr="0" upright="1">
                              <a:noAutofit/>
                            </wps:bodyPr>
                          </wps:wsp>
                          <wps:wsp>
                            <wps:cNvPr id="26" name="任意多边形 28"/>
                            <wps:cNvSpPr>
                              <a:spLocks noChangeArrowheads="1"/>
                            </wps:cNvSpPr>
                            <wps:spPr bwMode="auto">
                              <a:xfrm>
                                <a:off x="1588" y="19071"/>
                                <a:ext cx="161" cy="849"/>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 name="T24" fmla="*/ 0 w 36"/>
                                  <a:gd name="T25" fmla="*/ 0 h 194"/>
                                  <a:gd name="T26" fmla="*/ 2538 w 36"/>
                                  <a:gd name="T27" fmla="*/ 13479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55F51"/>
                              </a:solidFill>
                              <a:ln w="0">
                                <a:solidFill>
                                  <a:srgbClr val="455F51"/>
                                </a:solidFill>
                                <a:round/>
                              </a:ln>
                            </wps:spPr>
                            <wps:bodyPr rot="0" vert="horz" wrap="square" lIns="91440" tIns="45720" rIns="91440" bIns="45720" anchor="t" anchorCtr="0" upright="1">
                              <a:noAutofit/>
                            </wps:bodyPr>
                          </wps:wsp>
                          <wps:wsp>
                            <wps:cNvPr id="27" name="任意多边形 29"/>
                            <wps:cNvSpPr>
                              <a:spLocks noChangeArrowheads="1"/>
                            </wps:cNvSpPr>
                            <wps:spPr bwMode="auto">
                              <a:xfrm>
                                <a:off x="1713" y="19938"/>
                                <a:ext cx="140" cy="284"/>
                              </a:xfrm>
                              <a:custGeom>
                                <a:avLst/>
                                <a:gdLst>
                                  <a:gd name="T0" fmla="*/ 0 w 31"/>
                                  <a:gd name="T1" fmla="*/ 0 h 65"/>
                                  <a:gd name="T2" fmla="*/ 31 w 31"/>
                                  <a:gd name="T3" fmla="*/ 65 h 65"/>
                                  <a:gd name="T4" fmla="*/ 23 w 31"/>
                                  <a:gd name="T5" fmla="*/ 65 h 65"/>
                                  <a:gd name="T6" fmla="*/ 0 w 31"/>
                                  <a:gd name="T7" fmla="*/ 0 h 65"/>
                                  <a:gd name="T8" fmla="*/ 0 w 31"/>
                                  <a:gd name="T9" fmla="*/ 0 h 65"/>
                                  <a:gd name="T10" fmla="*/ 2211 w 31"/>
                                  <a:gd name="T11" fmla="*/ 4509 h 65"/>
                                </a:gdLst>
                                <a:ahLst/>
                                <a:cxnLst>
                                  <a:cxn ang="0">
                                    <a:pos x="T0" y="T1"/>
                                  </a:cxn>
                                  <a:cxn ang="0">
                                    <a:pos x="T2" y="T3"/>
                                  </a:cxn>
                                  <a:cxn ang="0">
                                    <a:pos x="T4" y="T5"/>
                                  </a:cxn>
                                  <a:cxn ang="0">
                                    <a:pos x="T6" y="T7"/>
                                  </a:cxn>
                                </a:cxnLst>
                                <a:rect l="T8" t="T9" r="T10" b="T11"/>
                                <a:pathLst>
                                  <a:path w="31" h="65">
                                    <a:moveTo>
                                      <a:pt x="0" y="0"/>
                                    </a:moveTo>
                                    <a:lnTo>
                                      <a:pt x="31" y="65"/>
                                    </a:lnTo>
                                    <a:lnTo>
                                      <a:pt x="23" y="65"/>
                                    </a:lnTo>
                                    <a:lnTo>
                                      <a:pt x="0" y="0"/>
                                    </a:lnTo>
                                    <a:close/>
                                  </a:path>
                                </a:pathLst>
                              </a:custGeom>
                              <a:solidFill>
                                <a:srgbClr val="455F51"/>
                              </a:solidFill>
                              <a:ln w="0">
                                <a:solidFill>
                                  <a:srgbClr val="455F51"/>
                                </a:solidFill>
                                <a:round/>
                              </a:ln>
                            </wps:spPr>
                            <wps:bodyPr rot="0" vert="horz" wrap="square" lIns="91440" tIns="45720" rIns="91440" bIns="45720" anchor="t" anchorCtr="0" upright="1">
                              <a:noAutofit/>
                            </wps:bodyPr>
                          </wps:wsp>
                          <wps:wsp>
                            <wps:cNvPr id="28" name="任意多边形 30"/>
                            <wps:cNvSpPr>
                              <a:spLocks noChangeArrowheads="1"/>
                            </wps:cNvSpPr>
                            <wps:spPr bwMode="auto">
                              <a:xfrm>
                                <a:off x="1588" y="18970"/>
                                <a:ext cx="31" cy="184"/>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 name="T12" fmla="*/ 0 w 7"/>
                                  <a:gd name="T13" fmla="*/ 0 h 42"/>
                                  <a:gd name="T14" fmla="*/ 492 w 7"/>
                                  <a:gd name="T15" fmla="*/ 2918 h 42"/>
                                </a:gdLst>
                                <a:ahLst/>
                                <a:cxnLst>
                                  <a:cxn ang="0">
                                    <a:pos x="T0" y="T1"/>
                                  </a:cxn>
                                  <a:cxn ang="0">
                                    <a:pos x="T2" y="T3"/>
                                  </a:cxn>
                                  <a:cxn ang="0">
                                    <a:pos x="T4" y="T5"/>
                                  </a:cxn>
                                  <a:cxn ang="0">
                                    <a:pos x="T6" y="T7"/>
                                  </a:cxn>
                                  <a:cxn ang="0">
                                    <a:pos x="T8" y="T9"/>
                                  </a:cxn>
                                  <a:cxn ang="0">
                                    <a:pos x="T10" y="T11"/>
                                  </a:cxn>
                                </a:cxnLst>
                                <a:rect l="T12" t="T13" r="T14" b="T15"/>
                                <a:pathLst>
                                  <a:path w="7" h="42">
                                    <a:moveTo>
                                      <a:pt x="0" y="0"/>
                                    </a:moveTo>
                                    <a:lnTo>
                                      <a:pt x="6" y="17"/>
                                    </a:lnTo>
                                    <a:lnTo>
                                      <a:pt x="7" y="42"/>
                                    </a:lnTo>
                                    <a:lnTo>
                                      <a:pt x="6" y="39"/>
                                    </a:lnTo>
                                    <a:lnTo>
                                      <a:pt x="0" y="23"/>
                                    </a:lnTo>
                                    <a:lnTo>
                                      <a:pt x="0" y="0"/>
                                    </a:lnTo>
                                    <a:close/>
                                  </a:path>
                                </a:pathLst>
                              </a:custGeom>
                              <a:solidFill>
                                <a:srgbClr val="455F51"/>
                              </a:solidFill>
                              <a:ln w="0">
                                <a:solidFill>
                                  <a:srgbClr val="455F51"/>
                                </a:solidFill>
                                <a:round/>
                              </a:ln>
                            </wps:spPr>
                            <wps:bodyPr rot="0" vert="horz" wrap="square" lIns="91440" tIns="45720" rIns="91440" bIns="45720" anchor="t" anchorCtr="0" upright="1">
                              <a:noAutofit/>
                            </wps:bodyPr>
                          </wps:wsp>
                          <wps:wsp>
                            <wps:cNvPr id="29" name="任意多边形 31"/>
                            <wps:cNvSpPr>
                              <a:spLocks noChangeArrowheads="1"/>
                            </wps:cNvSpPr>
                            <wps:spPr bwMode="auto">
                              <a:xfrm>
                                <a:off x="1656" y="19706"/>
                                <a:ext cx="201" cy="516"/>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 name="T18" fmla="*/ 0 w 45"/>
                                  <a:gd name="T19" fmla="*/ 0 h 118"/>
                                  <a:gd name="T20" fmla="*/ 3173 w 45"/>
                                  <a:gd name="T21" fmla="*/ 819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55F51"/>
                              </a:solidFill>
                              <a:ln w="0">
                                <a:solidFill>
                                  <a:srgbClr val="455F51"/>
                                </a:solidFill>
                                <a:round/>
                              </a:ln>
                            </wps:spPr>
                            <wps:bodyPr rot="0" vert="horz" wrap="square" lIns="91440" tIns="45720" rIns="91440" bIns="45720" anchor="t" anchorCtr="0" upright="1">
                              <a:noAutofit/>
                            </wps:bodyPr>
                          </wps:wsp>
                        </wpg:grpSp>
                        <wpg:grpSp>
                          <wpg:cNvPr id="30" name="组 7"/>
                          <wpg:cNvGrpSpPr/>
                          <wpg:grpSpPr>
                            <a:xfrm>
                              <a:off x="227" y="13312"/>
                              <a:ext cx="3683" cy="6910"/>
                              <a:chOff x="339" y="19145"/>
                              <a:chExt cx="3682" cy="6910"/>
                            </a:xfrm>
                          </wpg:grpSpPr>
                          <wps:wsp>
                            <wps:cNvPr id="31" name="任意多边形 8"/>
                            <wps:cNvSpPr>
                              <a:spLocks noChangeArrowheads="1"/>
                            </wps:cNvSpPr>
                            <wps:spPr bwMode="auto">
                              <a:xfrm>
                                <a:off x="500" y="21369"/>
                                <a:ext cx="834" cy="2941"/>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 name="T18" fmla="*/ 0 w 125"/>
                                  <a:gd name="T19" fmla="*/ 0 h 450"/>
                                  <a:gd name="T20" fmla="*/ 13174 w 125"/>
                                  <a:gd name="T21" fmla="*/ 46699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55F51">
                                  <a:alpha val="20000"/>
                                </a:srgbClr>
                              </a:solidFill>
                              <a:ln w="0">
                                <a:solidFill>
                                  <a:srgbClr val="455F51">
                                    <a:alpha val="16000"/>
                                  </a:srgbClr>
                                </a:solidFill>
                                <a:round/>
                              </a:ln>
                            </wps:spPr>
                            <wps:bodyPr rot="0" vert="horz" wrap="square" lIns="91440" tIns="45720" rIns="91440" bIns="45720" anchor="t" anchorCtr="0" upright="1">
                              <a:noAutofit/>
                            </wps:bodyPr>
                          </wps:wsp>
                          <wps:wsp>
                            <wps:cNvPr id="32" name="任意多边形 9"/>
                            <wps:cNvSpPr>
                              <a:spLocks noChangeArrowheads="1"/>
                            </wps:cNvSpPr>
                            <wps:spPr bwMode="auto">
                              <a:xfrm>
                                <a:off x="1382" y="24257"/>
                                <a:ext cx="788" cy="1798"/>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 name="T20" fmla="*/ 0 w 118"/>
                                  <a:gd name="T21" fmla="*/ 0 h 275"/>
                                  <a:gd name="T22" fmla="*/ 12451 w 118"/>
                                  <a:gd name="T23" fmla="*/ 28562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55F51">
                                  <a:alpha val="20000"/>
                                </a:srgbClr>
                              </a:solidFill>
                              <a:ln w="0">
                                <a:solidFill>
                                  <a:srgbClr val="455F51">
                                    <a:alpha val="16000"/>
                                  </a:srgbClr>
                                </a:solidFill>
                                <a:round/>
                              </a:ln>
                            </wps:spPr>
                            <wps:bodyPr rot="0" vert="horz" wrap="square" lIns="91440" tIns="45720" rIns="91440" bIns="45720" anchor="t" anchorCtr="0" upright="1">
                              <a:noAutofit/>
                            </wps:bodyPr>
                          </wps:wsp>
                          <wps:wsp>
                            <wps:cNvPr id="33" name="任意多边形 10"/>
                            <wps:cNvSpPr>
                              <a:spLocks noChangeArrowheads="1"/>
                            </wps:cNvSpPr>
                            <wps:spPr bwMode="auto">
                              <a:xfrm>
                                <a:off x="339" y="20630"/>
                                <a:ext cx="134" cy="791"/>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 name="T12" fmla="*/ 0 w 20"/>
                                  <a:gd name="T13" fmla="*/ 0 h 121"/>
                                  <a:gd name="T14" fmla="*/ 2108 w 20"/>
                                  <a:gd name="T15" fmla="*/ 12558 h 121"/>
                                </a:gdLst>
                                <a:ahLst/>
                                <a:cxnLst>
                                  <a:cxn ang="0">
                                    <a:pos x="T0" y="T1"/>
                                  </a:cxn>
                                  <a:cxn ang="0">
                                    <a:pos x="T2" y="T3"/>
                                  </a:cxn>
                                  <a:cxn ang="0">
                                    <a:pos x="T4" y="T5"/>
                                  </a:cxn>
                                  <a:cxn ang="0">
                                    <a:pos x="T6" y="T7"/>
                                  </a:cxn>
                                  <a:cxn ang="0">
                                    <a:pos x="T8" y="T9"/>
                                  </a:cxn>
                                  <a:cxn ang="0">
                                    <a:pos x="T10" y="T11"/>
                                  </a:cxn>
                                </a:cxnLst>
                                <a:rect l="T12" t="T13" r="T14" b="T15"/>
                                <a:pathLst>
                                  <a:path w="20" h="121">
                                    <a:moveTo>
                                      <a:pt x="0" y="0"/>
                                    </a:moveTo>
                                    <a:lnTo>
                                      <a:pt x="16" y="72"/>
                                    </a:lnTo>
                                    <a:lnTo>
                                      <a:pt x="20" y="121"/>
                                    </a:lnTo>
                                    <a:lnTo>
                                      <a:pt x="18" y="112"/>
                                    </a:lnTo>
                                    <a:lnTo>
                                      <a:pt x="0" y="31"/>
                                    </a:lnTo>
                                    <a:lnTo>
                                      <a:pt x="0" y="0"/>
                                    </a:lnTo>
                                    <a:close/>
                                  </a:path>
                                </a:pathLst>
                              </a:custGeom>
                              <a:solidFill>
                                <a:srgbClr val="455F51">
                                  <a:alpha val="20000"/>
                                </a:srgbClr>
                              </a:solidFill>
                              <a:ln w="0">
                                <a:solidFill>
                                  <a:srgbClr val="455F51">
                                    <a:alpha val="16000"/>
                                  </a:srgbClr>
                                </a:solidFill>
                                <a:round/>
                              </a:ln>
                            </wps:spPr>
                            <wps:bodyPr rot="0" vert="horz" wrap="square" lIns="91440" tIns="45720" rIns="91440" bIns="45720" anchor="t" anchorCtr="0" upright="1">
                              <a:noAutofit/>
                            </wps:bodyPr>
                          </wps:wsp>
                          <wps:wsp>
                            <wps:cNvPr id="34" name="任意多边形 12"/>
                            <wps:cNvSpPr>
                              <a:spLocks noChangeArrowheads="1"/>
                            </wps:cNvSpPr>
                            <wps:spPr bwMode="auto">
                              <a:xfrm>
                                <a:off x="473" y="21421"/>
                                <a:ext cx="1056" cy="420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 name="T38" fmla="*/ 0 w 158"/>
                                  <a:gd name="T39" fmla="*/ 0 h 643"/>
                                  <a:gd name="T40" fmla="*/ 16674 w 158"/>
                                  <a:gd name="T41" fmla="*/ 66734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55F51">
                                  <a:alpha val="20000"/>
                                </a:srgbClr>
                              </a:solidFill>
                              <a:ln w="0">
                                <a:solidFill>
                                  <a:srgbClr val="455F51">
                                    <a:alpha val="16000"/>
                                  </a:srgbClr>
                                </a:solidFill>
                                <a:round/>
                              </a:ln>
                            </wps:spPr>
                            <wps:bodyPr rot="0" vert="horz" wrap="square" lIns="91440" tIns="45720" rIns="91440" bIns="45720" anchor="t" anchorCtr="0" upright="1">
                              <a:noAutofit/>
                            </wps:bodyPr>
                          </wps:wsp>
                          <wps:wsp>
                            <wps:cNvPr id="35" name="任意多边形 13"/>
                            <wps:cNvSpPr>
                              <a:spLocks noChangeArrowheads="1"/>
                            </wps:cNvSpPr>
                            <wps:spPr bwMode="auto">
                              <a:xfrm>
                                <a:off x="1582" y="25591"/>
                                <a:ext cx="221" cy="464"/>
                              </a:xfrm>
                              <a:custGeom>
                                <a:avLst/>
                                <a:gdLst>
                                  <a:gd name="T0" fmla="*/ 0 w 33"/>
                                  <a:gd name="T1" fmla="*/ 0 h 71"/>
                                  <a:gd name="T2" fmla="*/ 33 w 33"/>
                                  <a:gd name="T3" fmla="*/ 71 h 71"/>
                                  <a:gd name="T4" fmla="*/ 24 w 33"/>
                                  <a:gd name="T5" fmla="*/ 71 h 71"/>
                                  <a:gd name="T6" fmla="*/ 11 w 33"/>
                                  <a:gd name="T7" fmla="*/ 36 h 71"/>
                                  <a:gd name="T8" fmla="*/ 0 w 33"/>
                                  <a:gd name="T9" fmla="*/ 0 h 71"/>
                                  <a:gd name="T10" fmla="*/ 0 w 33"/>
                                  <a:gd name="T11" fmla="*/ 0 h 71"/>
                                  <a:gd name="T12" fmla="*/ 3493 w 33"/>
                                  <a:gd name="T13" fmla="*/ 7381 h 71"/>
                                </a:gdLst>
                                <a:ahLst/>
                                <a:cxnLst>
                                  <a:cxn ang="0">
                                    <a:pos x="T0" y="T1"/>
                                  </a:cxn>
                                  <a:cxn ang="0">
                                    <a:pos x="T2" y="T3"/>
                                  </a:cxn>
                                  <a:cxn ang="0">
                                    <a:pos x="T4" y="T5"/>
                                  </a:cxn>
                                  <a:cxn ang="0">
                                    <a:pos x="T6" y="T7"/>
                                  </a:cxn>
                                  <a:cxn ang="0">
                                    <a:pos x="T8" y="T9"/>
                                  </a:cxn>
                                </a:cxnLst>
                                <a:rect l="T10" t="T11" r="T12" b="T13"/>
                                <a:pathLst>
                                  <a:path w="33" h="71">
                                    <a:moveTo>
                                      <a:pt x="0" y="0"/>
                                    </a:moveTo>
                                    <a:lnTo>
                                      <a:pt x="33" y="71"/>
                                    </a:lnTo>
                                    <a:lnTo>
                                      <a:pt x="24" y="71"/>
                                    </a:lnTo>
                                    <a:lnTo>
                                      <a:pt x="11" y="36"/>
                                    </a:lnTo>
                                    <a:lnTo>
                                      <a:pt x="0" y="0"/>
                                    </a:lnTo>
                                    <a:close/>
                                  </a:path>
                                </a:pathLst>
                              </a:custGeom>
                              <a:solidFill>
                                <a:srgbClr val="455F51">
                                  <a:alpha val="20000"/>
                                </a:srgbClr>
                              </a:solidFill>
                              <a:ln w="0">
                                <a:solidFill>
                                  <a:srgbClr val="455F51">
                                    <a:alpha val="16000"/>
                                  </a:srgbClr>
                                </a:solidFill>
                                <a:round/>
                              </a:ln>
                            </wps:spPr>
                            <wps:bodyPr rot="0" vert="horz" wrap="square" lIns="91440" tIns="45720" rIns="91440" bIns="45720" anchor="t" anchorCtr="0" upright="1">
                              <a:noAutofit/>
                            </wps:bodyPr>
                          </wps:wsp>
                          <wps:wsp>
                            <wps:cNvPr id="36" name="任意多边形 14"/>
                            <wps:cNvSpPr>
                              <a:spLocks noChangeArrowheads="1"/>
                            </wps:cNvSpPr>
                            <wps:spPr bwMode="auto">
                              <a:xfrm>
                                <a:off x="446" y="21101"/>
                                <a:ext cx="100" cy="621"/>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 name="T12" fmla="*/ 0 w 15"/>
                                  <a:gd name="T13" fmla="*/ 0 h 95"/>
                                  <a:gd name="T14" fmla="*/ 1571 w 15"/>
                                  <a:gd name="T15" fmla="*/ 9858 h 95"/>
                                </a:gdLst>
                                <a:ahLst/>
                                <a:cxnLst>
                                  <a:cxn ang="0">
                                    <a:pos x="T0" y="T1"/>
                                  </a:cxn>
                                  <a:cxn ang="0">
                                    <a:pos x="T2" y="T3"/>
                                  </a:cxn>
                                  <a:cxn ang="0">
                                    <a:pos x="T4" y="T5"/>
                                  </a:cxn>
                                  <a:cxn ang="0">
                                    <a:pos x="T6" y="T7"/>
                                  </a:cxn>
                                  <a:cxn ang="0">
                                    <a:pos x="T8" y="T9"/>
                                  </a:cxn>
                                  <a:cxn ang="0">
                                    <a:pos x="T10" y="T11"/>
                                  </a:cxn>
                                </a:cxnLst>
                                <a:rect l="T12" t="T13" r="T14" b="T15"/>
                                <a:pathLst>
                                  <a:path w="15" h="95">
                                    <a:moveTo>
                                      <a:pt x="0" y="0"/>
                                    </a:moveTo>
                                    <a:lnTo>
                                      <a:pt x="8" y="37"/>
                                    </a:lnTo>
                                    <a:lnTo>
                                      <a:pt x="8" y="41"/>
                                    </a:lnTo>
                                    <a:lnTo>
                                      <a:pt x="15" y="95"/>
                                    </a:lnTo>
                                    <a:lnTo>
                                      <a:pt x="4" y="49"/>
                                    </a:lnTo>
                                    <a:lnTo>
                                      <a:pt x="0" y="0"/>
                                    </a:lnTo>
                                    <a:close/>
                                  </a:path>
                                </a:pathLst>
                              </a:custGeom>
                              <a:solidFill>
                                <a:srgbClr val="455F51">
                                  <a:alpha val="20000"/>
                                </a:srgbClr>
                              </a:solidFill>
                              <a:ln w="0">
                                <a:solidFill>
                                  <a:srgbClr val="455F51">
                                    <a:alpha val="16000"/>
                                  </a:srgbClr>
                                </a:solidFill>
                                <a:round/>
                              </a:ln>
                            </wps:spPr>
                            <wps:bodyPr rot="0" vert="horz" wrap="square" lIns="91440" tIns="45720" rIns="91440" bIns="45720" anchor="t" anchorCtr="0" upright="1">
                              <a:noAutofit/>
                            </wps:bodyPr>
                          </wps:wsp>
                          <wps:wsp>
                            <wps:cNvPr id="37" name="任意多边形 15"/>
                            <wps:cNvSpPr>
                              <a:spLocks noChangeArrowheads="1"/>
                            </wps:cNvSpPr>
                            <wps:spPr bwMode="auto">
                              <a:xfrm>
                                <a:off x="1334" y="19145"/>
                                <a:ext cx="2687" cy="5112"/>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 name="T62" fmla="*/ 0 w 402"/>
                                  <a:gd name="T63" fmla="*/ 0 h 782"/>
                                  <a:gd name="T64" fmla="*/ 42420 w 402"/>
                                  <a:gd name="T65" fmla="*/ 81167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55F51">
                                  <a:alpha val="20000"/>
                                </a:srgbClr>
                              </a:solidFill>
                              <a:ln w="0">
                                <a:solidFill>
                                  <a:srgbClr val="455F51">
                                    <a:alpha val="16000"/>
                                  </a:srgbClr>
                                </a:solidFill>
                                <a:round/>
                              </a:ln>
                            </wps:spPr>
                            <wps:bodyPr rot="0" vert="horz" wrap="square" lIns="91440" tIns="45720" rIns="91440" bIns="45720" anchor="t" anchorCtr="0" upright="1">
                              <a:noAutofit/>
                            </wps:bodyPr>
                          </wps:wsp>
                          <wps:wsp>
                            <wps:cNvPr id="38" name="任意多边形 16"/>
                            <wps:cNvSpPr>
                              <a:spLocks noChangeArrowheads="1"/>
                            </wps:cNvSpPr>
                            <wps:spPr bwMode="auto">
                              <a:xfrm>
                                <a:off x="1334" y="24310"/>
                                <a:ext cx="248" cy="1281"/>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 name="T24" fmla="*/ 0 w 37"/>
                                  <a:gd name="T25" fmla="*/ 0 h 196"/>
                                  <a:gd name="T26" fmla="*/ 3909 w 37"/>
                                  <a:gd name="T27" fmla="*/ 20339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55F51">
                                  <a:alpha val="20000"/>
                                </a:srgbClr>
                              </a:solidFill>
                              <a:ln w="0">
                                <a:solidFill>
                                  <a:srgbClr val="455F51">
                                    <a:alpha val="16000"/>
                                  </a:srgbClr>
                                </a:solidFill>
                                <a:round/>
                              </a:ln>
                            </wps:spPr>
                            <wps:bodyPr rot="0" vert="horz" wrap="square" lIns="91440" tIns="45720" rIns="91440" bIns="45720" anchor="t" anchorCtr="0" upright="1">
                              <a:noAutofit/>
                            </wps:bodyPr>
                          </wps:wsp>
                          <wps:wsp>
                            <wps:cNvPr id="39" name="任意多边形 17"/>
                            <wps:cNvSpPr>
                              <a:spLocks noChangeArrowheads="1"/>
                            </wps:cNvSpPr>
                            <wps:spPr bwMode="auto">
                              <a:xfrm>
                                <a:off x="1529" y="25624"/>
                                <a:ext cx="207" cy="431"/>
                              </a:xfrm>
                              <a:custGeom>
                                <a:avLst/>
                                <a:gdLst>
                                  <a:gd name="T0" fmla="*/ 0 w 31"/>
                                  <a:gd name="T1" fmla="*/ 0 h 66"/>
                                  <a:gd name="T2" fmla="*/ 31 w 31"/>
                                  <a:gd name="T3" fmla="*/ 66 h 66"/>
                                  <a:gd name="T4" fmla="*/ 24 w 31"/>
                                  <a:gd name="T5" fmla="*/ 66 h 66"/>
                                  <a:gd name="T6" fmla="*/ 0 w 31"/>
                                  <a:gd name="T7" fmla="*/ 0 h 66"/>
                                  <a:gd name="T8" fmla="*/ 0 w 31"/>
                                  <a:gd name="T9" fmla="*/ 0 h 66"/>
                                  <a:gd name="T10" fmla="*/ 3269 w 31"/>
                                  <a:gd name="T11" fmla="*/ 6860 h 66"/>
                                </a:gdLst>
                                <a:ahLst/>
                                <a:cxnLst>
                                  <a:cxn ang="0">
                                    <a:pos x="T0" y="T1"/>
                                  </a:cxn>
                                  <a:cxn ang="0">
                                    <a:pos x="T2" y="T3"/>
                                  </a:cxn>
                                  <a:cxn ang="0">
                                    <a:pos x="T4" y="T5"/>
                                  </a:cxn>
                                  <a:cxn ang="0">
                                    <a:pos x="T6" y="T7"/>
                                  </a:cxn>
                                </a:cxnLst>
                                <a:rect l="T8" t="T9" r="T10" b="T11"/>
                                <a:pathLst>
                                  <a:path w="31" h="66">
                                    <a:moveTo>
                                      <a:pt x="0" y="0"/>
                                    </a:moveTo>
                                    <a:lnTo>
                                      <a:pt x="31" y="66"/>
                                    </a:lnTo>
                                    <a:lnTo>
                                      <a:pt x="24" y="66"/>
                                    </a:lnTo>
                                    <a:lnTo>
                                      <a:pt x="0" y="0"/>
                                    </a:lnTo>
                                    <a:close/>
                                  </a:path>
                                </a:pathLst>
                              </a:custGeom>
                              <a:solidFill>
                                <a:srgbClr val="455F51">
                                  <a:alpha val="20000"/>
                                </a:srgbClr>
                              </a:solidFill>
                              <a:ln w="0">
                                <a:solidFill>
                                  <a:srgbClr val="455F51">
                                    <a:alpha val="16000"/>
                                  </a:srgbClr>
                                </a:solidFill>
                                <a:round/>
                              </a:ln>
                            </wps:spPr>
                            <wps:bodyPr rot="0" vert="horz" wrap="square" lIns="91440" tIns="45720" rIns="91440" bIns="45720" anchor="t" anchorCtr="0" upright="1">
                              <a:noAutofit/>
                            </wps:bodyPr>
                          </wps:wsp>
                          <wps:wsp>
                            <wps:cNvPr id="40" name="任意多边形 18"/>
                            <wps:cNvSpPr>
                              <a:spLocks noChangeArrowheads="1"/>
                            </wps:cNvSpPr>
                            <wps:spPr bwMode="auto">
                              <a:xfrm>
                                <a:off x="1334" y="24147"/>
                                <a:ext cx="48" cy="280"/>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 name="T12" fmla="*/ 0 w 7"/>
                                  <a:gd name="T13" fmla="*/ 0 h 43"/>
                                  <a:gd name="T14" fmla="*/ 745 w 7"/>
                                  <a:gd name="T15" fmla="*/ 4441 h 43"/>
                                </a:gdLst>
                                <a:ahLst/>
                                <a:cxnLst>
                                  <a:cxn ang="0">
                                    <a:pos x="T0" y="T1"/>
                                  </a:cxn>
                                  <a:cxn ang="0">
                                    <a:pos x="T2" y="T3"/>
                                  </a:cxn>
                                  <a:cxn ang="0">
                                    <a:pos x="T4" y="T5"/>
                                  </a:cxn>
                                  <a:cxn ang="0">
                                    <a:pos x="T6" y="T7"/>
                                  </a:cxn>
                                  <a:cxn ang="0">
                                    <a:pos x="T8" y="T9"/>
                                  </a:cxn>
                                  <a:cxn ang="0">
                                    <a:pos x="T10" y="T11"/>
                                  </a:cxn>
                                </a:cxnLst>
                                <a:rect l="T12" t="T13" r="T14" b="T15"/>
                                <a:pathLst>
                                  <a:path w="7" h="43">
                                    <a:moveTo>
                                      <a:pt x="0" y="0"/>
                                    </a:moveTo>
                                    <a:lnTo>
                                      <a:pt x="7" y="17"/>
                                    </a:lnTo>
                                    <a:lnTo>
                                      <a:pt x="7" y="43"/>
                                    </a:lnTo>
                                    <a:lnTo>
                                      <a:pt x="6" y="40"/>
                                    </a:lnTo>
                                    <a:lnTo>
                                      <a:pt x="0" y="25"/>
                                    </a:lnTo>
                                    <a:lnTo>
                                      <a:pt x="0" y="0"/>
                                    </a:lnTo>
                                    <a:close/>
                                  </a:path>
                                </a:pathLst>
                              </a:custGeom>
                              <a:solidFill>
                                <a:srgbClr val="455F51">
                                  <a:alpha val="20000"/>
                                </a:srgbClr>
                              </a:solidFill>
                              <a:ln w="0">
                                <a:solidFill>
                                  <a:srgbClr val="455F51">
                                    <a:alpha val="16000"/>
                                  </a:srgbClr>
                                </a:solidFill>
                                <a:round/>
                              </a:ln>
                            </wps:spPr>
                            <wps:bodyPr rot="0" vert="horz" wrap="square" lIns="91440" tIns="45720" rIns="91440" bIns="45720" anchor="t" anchorCtr="0" upright="1">
                              <a:noAutofit/>
                            </wps:bodyPr>
                          </wps:wsp>
                          <wps:wsp>
                            <wps:cNvPr id="41" name="任意多边形 19"/>
                            <wps:cNvSpPr>
                              <a:spLocks noChangeArrowheads="1"/>
                            </wps:cNvSpPr>
                            <wps:spPr bwMode="auto">
                              <a:xfrm>
                                <a:off x="1435" y="25264"/>
                                <a:ext cx="308" cy="791"/>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 name="T18" fmla="*/ 0 w 46"/>
                                  <a:gd name="T19" fmla="*/ 0 h 121"/>
                                  <a:gd name="T20" fmla="*/ 4863 w 46"/>
                                  <a:gd name="T21" fmla="*/ 12574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55F51">
                                  <a:alpha val="20000"/>
                                </a:srgbClr>
                              </a:solidFill>
                              <a:ln w="0">
                                <a:solidFill>
                                  <a:srgbClr val="455F51">
                                    <a:alpha val="16000"/>
                                  </a:srgbClr>
                                </a:solidFill>
                                <a:round/>
                              </a:ln>
                            </wps:spPr>
                            <wps:bodyPr rot="0" vert="horz" wrap="square" lIns="91440" tIns="45720" rIns="91440" bIns="45720" anchor="t" anchorCtr="0" upright="1">
                              <a:noAutofit/>
                            </wps:bodyPr>
                          </wps:wsp>
                        </wpg:grpSp>
                      </wpg:grpSp>
                    </wpg:wgp>
                  </a:graphicData>
                </a:graphic>
              </wp:anchor>
            </w:drawing>
          </mc:Choice>
          <mc:Fallback>
            <w:pict>
              <v:group id="组 2" o:spid="_x0000_s1026" o:spt="203" style="position:absolute;left:0pt;margin-left:23.8pt;height:799.8pt;width:196.4pt;mso-position-horizontal-relative:page;mso-position-vertical:center;mso-position-vertical-relative:page;z-index:-251656192;mso-width-relative:page;mso-height-relative:page;" coordsize="3928,15996" o:gfxdata="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">
                <o:lock v:ext="edit" aspectratio="f"/>
                <v:rect id="矩形 17" o:spid="_x0000_s1026" o:spt="1" style="position:absolute;left:0;top:0;height:15996;width:348;" fillcolor="#455F51" filled="t" stroked="f" coordsize="21600,21600" o:gfxdata="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4rbfC5AAAA2wAA&#10;AA8AAAAAAAAAAQAgAAAAIgAAAGRycy9kb3ducmV2LnhtbFBLAQIUABQAAAAIAIdO4kAzLwWeOwAA&#10;ADkAAAAQAAAAAAAAAAEAIAAAAAgBAABkcnMvc2hhcGV4bWwueG1sUEsFBgAAAAAGAAYAWwEAALID&#10;AAAAAA==&#10;">
                  <v:fill on="t" focussize="0,0"/>
                  <v:stroke on="f"/>
                  <v:imagedata o:title=""/>
                  <o:lock v:ext="edit" aspectratio="f"/>
                </v:rect>
                <v:shape id="五边形 4" o:spid="_x0000_s1026" o:spt="15" type="#_x0000_t15" style="position:absolute;left:0;top:2571;height:968;width:3928;" fillcolor="#539E37" filled="t" stroked="f" coordsize="21600,21600" o:gfxdata="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6OmzrtwAAANsAAAAP&#10;AAAAAAAAAAEAIAAAACIAAABkcnMvZG93bnJldi54bWxQSwECFAAUAAAACACHTuJAMy8FnjsAAAA5&#10;AAAAEAAAAAAAAAABACAAAAAGAQAAZHJzL3NoYXBleG1sLnhtbFBLBQYAAAAABgAGAFsBAACwAwAA&#10;AAA=&#10;" adj="18884">
                  <v:fill on="t" focussize="0,0"/>
                  <v:stroke on="f"/>
                  <v:imagedata o:title=""/>
                  <o:lock v:ext="edit" aspectratio="f"/>
                  <v:textbox inset="2.54mm,0mm,5.08mm,0mm">
                    <w:txbxContent>
                      <w:p>
                        <w:pPr>
                          <w:pStyle w:val="37"/>
                          <w:jc w:val="right"/>
                          <w:rPr>
                            <w:rFonts w:hint="eastAsia"/>
                            <w:color w:val="FFFFFF"/>
                            <w:sz w:val="28"/>
                            <w:szCs w:val="28"/>
                          </w:rPr>
                        </w:pPr>
                        <w:r>
                          <w:rPr>
                            <w:color w:val="FFFFFF"/>
                            <w:sz w:val="28"/>
                            <w:szCs w:val="28"/>
                          </w:rPr>
                          <w:t xml:space="preserve">     </w:t>
                        </w:r>
                      </w:p>
                    </w:txbxContent>
                  </v:textbox>
                </v:shape>
                <v:group id="组 5" o:spid="_x0000_s1026" o:spt="203" style="position:absolute;left:137;top:7380;height:8607;width:3682;" coordorigin="227,11615" coordsize="3683,8607"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group id="组 6" o:spid="_x0000_s1026" o:spt="203" style="position:absolute;left:397;top:11615;height:8607;width:2955;" coordorigin="397,11615" coordsize="2955,8607"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任意多边形 20" o:spid="_x0000_s1026" o:spt="100" style="position:absolute;left:1042;top:17145;height:1926;width:546;" fillcolor="#455F51" filled="t" stroked="t" coordsize="122,440" o:gfxdata="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XTrG8AAAA&#10;2wAAAA8AAAAAAAAAAQAgAAAAIgAAAGRycy9kb3ducmV2LnhtbFBLAQIUABQAAAAIAIdO4kAzLwWe&#10;OwAAADkAAAAQAAAAAAAAAAEAIAAAAAsBAABkcnMvc2hhcGV4bWwueG1sUEsFBgAAAAAGAAYAWwEA&#10;ALUDAAAAAA==&#10;" path="m0,0l39,152,84,304,122,417,122,440,76,306,39,180,6,53,0,0xe">
                      <v:path o:connectlocs="0,0;174,665;375,1330;546,1825;546,1926;340,1339;174,787;26,231;0,0" o:connectangles="0,0,0,0,0,0,0,0,0"/>
                      <v:fill on="t" focussize="0,0"/>
                      <v:stroke weight="0pt" color="#455F51" joinstyle="round"/>
                      <v:imagedata o:title=""/>
                      <o:lock v:ext="edit" aspectratio="f"/>
                    </v:shape>
                    <v:shape id="任意多边形 21" o:spid="_x0000_s1026" o:spt="100" style="position:absolute;left:1615;top:19045;height:1177;width:519;" fillcolor="#455F51" filled="t" stroked="t" coordsize="116,269" o:gfxdata="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zQ27sAAADb&#10;AAAADwAAAAAAAAABACAAAAAiAAAAZHJzL2Rvd25yZXYueG1sUEsBAhQAFAAAAAgAh07iQDMvBZ47&#10;AAAAOQAAABAAAAAAAAAAAQAgAAAACgEAAGRycy9zaGFwZXhtbC54bWxQSwUGAAAAAAYABgBbAQAA&#10;tAMAAAAA&#10;" path="m0,0l8,19,37,93,67,167,116,269,108,269,60,169,30,98,1,25,0,0xe">
                      <v:path o:connectlocs="0,0;35,83;165,406;299,730;519,1177;483,1177;268,739;134,428;4,109;0,0" o:connectangles="0,0,0,0,0,0,0,0,0,0"/>
                      <v:fill on="t" focussize="0,0"/>
                      <v:stroke weight="0pt" color="#455F51" joinstyle="round"/>
                      <v:imagedata o:title=""/>
                      <o:lock v:ext="edit" aspectratio="f"/>
                    </v:shape>
                    <v:shape id="任意多边形 22" o:spid="_x0000_s1026" o:spt="100" style="position:absolute;left:397;top:11615;height:5569;width:627;" fillcolor="#455F51" filled="t" stroked="t" coordsize="140,1272" o:gfxdata="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IZXfugAAANsA&#10;AAAPAAAAAAAAAAEAIAAAACIAAABkcnMvZG93bnJldi54bWxQSwECFAAUAAAACACHTuJAMy8FnjsA&#10;AAA5AAAAEAAAAAAAAAABACAAAAAJAQAAZHJzL3NoYXBleG1sLnhtbFBLBQYAAAAABgAGAFsBAACz&#10;AwAAAAA=&#10;" path="m0,0l0,0,1,79,3,159,12,317,23,476,39,634,58,792,83,948,107,1086,135,1223,140,1272,138,1262,105,1106,77,949,53,792,35,634,20,476,9,317,2,159,0,79,0,0xe">
                      <v:path o:connectlocs="0,0;0,0;4,345;13,696;53,1387;103,2083;174,2775;259,3467;371,4150;479,4754;604,5354;627,5569;618,5525;470,4842;344,4154;237,3467;156,2775;89,2083;40,1387;8,696;0,345;0,0" o:connectangles="0,0,0,0,0,0,0,0,0,0,0,0,0,0,0,0,0,0,0,0,0,0"/>
                      <v:fill on="t" focussize="0,0"/>
                      <v:stroke weight="0pt" color="#455F51" joinstyle="round"/>
                      <v:imagedata o:title=""/>
                      <o:lock v:ext="edit" aspectratio="f"/>
                    </v:shape>
                    <v:shape id="任意多边形 23" o:spid="_x0000_s1026" o:spt="100" style="position:absolute;left:962;top:13406;height:3739;width:201;" fillcolor="#455F51" filled="t" stroked="t" coordsize="45,854" o:gfxdata="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mlGO8AAAA&#10;2wAAAA8AAAAAAAAAAQAgAAAAIgAAAGRycy9kb3ducmV2LnhtbFBLAQIUABQAAAAIAIdO4kAzLwWe&#10;OwAAADkAAAAQAAAAAAAAAAEAIAAAAAsBAABkcnMvc2hhcGV4bWwueG1sUEsFBgAAAAAGAAYAWwEA&#10;ALUDAAAAAA==&#10;" path="m45,0l45,0,35,66,26,133,14,267,6,401,3,534,6,669,14,803,18,854,18,851,9,814,8,803,1,669,0,534,3,401,12,267,25,132,34,66,45,0xe">
                      <v:path o:connectlocs="201,0;201,0;156,288;116,582;62,1168;26,1755;13,2337;26,2929;62,3515;80,3739;80,3725;40,3563;35,3515;4,2929;0,2337;13,1755;53,1168;111,577;151,288;201,0" o:connectangles="0,0,0,0,0,0,0,0,0,0,0,0,0,0,0,0,0,0,0,0"/>
                      <v:fill on="t" focussize="0,0"/>
                      <v:stroke weight="0pt" color="#455F51" joinstyle="round"/>
                      <v:imagedata o:title=""/>
                      <o:lock v:ext="edit" aspectratio="f"/>
                    </v:shape>
                    <v:shape id="任意多边形 24" o:spid="_x0000_s1026" o:spt="100" style="position:absolute;left:1024;top:17184;height:2754;width:689;" fillcolor="#455F51" filled="t" stroked="t" coordsize="154,629" o:gfxdata="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Hz1e8AAAA&#10;2wAAAA8AAAAAAAAAAQAgAAAAIgAAAGRycy9kb3ducmV2LnhtbFBLAQIUABQAAAAIAIdO4kAzLwWe&#10;OwAAADkAAAAQAAAAAAAAAAEAIAAAAAsBAABkcnMvc2hhcGV4bWwueG1sUEsFBgAAAAAGAAYAWwEA&#10;ALUDAAAAAA==&#10;" path="m0,0l10,44,21,126,34,207,53,293,75,380,100,466,120,521,141,576,152,618,154,629,140,595,115,532,93,468,67,383,47,295,28,207,12,104,0,0xe">
                      <v:path o:connectlocs="0,0;44,192;93,551;152,906;237,1282;335,1663;447,2040;536,2281;630,2521;680,2705;689,2754;626,2605;514,2329;416,2049;299,1676;210,1291;125,906;53,455;0,0" o:connectangles="0,0,0,0,0,0,0,0,0,0,0,0,0,0,0,0,0,0,0"/>
                      <v:fill on="t" focussize="0,0"/>
                      <v:stroke weight="0pt" color="#455F51" joinstyle="round"/>
                      <v:imagedata o:title=""/>
                      <o:lock v:ext="edit" aspectratio="f"/>
                    </v:shape>
                    <v:shape id="任意多边形 25" o:spid="_x0000_s1026" o:spt="100" style="position:absolute;left:1749;top:19920;height:302;width:148;" fillcolor="#455F51" filled="t" stroked="t" coordsize="33,69" o:gfxdata="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i49nvQAA&#10;ANsAAAAPAAAAAAAAAAEAIAAAACIAAABkcnMvZG93bnJldi54bWxQSwECFAAUAAAACACHTuJAMy8F&#10;njsAAAA5AAAAEAAAAAAAAAABACAAAAAMAQAAZHJzL3NoYXBleG1sLnhtbFBLBQYAAAAABgAGAFsB&#10;AAC2AwAAAAA=&#10;" path="m0,0l33,69,24,69,12,35,0,0xe">
                      <v:path o:connectlocs="0,0;148,302;107,302;53,153;0,0" o:connectangles="0,0,0,0,0"/>
                      <v:fill on="t" focussize="0,0"/>
                      <v:stroke weight="0pt" color="#455F51" joinstyle="round"/>
                      <v:imagedata o:title=""/>
                      <o:lock v:ext="edit" aspectratio="f"/>
                    </v:shape>
                    <v:shape id="任意多边形 26" o:spid="_x0000_s1026" o:spt="100" style="position:absolute;left:1002;top:16969;height:407;width:67;" fillcolor="#455F51" filled="t" stroked="t" coordsize="15,93" o:gfxdata="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PFQW8AAAA&#10;2wAAAA8AAAAAAAAAAQAgAAAAIgAAAGRycy9kb3ducmV2LnhtbFBLAQIUABQAAAAIAIdO4kAzLwWe&#10;OwAAADkAAAAQAAAAAAAAAAEAIAAAAAsBAABkcnMvc2hhcGV4bWwueG1sUEsFBgAAAAAGAAYAWwEA&#10;ALUDAAAAAA==&#10;" path="m0,0l9,37,9,40,15,93,5,49,0,0xe">
                      <v:path o:connectlocs="0,0;40,161;40,175;67,407;22,214;0,0" o:connectangles="0,0,0,0,0,0"/>
                      <v:fill on="t" focussize="0,0"/>
                      <v:stroke weight="0pt" color="#455F51" joinstyle="round"/>
                      <v:imagedata o:title=""/>
                      <o:lock v:ext="edit" aspectratio="f"/>
                    </v:shape>
                    <v:shape id="任意多边形 27" o:spid="_x0000_s1026" o:spt="100" style="position:absolute;left:1588;top:15691;height:3354;width:1764;" fillcolor="#455F51" filled="t" stroked="t" coordsize="394,766" o:gfxdata="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hr+2vQAA&#10;ANsAAAAPAAAAAAAAAAEAIAAAACIAAABkcnMvZG93bnJldi54bWxQSwECFAAUAAAACACHTuJAMy8F&#10;njsAAAA5AAAAEAAAAAAAAAABACAAAAAMAQAAZHJzL3NoYXBleG1sLnhtbFBLBQYAAAAABgAGAFsB&#10;AAC2AwAAAAA=&#10;" path="m394,0l394,0,356,38,319,77,284,117,249,160,207,218,168,276,131,339,98,402,69,467,45,535,26,604,14,673,7,746,6,766,0,749,1,744,7,673,21,603,40,533,65,466,94,400,127,336,164,275,204,215,248,158,282,116,318,76,354,37,394,0xe">
                      <v:path o:connectlocs="1764,0;1764,0;1593,166;1428,337;1271,512;1114,700;926,954;752,1208;586,1484;438,1760;308,2044;201,2342;116,2644;62,2946;31,3266;26,3354;0,3279;4,3257;31,2946;94,2640;179,2333;291,2040;420,1751;568,1471;734,1204;913,941;1110,691;1262,507;1423,332;1584,162;1764,0" o:connectangles="0,0,0,0,0,0,0,0,0,0,0,0,0,0,0,0,0,0,0,0,0,0,0,0,0,0,0,0,0,0,0"/>
                      <v:fill on="t" focussize="0,0"/>
                      <v:stroke weight="0pt" color="#455F51" joinstyle="round"/>
                      <v:imagedata o:title=""/>
                      <o:lock v:ext="edit" aspectratio="f"/>
                    </v:shape>
                    <v:shape id="任意多边形 28" o:spid="_x0000_s1026" o:spt="100" style="position:absolute;left:1588;top:19071;height:849;width:161;" fillcolor="#455F51" filled="t" stroked="t" coordsize="36,194" o:gfxdata="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j98uugAAANsA&#10;AAAPAAAAAAAAAAEAIAAAACIAAABkcnMvZG93bnJldi54bWxQSwECFAAUAAAACACHTuJAMy8FnjsA&#10;AAA5AAAAEAAAAAAAAAABACAAAAAJAQAAZHJzL3NoYXBleG1sLnhtbFBLBQYAAAAABgAGAFsBAACz&#10;AwAAAAA=&#10;" path="m0,0l6,16,7,19,11,80,20,132,33,185,36,194,21,161,15,145,5,81,1,41,0,0xe">
                      <v:path o:connectlocs="0,0;26,70;31,83;49,350;89,577;147,809;161,849;93,704;67,634;22,354;4,179;0,0" o:connectangles="0,0,0,0,0,0,0,0,0,0,0,0"/>
                      <v:fill on="t" focussize="0,0"/>
                      <v:stroke weight="0pt" color="#455F51" joinstyle="round"/>
                      <v:imagedata o:title=""/>
                      <o:lock v:ext="edit" aspectratio="f"/>
                    </v:shape>
                    <v:shape id="任意多边形 29" o:spid="_x0000_s1026" o:spt="100" style="position:absolute;left:1713;top:19938;height:284;width:140;" fillcolor="#455F51" filled="t" stroked="t" coordsize="31,65" o:gfxdata="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SNb4A&#10;AADbAAAADwAAAAAAAAABACAAAAAiAAAAZHJzL2Rvd25yZXYueG1sUEsBAhQAFAAAAAgAh07iQDMv&#10;BZ47AAAAOQAAABAAAAAAAAAAAQAgAAAADQEAAGRycy9zaGFwZXhtbC54bWxQSwUGAAAAAAYABgBb&#10;AQAAtwMAAAAA&#10;" path="m0,0l31,65,23,65,0,0xe">
                      <v:path o:connectlocs="0,0;140,284;103,284;0,0" o:connectangles="0,0,0,0"/>
                      <v:fill on="t" focussize="0,0"/>
                      <v:stroke weight="0pt" color="#455F51" joinstyle="round"/>
                      <v:imagedata o:title=""/>
                      <o:lock v:ext="edit" aspectratio="f"/>
                    </v:shape>
                    <v:shape id="任意多边形 30" o:spid="_x0000_s1026" o:spt="100" style="position:absolute;left:1588;top:18970;height:184;width:31;" fillcolor="#455F51" filled="t" stroked="t" coordsize="7,42" o:gfxdata="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HNqG8AAAA&#10;2wAAAA8AAAAAAAAAAQAgAAAAIgAAAGRycy9kb3ducmV2LnhtbFBLAQIUABQAAAAIAIdO4kAzLwWe&#10;OwAAADkAAAAQAAAAAAAAAAEAIAAAAAsBAABkcnMvc2hhcGV4bWwueG1sUEsFBgAAAAAGAAYAWwEA&#10;ALUDAAAAAA==&#10;" path="m0,0l6,17,7,42,6,39,0,23,0,0xe">
                      <v:path o:connectlocs="0,0;26,74;31,184;26,170;0,100;0,0" o:connectangles="0,0,0,0,0,0"/>
                      <v:fill on="t" focussize="0,0"/>
                      <v:stroke weight="0pt" color="#455F51" joinstyle="round"/>
                      <v:imagedata o:title=""/>
                      <o:lock v:ext="edit" aspectratio="f"/>
                    </v:shape>
                    <v:shape id="任意多边形 31" o:spid="_x0000_s1026" o:spt="100" style="position:absolute;left:1656;top:19706;height:516;width:201;" fillcolor="#455F51" filled="t" stroked="t" coordsize="45,118" o:gfxdata="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aqSzvQAA&#10;ANsAAAAPAAAAAAAAAAEAIAAAACIAAABkcnMvZG93bnJldi54bWxQSwECFAAUAAAACACHTuJAMy8F&#10;njsAAAA5AAAAEAAAAAAAAAABACAAAAAMAQAAZHJzL3NoYXBleG1sLnhtbFBLBQYAAAAABgAGAFsB&#10;AAC2AwAAAAA=&#10;" path="m0,0l6,16,21,49,33,84,45,118,44,118,13,53,11,42,0,0xe">
                      <v:path o:connectlocs="0,0;26,69;93,214;147,367;201,516;196,516;58,231;49,183;0,0" o:connectangles="0,0,0,0,0,0,0,0,0"/>
                      <v:fill on="t" focussize="0,0"/>
                      <v:stroke weight="0pt" color="#455F51" joinstyle="round"/>
                      <v:imagedata o:title=""/>
                      <o:lock v:ext="edit" aspectratio="f"/>
                    </v:shape>
                  </v:group>
                  <v:group id="组 7" o:spid="_x0000_s1026" o:spt="203" style="position:absolute;left:227;top:13312;height:6910;width:3683;" coordorigin="339,19145" coordsize="3682,6910"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任意多边形 8" o:spid="_x0000_s1026" o:spt="100" style="position:absolute;left:500;top:21369;height:2941;width:834;" fillcolor="#455F51" filled="t" stroked="t" coordsize="125,450" o:gfxdata="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Y9dW8AAAA&#10;2wAAAA8AAAAAAAAAAQAgAAAAIgAAAGRycy9kb3ducmV2LnhtbFBLAQIUABQAAAAIAIdO4kAzLwWe&#10;OwAAADkAAAAQAAAAAAAAAAEAIAAAAAsBAABkcnMvc2hhcGV4bWwueG1sUEsFBgAAAAAGAAYAWwEA&#10;ALUDAAAAAA==&#10;" path="m0,0l41,155,86,309,125,425,125,450,79,311,41,183,7,54,0,0xe">
                      <v:path o:connectlocs="0,0;273,1013;573,2019;834,2777;834,2941;527,2032;273,1196;46,352;0,0" o:connectangles="0,0,0,0,0,0,0,0,0"/>
                      <v:fill on="t" opacity="13107f" focussize="0,0"/>
                      <v:stroke weight="0pt" color="#455F51" opacity="10485f" joinstyle="round"/>
                      <v:imagedata o:title=""/>
                      <o:lock v:ext="edit" aspectratio="f"/>
                    </v:shape>
                    <v:shape id="任意多边形 9" o:spid="_x0000_s1026" o:spt="100" style="position:absolute;left:1382;top:24257;height:1798;width:788;" fillcolor="#455F51" filled="t" stroked="t" coordsize="118,275" o:gfxdata="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3THQ&#10;wAAAANsAAAAPAAAAAAAAAAEAIAAAACIAAABkcnMvZG93bnJldi54bWxQSwECFAAUAAAACACHTuJA&#10;My8FnjsAAAA5AAAAEAAAAAAAAAABACAAAAAPAQAAZHJzL3NoYXBleG1sLnhtbFBLBQYAAAAABgAG&#10;AFsBAAC5AwAAAAA=&#10;" path="m0,0l8,20,37,96,69,170,118,275,109,275,61,174,30,100,0,26,0,0xe">
                      <v:path o:connectlocs="0,0;53,130;247,627;460,1111;788,1798;727,1798;407,1137;200,653;0,169;0,0" o:connectangles="0,0,0,0,0,0,0,0,0,0"/>
                      <v:fill on="t" opacity="13107f" focussize="0,0"/>
                      <v:stroke weight="0pt" color="#455F51" opacity="10485f" joinstyle="round"/>
                      <v:imagedata o:title=""/>
                      <o:lock v:ext="edit" aspectratio="f"/>
                    </v:shape>
                    <v:shape id="任意多边形 10" o:spid="_x0000_s1026" o:spt="100" style="position:absolute;left:339;top:20630;height:791;width:134;" fillcolor="#455F51" filled="t" stroked="t" coordsize="20,121" o:gfxdata="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aG74A&#10;AADbAAAADwAAAAAAAAABACAAAAAiAAAAZHJzL2Rvd25yZXYueG1sUEsBAhQAFAAAAAgAh07iQDMv&#10;BZ47AAAAOQAAABAAAAAAAAAAAQAgAAAADQEAAGRycy9zaGFwZXhtbC54bWxQSwUGAAAAAAYABgBb&#10;AQAAtwMAAAAA&#10;" path="m0,0l16,72,20,121,18,112,0,31,0,0xe">
                      <v:path o:connectlocs="0,0;107,470;134,791;120,732;0,202;0,0" o:connectangles="0,0,0,0,0,0"/>
                      <v:fill on="t" opacity="13107f" focussize="0,0"/>
                      <v:stroke weight="0pt" color="#455F51" opacity="10485f" joinstyle="round"/>
                      <v:imagedata o:title=""/>
                      <o:lock v:ext="edit" aspectratio="f"/>
                    </v:shape>
                    <v:shape id="任意多边形 12" o:spid="_x0000_s1026" o:spt="100" style="position:absolute;left:473;top:21421;height:4203;width:1056;" fillcolor="#455F51" filled="t" stroked="t" coordsize="158,643" o:gfxdata="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415nvQAA&#10;ANsAAAAPAAAAAAAAAAEAIAAAACIAAABkcnMvZG93bnJldi54bWxQSwECFAAUAAAACACHTuJAMy8F&#10;njsAAAA5AAAAEAAAAAAAAAABACAAAAAMAQAAZHJzL3NoYXBleG1sLnhtbFBLBQYAAAAABgAGAFsB&#10;AAC2AwAAAAA=&#10;" path="m0,0l11,46,22,129,36,211,55,301,76,389,103,476,123,533,144,588,155,632,158,643,142,608,118,544,95,478,69,391,47,302,29,212,13,107,0,0xe">
                      <v:path o:connectlocs="0,0;73,300;147,843;240,1379;367,1967;507,2542;688,3111;822,3483;962,3843;1035,4131;1056,4203;949,3974;788,3555;634,3124;461,2555;314,1974;193,1385;86,699;0,0" o:connectangles="0,0,0,0,0,0,0,0,0,0,0,0,0,0,0,0,0,0,0"/>
                      <v:fill on="t" opacity="13107f" focussize="0,0"/>
                      <v:stroke weight="0pt" color="#455F51" opacity="10485f" joinstyle="round"/>
                      <v:imagedata o:title=""/>
                      <o:lock v:ext="edit" aspectratio="f"/>
                    </v:shape>
                    <v:shape id="任意多边形 13" o:spid="_x0000_s1026" o:spt="100" style="position:absolute;left:1582;top:25591;height:464;width:221;" fillcolor="#455F51" filled="t" stroked="t" coordsize="33,71" o:gfxdata="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C5c28AAAA&#10;2wAAAA8AAAAAAAAAAQAgAAAAIgAAAGRycy9kb3ducmV2LnhtbFBLAQIUABQAAAAIAIdO4kAzLwWe&#10;OwAAADkAAAAQAAAAAAAAAAEAIAAAAAsBAABkcnMvc2hhcGV4bWwueG1sUEsFBgAAAAAGAAYAWwEA&#10;ALUDAAAAAA==&#10;" path="m0,0l33,71,24,71,11,36,0,0xe">
                      <v:path o:connectlocs="0,0;221,464;160,464;73,235;0,0" o:connectangles="0,0,0,0,0"/>
                      <v:fill on="t" opacity="13107f" focussize="0,0"/>
                      <v:stroke weight="0pt" color="#455F51" opacity="10485f" joinstyle="round"/>
                      <v:imagedata o:title=""/>
                      <o:lock v:ext="edit" aspectratio="f"/>
                    </v:shape>
                    <v:shape id="任意多边形 14" o:spid="_x0000_s1026" o:spt="100" style="position:absolute;left:446;top:21101;height:621;width:100;" fillcolor="#455F51" filled="t" stroked="t" coordsize="15,95" o:gfxdata="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rJhXvQAA&#10;ANsAAAAPAAAAAAAAAAEAIAAAACIAAABkcnMvZG93bnJldi54bWxQSwECFAAUAAAACACHTuJAMy8F&#10;njsAAAA5AAAAEAAAAAAAAAABACAAAAAMAQAAZHJzL3NoYXBleG1sLnhtbFBLBQYAAAAABgAGAFsB&#10;AAC2AwAAAAA=&#10;" path="m0,0l8,37,8,41,15,95,4,49,0,0xe">
                      <v:path o:connectlocs="0,0;53,241;53,268;100,621;26,320;0,0" o:connectangles="0,0,0,0,0,0"/>
                      <v:fill on="t" opacity="13107f" focussize="0,0"/>
                      <v:stroke weight="0pt" color="#455F51" opacity="10485f" joinstyle="round"/>
                      <v:imagedata o:title=""/>
                      <o:lock v:ext="edit" aspectratio="f"/>
                    </v:shape>
                    <v:shape id="任意多边形 15" o:spid="_x0000_s1026" o:spt="100" style="position:absolute;left:1334;top:19145;height:5112;width:2687;" fillcolor="#455F51" filled="t" stroked="t" coordsize="402,782" o:gfxdata="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h/cb4A&#10;AADbAAAADwAAAAAAAAABACAAAAAiAAAAZHJzL2Rvd25yZXYueG1sUEsBAhQAFAAAAAgAh07iQDMv&#10;BZ47AAAAOQAAABAAAAAAAAAAAQAgAAAADQEAAGRycy9zaGFwZXhtbC54bWxQSwUGAAAAAAYABgBb&#10;AQAAtwMAAAAA&#10;" path="m402,0l402,1,363,39,325,79,290,121,255,164,211,222,171,284,133,346,100,411,71,478,45,546,27,617,13,689,7,761,7,782,0,765,1,761,7,688,21,616,40,545,66,475,95,409,130,343,167,281,209,220,253,163,287,120,324,78,362,38,402,0xe">
                      <v:path o:connectlocs="2687,0;2687,6;2426,254;2172,516;1938,790;1704,1072;1410,1451;1142,1856;888,2261;668,2686;474,3124;300,3569;180,4033;86,4504;46,4974;46,5112;0,5000;6,4974;46,4497;140,4026;267,3562;441,3105;634,2673;868,2242;1116,1836;1396,1438;1691,1065;1918,784;2165,509;2419,248;2687,0" o:connectangles="0,0,0,0,0,0,0,0,0,0,0,0,0,0,0,0,0,0,0,0,0,0,0,0,0,0,0,0,0,0,0"/>
                      <v:fill on="t" opacity="13107f" focussize="0,0"/>
                      <v:stroke weight="0pt" color="#455F51" opacity="10485f" joinstyle="round"/>
                      <v:imagedata o:title=""/>
                      <o:lock v:ext="edit" aspectratio="f"/>
                    </v:shape>
                    <v:shape id="任意多边形 16" o:spid="_x0000_s1026" o:spt="100" style="position:absolute;left:1334;top:24310;height:1281;width:248;" fillcolor="#455F51" filled="t" stroked="t" coordsize="37,196" o:gfxdata="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74XVbUAAADbAAAADwAA&#10;AAAAAAABACAAAAAiAAAAZHJzL2Rvd25yZXYueG1sUEsBAhQAFAAAAAgAh07iQDMvBZ47AAAAOQAA&#10;ABAAAAAAAAAAAQAgAAAABAEAAGRycy9zaGFwZXhtbC54bWxQSwUGAAAAAAYABgBbAQAArgMAAAAA&#10;" path="m0,0l6,15,7,18,12,80,21,134,33,188,37,196,22,162,15,146,5,81,1,40,0,0xe">
                      <v:path o:connectlocs="0,0;40,98;46,117;80,522;140,875;221,1228;248,1281;147,1058;100,954;33,529;6,261;0,0" o:connectangles="0,0,0,0,0,0,0,0,0,0,0,0"/>
                      <v:fill on="t" opacity="13107f" focussize="0,0"/>
                      <v:stroke weight="0pt" color="#455F51" opacity="10485f" joinstyle="round"/>
                      <v:imagedata o:title=""/>
                      <o:lock v:ext="edit" aspectratio="f"/>
                    </v:shape>
                    <v:shape id="任意多边形 17" o:spid="_x0000_s1026" o:spt="100" style="position:absolute;left:1529;top:25624;height:431;width:207;" fillcolor="#455F51" filled="t" stroked="t" coordsize="31,66" o:gfxdata="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1r8zvQAA&#10;ANsAAAAPAAAAAAAAAAEAIAAAACIAAABkcnMvZG93bnJldi54bWxQSwECFAAUAAAACACHTuJAMy8F&#10;njsAAAA5AAAAEAAAAAAAAAABACAAAAAMAQAAZHJzL3NoYXBleG1sLnhtbFBLBQYAAAAABgAGAFsB&#10;AAC2AwAAAAA=&#10;" path="m0,0l31,66,24,66,0,0xe">
                      <v:path o:connectlocs="0,0;207,431;160,431;0,0" o:connectangles="0,0,0,0"/>
                      <v:fill on="t" opacity="13107f" focussize="0,0"/>
                      <v:stroke weight="0pt" color="#455F51" opacity="10485f" joinstyle="round"/>
                      <v:imagedata o:title=""/>
                      <o:lock v:ext="edit" aspectratio="f"/>
                    </v:shape>
                    <v:shape id="任意多边形 18" o:spid="_x0000_s1026" o:spt="100" style="position:absolute;left:1334;top:24147;height:280;width:48;" fillcolor="#455F51" filled="t" stroked="t" coordsize="7,43" o:gfxdata="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LB8dbUAAADbAAAADwAA&#10;AAAAAAABACAAAAAiAAAAZHJzL2Rvd25yZXYueG1sUEsBAhQAFAAAAAgAh07iQDMvBZ47AAAAOQAA&#10;ABAAAAAAAAAAAQAgAAAABAEAAGRycy9zaGFwZXhtbC54bWxQSwUGAAAAAAYABgBbAQAArgMAAAAA&#10;" path="m0,0l7,17,7,43,6,40,0,25,0,0xe">
                      <v:path o:connectlocs="0,0;48,110;48,280;41,260;0,162;0,0" o:connectangles="0,0,0,0,0,0"/>
                      <v:fill on="t" opacity="13107f" focussize="0,0"/>
                      <v:stroke weight="0pt" color="#455F51" opacity="10485f" joinstyle="round"/>
                      <v:imagedata o:title=""/>
                      <o:lock v:ext="edit" aspectratio="f"/>
                    </v:shape>
                    <v:shape id="任意多边形 19" o:spid="_x0000_s1026" o:spt="100" style="position:absolute;left:1435;top:25264;height:791;width:308;" fillcolor="#455F51" filled="t" stroked="t" coordsize="46,121" o:gfxdata="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yTFvQAA&#10;ANsAAAAPAAAAAAAAAAEAIAAAACIAAABkcnMvZG93bnJldi54bWxQSwECFAAUAAAACACHTuJAMy8F&#10;njsAAAA5AAAAEAAAAAAAAAABACAAAAAMAQAAZHJzL3NoYXBleG1sLnhtbFBLBQYAAAAABgAGAFsB&#10;AAC2AwAAAAA=&#10;" path="m0,0l7,16,22,50,33,86,46,121,45,121,14,55,11,44,0,0xe">
                      <v:path o:connectlocs="0,0;46,104;147,326;220,562;308,791;301,791;93,359;73,287;0,0" o:connectangles="0,0,0,0,0,0,0,0,0"/>
                      <v:fill on="t" opacity="13107f" focussize="0,0"/>
                      <v:stroke weight="0pt" color="#455F51" opacity="10485f" joinstyle="round"/>
                      <v:imagedata o:title=""/>
                      <o:lock v:ext="edit" aspectratio="f"/>
                    </v:shape>
                  </v:group>
                </v:group>
              </v:group>
            </w:pict>
          </mc:Fallback>
        </mc:AlternateContent>
      </w:r>
    </w:p>
    <w:p>
      <w:pPr>
        <w:widowControl/>
        <w:jc w:val="left"/>
        <w:rPr>
          <w:rFonts w:hint="eastAsia"/>
        </w:rPr>
      </w:pPr>
      <w:r>
        <mc:AlternateContent>
          <mc:Choice Requires="wps">
            <w:drawing>
              <wp:anchor distT="0" distB="0" distL="114300" distR="114300" simplePos="0" relativeHeight="251661312" behindDoc="0" locked="0" layoutInCell="1" allowOverlap="1">
                <wp:simplePos x="0" y="0"/>
                <wp:positionH relativeFrom="page">
                  <wp:posOffset>2900680</wp:posOffset>
                </wp:positionH>
                <wp:positionV relativeFrom="page">
                  <wp:posOffset>1778000</wp:posOffset>
                </wp:positionV>
                <wp:extent cx="4649470" cy="2654300"/>
                <wp:effectExtent l="0" t="0" r="3175" b="0"/>
                <wp:wrapNone/>
                <wp:docPr id="11" name="文本框 46"/>
                <wp:cNvGraphicFramePr/>
                <a:graphic xmlns:a="http://schemas.openxmlformats.org/drawingml/2006/main">
                  <a:graphicData uri="http://schemas.microsoft.com/office/word/2010/wordprocessingShape">
                    <wps:wsp>
                      <wps:cNvSpPr>
                        <a:spLocks noChangeArrowheads="1"/>
                      </wps:cNvSpPr>
                      <wps:spPr bwMode="auto">
                        <a:xfrm>
                          <a:off x="0" y="0"/>
                          <a:ext cx="4649470" cy="2654300"/>
                        </a:xfrm>
                        <a:prstGeom prst="rect">
                          <a:avLst/>
                        </a:prstGeom>
                        <a:noFill/>
                        <a:ln>
                          <a:noFill/>
                        </a:ln>
                      </wps:spPr>
                      <wps:txbx>
                        <w:txbxContent>
                          <w:p>
                            <w:pPr>
                              <w:pStyle w:val="37"/>
                              <w:rPr>
                                <w:rFonts w:hint="eastAsia" w:ascii="黑体" w:hAnsi="黑体" w:eastAsia="黑体"/>
                                <w:color w:val="004B3B"/>
                                <w:sz w:val="72"/>
                              </w:rPr>
                            </w:pPr>
                            <w:r>
                              <w:rPr>
                                <w:rFonts w:hint="eastAsia" w:ascii="黑体" w:hAnsi="黑体" w:eastAsia="黑体"/>
                                <w:color w:val="004B3B"/>
                                <w:sz w:val="52"/>
                                <w:szCs w:val="52"/>
                              </w:rPr>
                              <w:t>四川长虹集团财务有限公司</w:t>
                            </w:r>
                          </w:p>
                          <w:p>
                            <w:pPr>
                              <w:spacing w:before="120"/>
                              <w:rPr>
                                <w:rFonts w:hint="eastAsia" w:ascii="黑体" w:hAnsi="黑体" w:eastAsia="黑体"/>
                                <w:color w:val="004B3B"/>
                                <w:sz w:val="48"/>
                                <w:szCs w:val="48"/>
                              </w:rPr>
                            </w:pPr>
                            <w:r>
                              <w:rPr>
                                <w:rFonts w:ascii="黑体" w:hAnsi="黑体" w:eastAsia="黑体"/>
                                <w:color w:val="004B3B"/>
                                <w:sz w:val="48"/>
                                <w:szCs w:val="48"/>
                              </w:rPr>
                              <w:t>202</w:t>
                            </w:r>
                            <w:r>
                              <w:rPr>
                                <w:rFonts w:hint="eastAsia" w:ascii="黑体" w:hAnsi="黑体" w:eastAsia="黑体"/>
                                <w:color w:val="004B3B"/>
                                <w:sz w:val="48"/>
                                <w:szCs w:val="48"/>
                              </w:rPr>
                              <w:t>3</w:t>
                            </w:r>
                            <w:r>
                              <w:rPr>
                                <w:rFonts w:ascii="黑体" w:hAnsi="黑体" w:eastAsia="黑体"/>
                                <w:color w:val="004B3B"/>
                                <w:sz w:val="48"/>
                                <w:szCs w:val="48"/>
                              </w:rPr>
                              <w:t>年度环境信息披露报告</w:t>
                            </w:r>
                          </w:p>
                        </w:txbxContent>
                      </wps:txbx>
                      <wps:bodyPr rot="0" vert="horz" wrap="square" lIns="0" tIns="0" rIns="0" bIns="0" anchor="t" anchorCtr="0" upright="1">
                        <a:noAutofit/>
                      </wps:bodyPr>
                    </wps:wsp>
                  </a:graphicData>
                </a:graphic>
              </wp:anchor>
            </w:drawing>
          </mc:Choice>
          <mc:Fallback>
            <w:pict>
              <v:rect id="文本框 46" o:spid="_x0000_s1026" o:spt="1" style="position:absolute;left:0pt;margin-left:228.4pt;margin-top:140pt;height:209pt;width:366.1pt;mso-position-horizontal-relative:page;mso-position-vertical-relative:page;z-index:251661312;mso-width-relative:page;mso-height-relative:page;" filled="f" stroked="f" coordsize="21600,21600" o:gfxdata="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EYGUtsAAAAMAQAADwAAAAAAAAABACAAAAAiAAAAZHJzL2Rvd25yZXYueG1sUEsBAhQA&#10;FAAAAAgAh07iQJ/H0yDvAQAAsAMAAA4AAAAAAAAAAQAgAAAAKgEAAGRycy9lMm9Eb2MueG1sUEsF&#10;BgAAAAAGAAYAWQEAAIsFAAAAAA==&#10;">
                <v:fill on="f" focussize="0,0"/>
                <v:stroke on="f"/>
                <v:imagedata o:title=""/>
                <o:lock v:ext="edit" aspectratio="f"/>
                <v:textbox inset="0mm,0mm,0mm,0mm">
                  <w:txbxContent>
                    <w:p>
                      <w:pPr>
                        <w:pStyle w:val="37"/>
                        <w:rPr>
                          <w:rFonts w:hint="eastAsia" w:ascii="黑体" w:hAnsi="黑体" w:eastAsia="黑体"/>
                          <w:color w:val="004B3B"/>
                          <w:sz w:val="72"/>
                        </w:rPr>
                      </w:pPr>
                      <w:r>
                        <w:rPr>
                          <w:rFonts w:hint="eastAsia" w:ascii="黑体" w:hAnsi="黑体" w:eastAsia="黑体"/>
                          <w:color w:val="004B3B"/>
                          <w:sz w:val="52"/>
                          <w:szCs w:val="52"/>
                        </w:rPr>
                        <w:t>四川长虹集团财务有限公司</w:t>
                      </w:r>
                    </w:p>
                    <w:p>
                      <w:pPr>
                        <w:spacing w:before="120"/>
                        <w:rPr>
                          <w:rFonts w:hint="eastAsia" w:ascii="黑体" w:hAnsi="黑体" w:eastAsia="黑体"/>
                          <w:color w:val="004B3B"/>
                          <w:sz w:val="48"/>
                          <w:szCs w:val="48"/>
                        </w:rPr>
                      </w:pPr>
                      <w:r>
                        <w:rPr>
                          <w:rFonts w:ascii="黑体" w:hAnsi="黑体" w:eastAsia="黑体"/>
                          <w:color w:val="004B3B"/>
                          <w:sz w:val="48"/>
                          <w:szCs w:val="48"/>
                        </w:rPr>
                        <w:t>202</w:t>
                      </w:r>
                      <w:r>
                        <w:rPr>
                          <w:rFonts w:hint="eastAsia" w:ascii="黑体" w:hAnsi="黑体" w:eastAsia="黑体"/>
                          <w:color w:val="004B3B"/>
                          <w:sz w:val="48"/>
                          <w:szCs w:val="48"/>
                        </w:rPr>
                        <w:t>3</w:t>
                      </w:r>
                      <w:r>
                        <w:rPr>
                          <w:rFonts w:ascii="黑体" w:hAnsi="黑体" w:eastAsia="黑体"/>
                          <w:color w:val="004B3B"/>
                          <w:sz w:val="48"/>
                          <w:szCs w:val="48"/>
                        </w:rPr>
                        <w:t>年度环境信息披露报告</w:t>
                      </w: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page">
                  <wp:posOffset>4305935</wp:posOffset>
                </wp:positionH>
                <wp:positionV relativeFrom="page">
                  <wp:posOffset>9408795</wp:posOffset>
                </wp:positionV>
                <wp:extent cx="3401695" cy="594360"/>
                <wp:effectExtent l="635" t="0" r="0" b="0"/>
                <wp:wrapNone/>
                <wp:docPr id="10" name="文本框 45"/>
                <wp:cNvGraphicFramePr/>
                <a:graphic xmlns:a="http://schemas.openxmlformats.org/drawingml/2006/main">
                  <a:graphicData uri="http://schemas.microsoft.com/office/word/2010/wordprocessingShape">
                    <wps:wsp>
                      <wps:cNvSpPr>
                        <a:spLocks noChangeArrowheads="1"/>
                      </wps:cNvSpPr>
                      <wps:spPr bwMode="auto">
                        <a:xfrm>
                          <a:off x="0" y="0"/>
                          <a:ext cx="3401695" cy="594360"/>
                        </a:xfrm>
                        <a:prstGeom prst="rect">
                          <a:avLst/>
                        </a:prstGeom>
                        <a:noFill/>
                        <a:ln>
                          <a:noFill/>
                        </a:ln>
                      </wps:spPr>
                      <wps:txbx>
                        <w:txbxContent>
                          <w:p>
                            <w:pPr>
                              <w:pStyle w:val="37"/>
                              <w:rPr>
                                <w:rFonts w:hint="eastAsia"/>
                                <w:color w:val="549E39"/>
                                <w:sz w:val="36"/>
                                <w:szCs w:val="36"/>
                              </w:rPr>
                            </w:pPr>
                            <w:r>
                              <w:rPr>
                                <w:rFonts w:ascii="黑体" w:hAnsi="黑体" w:eastAsia="黑体"/>
                                <w:color w:val="549E39"/>
                                <w:sz w:val="36"/>
                                <w:szCs w:val="36"/>
                              </w:rPr>
                              <w:t>202</w:t>
                            </w:r>
                            <w:r>
                              <w:rPr>
                                <w:rFonts w:hint="eastAsia" w:ascii="黑体" w:hAnsi="黑体" w:eastAsia="黑体"/>
                                <w:color w:val="549E39"/>
                                <w:sz w:val="36"/>
                                <w:szCs w:val="36"/>
                              </w:rPr>
                              <w:t>4年6月</w:t>
                            </w:r>
                          </w:p>
                          <w:p>
                            <w:pPr>
                              <w:pStyle w:val="37"/>
                              <w:rPr>
                                <w:rFonts w:hint="eastAsia"/>
                                <w:color w:val="565656"/>
                                <w:sz w:val="20"/>
                                <w:szCs w:val="20"/>
                              </w:rPr>
                            </w:pPr>
                            <w:r>
                              <w:rPr>
                                <w:caps/>
                                <w:color w:val="565656"/>
                                <w:sz w:val="20"/>
                                <w:szCs w:val="20"/>
                              </w:rPr>
                              <w:t xml:space="preserve">     </w:t>
                            </w:r>
                          </w:p>
                        </w:txbxContent>
                      </wps:txbx>
                      <wps:bodyPr rot="0" vert="horz" wrap="square" lIns="0" tIns="0" rIns="0" bIns="0" anchor="t" anchorCtr="0" upright="1">
                        <a:spAutoFit/>
                      </wps:bodyPr>
                    </wps:wsp>
                  </a:graphicData>
                </a:graphic>
              </wp:anchor>
            </w:drawing>
          </mc:Choice>
          <mc:Fallback>
            <w:pict>
              <v:rect id="文本框 45" o:spid="_x0000_s1026" o:spt="1" style="position:absolute;left:0pt;margin-left:339.05pt;margin-top:740.85pt;height:46.8pt;width:267.85pt;mso-position-horizontal-relative:page;mso-position-vertical-relative:page;z-index:251662336;mso-width-relative:page;mso-height-relative:page;" filled="f" stroked="f" coordsize="21600,21600" o:gfxdata="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kL5QjcAAAADgEAAA8AAAAAAAAAAQAgAAAAIgAAAGRycy9kb3ducmV2LnhtbFBLAQIU&#10;ABQAAAAIAIdO4kB17uFI7wEAAK8DAAAOAAAAAAAAAAEAIAAAACsBAABkcnMvZTJvRG9jLnhtbFBL&#10;BQYAAAAABgAGAFkBAACMBQAAAAA=&#10;">
                <v:fill on="f" focussize="0,0"/>
                <v:stroke on="f"/>
                <v:imagedata o:title=""/>
                <o:lock v:ext="edit" aspectratio="f"/>
                <v:textbox inset="0mm,0mm,0mm,0mm" style="mso-fit-shape-to-text:t;">
                  <w:txbxContent>
                    <w:p>
                      <w:pPr>
                        <w:pStyle w:val="37"/>
                        <w:rPr>
                          <w:rFonts w:hint="eastAsia"/>
                          <w:color w:val="549E39"/>
                          <w:sz w:val="36"/>
                          <w:szCs w:val="36"/>
                        </w:rPr>
                      </w:pPr>
                      <w:r>
                        <w:rPr>
                          <w:rFonts w:ascii="黑体" w:hAnsi="黑体" w:eastAsia="黑体"/>
                          <w:color w:val="549E39"/>
                          <w:sz w:val="36"/>
                          <w:szCs w:val="36"/>
                        </w:rPr>
                        <w:t>202</w:t>
                      </w:r>
                      <w:r>
                        <w:rPr>
                          <w:rFonts w:hint="eastAsia" w:ascii="黑体" w:hAnsi="黑体" w:eastAsia="黑体"/>
                          <w:color w:val="549E39"/>
                          <w:sz w:val="36"/>
                          <w:szCs w:val="36"/>
                        </w:rPr>
                        <w:t>4年6月</w:t>
                      </w:r>
                    </w:p>
                    <w:p>
                      <w:pPr>
                        <w:pStyle w:val="37"/>
                        <w:rPr>
                          <w:rFonts w:hint="eastAsia"/>
                          <w:color w:val="565656"/>
                          <w:sz w:val="20"/>
                          <w:szCs w:val="20"/>
                        </w:rPr>
                      </w:pPr>
                      <w:r>
                        <w:rPr>
                          <w:caps/>
                          <w:color w:val="565656"/>
                          <w:sz w:val="20"/>
                          <w:szCs w:val="20"/>
                        </w:rPr>
                        <w:t xml:space="preserve">     </w:t>
                      </w:r>
                    </w:p>
                  </w:txbxContent>
                </v:textbox>
              </v:rect>
            </w:pict>
          </mc:Fallback>
        </mc:AlternateContent>
      </w:r>
      <w:r>
        <w:br w:type="page"/>
      </w:r>
    </w:p>
    <w:p>
      <w:pPr>
        <w:spacing w:line="360" w:lineRule="auto"/>
        <w:jc w:val="center"/>
        <w:rPr>
          <w:rFonts w:hint="eastAsia" w:ascii="宋体" w:hAnsi="宋体" w:eastAsia="宋体"/>
          <w:b/>
          <w:bCs/>
          <w:sz w:val="30"/>
          <w:szCs w:val="30"/>
        </w:rPr>
      </w:pPr>
      <w:r>
        <w:rPr>
          <w:rFonts w:hint="eastAsia" w:ascii="宋体" w:hAnsi="宋体" w:eastAsia="宋体"/>
          <w:b/>
          <w:bCs/>
          <w:sz w:val="30"/>
          <w:szCs w:val="30"/>
        </w:rPr>
        <w:t>关于本报告</w:t>
      </w:r>
    </w:p>
    <w:p>
      <w:pPr>
        <w:spacing w:line="360" w:lineRule="auto"/>
        <w:jc w:val="left"/>
        <w:rPr>
          <w:rFonts w:hint="eastAsia" w:ascii="宋体" w:hAnsi="宋体" w:eastAsia="宋体"/>
          <w:b/>
          <w:bCs/>
          <w:sz w:val="30"/>
          <w:szCs w:val="30"/>
        </w:rPr>
      </w:pPr>
    </w:p>
    <w:p>
      <w:pPr>
        <w:spacing w:line="360" w:lineRule="auto"/>
        <w:jc w:val="left"/>
        <w:rPr>
          <w:rFonts w:hint="eastAsia" w:ascii="宋体" w:hAnsi="宋体" w:eastAsia="宋体"/>
          <w:b/>
          <w:bCs/>
          <w:sz w:val="24"/>
          <w:szCs w:val="24"/>
        </w:rPr>
        <w:sectPr>
          <w:headerReference r:id="rId3" w:type="default"/>
          <w:footerReference r:id="rId4" w:type="default"/>
          <w:pgSz w:w="11906" w:h="16838"/>
          <w:pgMar w:top="1440" w:right="1800" w:bottom="1440" w:left="1800" w:header="851" w:footer="992" w:gutter="0"/>
          <w:pgNumType w:start="0"/>
          <w:cols w:space="720" w:num="1"/>
          <w:titlePg/>
          <w:docGrid w:type="lines" w:linePitch="312" w:charSpace="0"/>
        </w:sectPr>
      </w:pPr>
    </w:p>
    <w:p>
      <w:pPr>
        <w:spacing w:line="360" w:lineRule="auto"/>
        <w:rPr>
          <w:rFonts w:hint="eastAsia" w:ascii="宋体" w:hAnsi="宋体" w:eastAsia="宋体"/>
          <w:b/>
          <w:bCs/>
          <w:sz w:val="24"/>
          <w:szCs w:val="24"/>
        </w:rPr>
      </w:pPr>
      <w:r>
        <w:rPr>
          <w:rFonts w:hint="eastAsia" w:ascii="宋体" w:hAnsi="宋体" w:eastAsia="宋体"/>
          <w:b/>
          <w:bCs/>
          <w:sz w:val="24"/>
          <w:szCs w:val="24"/>
        </w:rPr>
        <w:t>报告时间</w:t>
      </w:r>
    </w:p>
    <w:p>
      <w:pPr>
        <w:spacing w:line="360" w:lineRule="auto"/>
        <w:rPr>
          <w:rFonts w:hint="eastAsia" w:ascii="宋体" w:hAnsi="宋体" w:eastAsia="宋体"/>
          <w:b/>
          <w:bCs/>
          <w:szCs w:val="21"/>
        </w:rPr>
      </w:pPr>
      <w:r>
        <w:rPr>
          <w:rFonts w:hint="eastAsia" w:ascii="宋体" w:hAnsi="宋体" w:eastAsia="宋体"/>
          <w:color w:val="252525"/>
          <w:szCs w:val="21"/>
        </w:rPr>
        <w:t>2023</w:t>
      </w:r>
      <w:r>
        <w:rPr>
          <w:rFonts w:ascii="宋体" w:hAnsi="宋体" w:eastAsia="宋体"/>
          <w:color w:val="252525"/>
          <w:szCs w:val="21"/>
        </w:rPr>
        <w:t>年</w:t>
      </w:r>
      <w:r>
        <w:rPr>
          <w:rFonts w:hint="eastAsia" w:ascii="宋体" w:hAnsi="宋体" w:eastAsia="宋体"/>
          <w:color w:val="252525"/>
          <w:szCs w:val="21"/>
        </w:rPr>
        <w:t>1</w:t>
      </w:r>
      <w:r>
        <w:rPr>
          <w:rFonts w:ascii="宋体" w:hAnsi="宋体" w:eastAsia="宋体"/>
          <w:color w:val="252525"/>
          <w:szCs w:val="21"/>
        </w:rPr>
        <w:t>月至</w:t>
      </w:r>
      <w:r>
        <w:rPr>
          <w:rFonts w:hint="eastAsia" w:ascii="宋体" w:hAnsi="宋体" w:eastAsia="宋体"/>
          <w:color w:val="252525"/>
          <w:szCs w:val="21"/>
        </w:rPr>
        <w:t>2023</w:t>
      </w:r>
      <w:r>
        <w:rPr>
          <w:rFonts w:ascii="宋体" w:hAnsi="宋体" w:eastAsia="宋体"/>
          <w:color w:val="252525"/>
          <w:szCs w:val="21"/>
        </w:rPr>
        <w:t>年12月</w:t>
      </w:r>
      <w:r>
        <w:rPr>
          <w:rFonts w:hint="eastAsia" w:ascii="宋体" w:hAnsi="宋体" w:eastAsia="宋体"/>
          <w:color w:val="252525"/>
          <w:szCs w:val="21"/>
        </w:rPr>
        <w:t>。</w:t>
      </w:r>
    </w:p>
    <w:p>
      <w:pPr>
        <w:spacing w:line="360" w:lineRule="auto"/>
        <w:rPr>
          <w:rFonts w:hint="eastAsia" w:ascii="宋体" w:hAnsi="宋体" w:eastAsia="宋体"/>
          <w:b/>
          <w:bCs/>
          <w:sz w:val="24"/>
          <w:szCs w:val="24"/>
        </w:rPr>
      </w:pPr>
      <w:r>
        <w:rPr>
          <w:rFonts w:hint="eastAsia" w:ascii="宋体" w:hAnsi="宋体" w:eastAsia="宋体"/>
          <w:b/>
          <w:bCs/>
          <w:sz w:val="24"/>
          <w:szCs w:val="24"/>
        </w:rPr>
        <w:t>报告周期</w:t>
      </w:r>
    </w:p>
    <w:p>
      <w:pPr>
        <w:spacing w:line="360" w:lineRule="auto"/>
        <w:rPr>
          <w:rFonts w:hint="eastAsia" w:ascii="宋体" w:hAnsi="宋体" w:eastAsia="宋体"/>
          <w:color w:val="252525"/>
          <w:szCs w:val="21"/>
        </w:rPr>
      </w:pPr>
      <w:r>
        <w:rPr>
          <w:rFonts w:hint="eastAsia" w:ascii="宋体" w:hAnsi="宋体" w:eastAsia="宋体"/>
          <w:color w:val="252525"/>
          <w:szCs w:val="21"/>
        </w:rPr>
        <w:t>2023年度报告。</w:t>
      </w:r>
    </w:p>
    <w:p>
      <w:pPr>
        <w:spacing w:line="360" w:lineRule="auto"/>
        <w:rPr>
          <w:rFonts w:hint="eastAsia" w:ascii="宋体" w:hAnsi="宋体" w:eastAsia="宋体"/>
          <w:b/>
          <w:bCs/>
          <w:sz w:val="24"/>
          <w:szCs w:val="24"/>
        </w:rPr>
      </w:pPr>
      <w:r>
        <w:rPr>
          <w:rFonts w:hint="eastAsia" w:ascii="宋体" w:hAnsi="宋体" w:eastAsia="宋体"/>
          <w:b/>
          <w:bCs/>
          <w:sz w:val="24"/>
          <w:szCs w:val="24"/>
        </w:rPr>
        <w:t>报告范围</w:t>
      </w:r>
    </w:p>
    <w:p>
      <w:pPr>
        <w:spacing w:line="360" w:lineRule="auto"/>
        <w:rPr>
          <w:rFonts w:hint="eastAsia" w:ascii="宋体" w:hAnsi="宋体" w:eastAsia="宋体"/>
          <w:color w:val="252525"/>
          <w:szCs w:val="21"/>
        </w:rPr>
      </w:pPr>
      <w:r>
        <w:rPr>
          <w:rFonts w:hint="eastAsia" w:ascii="宋体" w:hAnsi="宋体" w:eastAsia="宋体"/>
          <w:color w:val="252525"/>
          <w:szCs w:val="21"/>
        </w:rPr>
        <w:t>除特别说明外，本报告披露范围为四川长虹集团财务有限公司本部。</w:t>
      </w:r>
    </w:p>
    <w:p>
      <w:pPr>
        <w:spacing w:line="360" w:lineRule="auto"/>
        <w:rPr>
          <w:rFonts w:hint="eastAsia" w:ascii="宋体" w:hAnsi="宋体" w:eastAsia="宋体"/>
          <w:b/>
          <w:bCs/>
          <w:sz w:val="24"/>
          <w:szCs w:val="24"/>
        </w:rPr>
      </w:pPr>
      <w:r>
        <w:rPr>
          <w:rFonts w:hint="eastAsia" w:ascii="宋体" w:hAnsi="宋体" w:eastAsia="宋体"/>
          <w:b/>
          <w:bCs/>
          <w:sz w:val="24"/>
          <w:szCs w:val="24"/>
        </w:rPr>
        <w:t>数据说明</w:t>
      </w:r>
    </w:p>
    <w:p>
      <w:pPr>
        <w:spacing w:line="360" w:lineRule="auto"/>
        <w:rPr>
          <w:rFonts w:hint="eastAsia" w:ascii="宋体" w:hAnsi="宋体" w:eastAsia="宋体"/>
          <w:color w:val="252525"/>
          <w:szCs w:val="21"/>
        </w:rPr>
      </w:pPr>
      <w:r>
        <w:rPr>
          <w:rFonts w:hint="eastAsia" w:ascii="宋体" w:hAnsi="宋体" w:eastAsia="宋体"/>
          <w:color w:val="252525"/>
          <w:szCs w:val="21"/>
        </w:rPr>
        <w:t>本报告中的财务数据以2023</w:t>
      </w:r>
      <w:r>
        <w:rPr>
          <w:rFonts w:ascii="宋体" w:hAnsi="宋体" w:eastAsia="宋体"/>
          <w:color w:val="252525"/>
          <w:szCs w:val="21"/>
        </w:rPr>
        <w:t>年</w:t>
      </w:r>
      <w:r>
        <w:rPr>
          <w:rFonts w:hint="eastAsia" w:ascii="宋体" w:hAnsi="宋体" w:eastAsia="宋体"/>
          <w:color w:val="252525"/>
          <w:szCs w:val="21"/>
        </w:rPr>
        <w:t>1</w:t>
      </w:r>
      <w:r>
        <w:rPr>
          <w:rFonts w:ascii="宋体" w:hAnsi="宋体" w:eastAsia="宋体"/>
          <w:color w:val="252525"/>
          <w:szCs w:val="21"/>
        </w:rPr>
        <w:t>月至</w:t>
      </w:r>
      <w:r>
        <w:rPr>
          <w:rFonts w:hint="eastAsia" w:ascii="宋体" w:hAnsi="宋体" w:eastAsia="宋体"/>
          <w:color w:val="252525"/>
          <w:szCs w:val="21"/>
        </w:rPr>
        <w:t>2023</w:t>
      </w:r>
      <w:r>
        <w:rPr>
          <w:rFonts w:ascii="宋体" w:hAnsi="宋体" w:eastAsia="宋体"/>
          <w:color w:val="252525"/>
          <w:szCs w:val="21"/>
        </w:rPr>
        <w:t>年12月期间内的数据为主，部分包括以前年度数据</w:t>
      </w:r>
      <w:r>
        <w:rPr>
          <w:rFonts w:hint="eastAsia" w:ascii="宋体" w:hAnsi="宋体" w:eastAsia="宋体"/>
          <w:color w:val="252525"/>
          <w:szCs w:val="21"/>
        </w:rPr>
        <w:t>。数据</w:t>
      </w:r>
      <w:r>
        <w:rPr>
          <w:rFonts w:ascii="宋体" w:hAnsi="宋体" w:eastAsia="宋体"/>
          <w:color w:val="252525"/>
          <w:szCs w:val="21"/>
        </w:rPr>
        <w:t>主要</w:t>
      </w:r>
      <w:r>
        <w:rPr>
          <w:rFonts w:hint="eastAsia" w:ascii="宋体" w:hAnsi="宋体" w:eastAsia="宋体"/>
          <w:color w:val="252525"/>
          <w:szCs w:val="21"/>
        </w:rPr>
        <w:t>来源于四川长虹集团财务有限公司</w:t>
      </w:r>
      <w:r>
        <w:rPr>
          <w:rFonts w:ascii="宋体" w:hAnsi="宋体" w:eastAsia="宋体"/>
          <w:color w:val="252525"/>
          <w:szCs w:val="21"/>
        </w:rPr>
        <w:t>内部文件和相关统计资料，可能会有部分数据因统计口径因素（如合并报表口径和银行报表口径）与年报数据有差异，以年报数据为准。</w:t>
      </w:r>
      <w:r>
        <w:rPr>
          <w:rFonts w:hint="eastAsia" w:ascii="宋体" w:hAnsi="宋体" w:eastAsia="宋体"/>
          <w:color w:val="252525"/>
          <w:szCs w:val="21"/>
        </w:rPr>
        <w:t>本报告中“绿色信贷”如无特别说明，均指“满足人民银行印发的《绿色贷款专项统计制度》的绿色信贷”。</w:t>
      </w:r>
    </w:p>
    <w:p>
      <w:pPr>
        <w:spacing w:line="360" w:lineRule="auto"/>
        <w:rPr>
          <w:rFonts w:hint="eastAsia" w:ascii="宋体" w:hAnsi="宋体" w:eastAsia="宋体"/>
          <w:b/>
          <w:bCs/>
          <w:sz w:val="24"/>
          <w:szCs w:val="24"/>
        </w:rPr>
      </w:pPr>
      <w:r>
        <w:rPr>
          <w:rFonts w:hint="eastAsia" w:ascii="宋体" w:hAnsi="宋体" w:eastAsia="宋体"/>
          <w:b/>
          <w:bCs/>
          <w:sz w:val="24"/>
          <w:szCs w:val="24"/>
        </w:rPr>
        <w:t>编制依据</w:t>
      </w:r>
    </w:p>
    <w:p>
      <w:pPr>
        <w:spacing w:line="360" w:lineRule="auto"/>
        <w:rPr>
          <w:rFonts w:hint="eastAsia" w:ascii="宋体" w:hAnsi="宋体" w:eastAsia="宋体"/>
          <w:color w:val="252525"/>
          <w:szCs w:val="21"/>
        </w:rPr>
      </w:pPr>
      <w:r>
        <w:rPr>
          <w:rFonts w:hint="eastAsia" w:ascii="宋体" w:hAnsi="宋体" w:eastAsia="宋体"/>
          <w:color w:val="252525"/>
          <w:szCs w:val="21"/>
        </w:rPr>
        <w:t>本报告根据中华人民共和国金融行业标准《金融机构环境信息披露指南》（JR</w:t>
      </w:r>
      <w:r>
        <w:rPr>
          <w:rFonts w:ascii="宋体" w:hAnsi="宋体" w:eastAsia="宋体"/>
          <w:color w:val="252525"/>
          <w:szCs w:val="21"/>
        </w:rPr>
        <w:t>/T 0227</w:t>
      </w:r>
      <w:r>
        <w:rPr>
          <w:rFonts w:hint="eastAsia" w:ascii="宋体" w:hAnsi="宋体" w:eastAsia="宋体"/>
          <w:color w:val="252525"/>
          <w:szCs w:val="21"/>
        </w:rPr>
        <w:t>-</w:t>
      </w:r>
      <w:r>
        <w:rPr>
          <w:rFonts w:ascii="宋体" w:hAnsi="宋体" w:eastAsia="宋体"/>
          <w:color w:val="252525"/>
          <w:szCs w:val="21"/>
        </w:rPr>
        <w:t>2021</w:t>
      </w:r>
      <w:r>
        <w:rPr>
          <w:rFonts w:hint="eastAsia" w:ascii="宋体" w:hAnsi="宋体" w:eastAsia="宋体"/>
          <w:color w:val="252525"/>
          <w:szCs w:val="21"/>
        </w:rPr>
        <w:t>）的披露要求进行编制，并参考《气候相关财务信息披露工作组（</w:t>
      </w:r>
      <w:r>
        <w:rPr>
          <w:rFonts w:ascii="宋体" w:hAnsi="宋体" w:eastAsia="宋体"/>
          <w:color w:val="252525"/>
          <w:szCs w:val="21"/>
        </w:rPr>
        <w:t>TCFD）建议报告》</w:t>
      </w:r>
      <w:r>
        <w:rPr>
          <w:rFonts w:hint="eastAsia" w:ascii="宋体" w:hAnsi="宋体" w:eastAsia="宋体"/>
          <w:color w:val="252525"/>
          <w:szCs w:val="21"/>
        </w:rPr>
        <w:t>、</w:t>
      </w:r>
      <w:r>
        <w:rPr>
          <w:rFonts w:ascii="宋体" w:hAnsi="宋体" w:eastAsia="宋体"/>
          <w:color w:val="252525"/>
          <w:szCs w:val="21"/>
        </w:rPr>
        <w:t>《银行业金融机构环境信息披露操作手册》</w:t>
      </w:r>
      <w:r>
        <w:rPr>
          <w:rFonts w:hint="eastAsia" w:ascii="宋体" w:hAnsi="宋体" w:eastAsia="宋体"/>
          <w:color w:val="252525"/>
          <w:szCs w:val="21"/>
        </w:rPr>
        <w:t>、《金融机构碳核算技术指南（试行）》</w:t>
      </w:r>
      <w:r>
        <w:rPr>
          <w:rFonts w:ascii="宋体" w:hAnsi="宋体" w:eastAsia="宋体"/>
          <w:color w:val="252525"/>
          <w:szCs w:val="21"/>
        </w:rPr>
        <w:t>相关披露要求及建议进行披露。</w:t>
      </w:r>
    </w:p>
    <w:p>
      <w:pPr>
        <w:spacing w:line="360" w:lineRule="auto"/>
        <w:rPr>
          <w:rFonts w:hint="eastAsia" w:ascii="宋体" w:hAnsi="宋体" w:eastAsia="宋体"/>
          <w:b/>
          <w:bCs/>
          <w:sz w:val="24"/>
          <w:szCs w:val="24"/>
        </w:rPr>
      </w:pPr>
      <w:r>
        <w:rPr>
          <w:rFonts w:hint="eastAsia" w:ascii="宋体" w:hAnsi="宋体" w:eastAsia="宋体"/>
          <w:b/>
          <w:bCs/>
          <w:sz w:val="24"/>
          <w:szCs w:val="24"/>
        </w:rPr>
        <w:t>披露原则</w:t>
      </w:r>
    </w:p>
    <w:p>
      <w:pPr>
        <w:spacing w:line="360" w:lineRule="auto"/>
        <w:rPr>
          <w:rFonts w:hint="eastAsia" w:ascii="宋体" w:hAnsi="宋体" w:eastAsia="宋体"/>
          <w:b/>
          <w:bCs/>
          <w:sz w:val="24"/>
          <w:szCs w:val="24"/>
        </w:rPr>
      </w:pPr>
      <w:r>
        <w:rPr>
          <w:rFonts w:hint="eastAsia" w:ascii="宋体" w:hAnsi="宋体" w:eastAsia="宋体"/>
          <w:color w:val="252525"/>
          <w:szCs w:val="21"/>
        </w:rPr>
        <w:t>真实、及时、一致、连贯。</w:t>
      </w:r>
    </w:p>
    <w:p>
      <w:pPr>
        <w:spacing w:line="360" w:lineRule="auto"/>
        <w:rPr>
          <w:rFonts w:hint="eastAsia" w:ascii="宋体" w:hAnsi="宋体" w:eastAsia="宋体"/>
          <w:b/>
          <w:bCs/>
          <w:sz w:val="24"/>
          <w:szCs w:val="24"/>
        </w:rPr>
      </w:pPr>
      <w:r>
        <w:rPr>
          <w:rFonts w:hint="eastAsia" w:ascii="宋体" w:hAnsi="宋体" w:eastAsia="宋体"/>
          <w:b/>
          <w:bCs/>
          <w:sz w:val="24"/>
          <w:szCs w:val="24"/>
        </w:rPr>
        <w:t>指代说明</w:t>
      </w:r>
    </w:p>
    <w:p>
      <w:pPr>
        <w:spacing w:line="360" w:lineRule="auto"/>
        <w:rPr>
          <w:rFonts w:hint="eastAsia" w:ascii="宋体" w:hAnsi="宋体" w:eastAsia="宋体"/>
          <w:color w:val="252525"/>
          <w:szCs w:val="21"/>
        </w:rPr>
      </w:pPr>
      <w:r>
        <w:rPr>
          <w:rFonts w:hint="eastAsia" w:ascii="宋体" w:hAnsi="宋体" w:eastAsia="宋体"/>
          <w:color w:val="252525"/>
          <w:szCs w:val="21"/>
        </w:rPr>
        <w:t>本报告中“长虹财务公司”、“财务公司”、“本公司”、“我们”均指“四川长虹集团财务有限公司”。</w:t>
      </w:r>
    </w:p>
    <w:p>
      <w:pPr>
        <w:spacing w:line="360" w:lineRule="auto"/>
        <w:rPr>
          <w:rFonts w:hint="eastAsia" w:ascii="宋体" w:hAnsi="宋体" w:eastAsia="宋体"/>
          <w:b/>
          <w:bCs/>
          <w:sz w:val="24"/>
          <w:szCs w:val="24"/>
        </w:rPr>
      </w:pPr>
      <w:r>
        <w:rPr>
          <w:rFonts w:hint="eastAsia" w:ascii="宋体" w:hAnsi="宋体" w:eastAsia="宋体"/>
          <w:b/>
          <w:bCs/>
          <w:sz w:val="24"/>
          <w:szCs w:val="24"/>
        </w:rPr>
        <w:t>报告发布形式</w:t>
      </w:r>
    </w:p>
    <w:p>
      <w:pPr>
        <w:spacing w:line="360" w:lineRule="auto"/>
        <w:rPr>
          <w:rFonts w:hint="eastAsia" w:ascii="宋体" w:hAnsi="宋体" w:eastAsia="宋体"/>
          <w:color w:val="252525"/>
          <w:szCs w:val="21"/>
        </w:rPr>
      </w:pPr>
      <w:r>
        <w:rPr>
          <w:rFonts w:hint="eastAsia" w:ascii="宋体" w:hAnsi="宋体" w:eastAsia="宋体"/>
          <w:color w:val="252525"/>
          <w:szCs w:val="21"/>
        </w:rPr>
        <w:t>本报告以电子版和印刷版发布。</w:t>
      </w:r>
    </w:p>
    <w:p>
      <w:pPr>
        <w:spacing w:line="360" w:lineRule="auto"/>
        <w:rPr>
          <w:rFonts w:hint="eastAsia" w:ascii="宋体" w:hAnsi="宋体" w:eastAsia="宋体"/>
          <w:b/>
          <w:bCs/>
          <w:sz w:val="24"/>
          <w:szCs w:val="24"/>
        </w:rPr>
      </w:pPr>
      <w:r>
        <w:rPr>
          <w:rFonts w:hint="eastAsia" w:ascii="宋体" w:hAnsi="宋体" w:eastAsia="宋体"/>
          <w:b/>
          <w:bCs/>
          <w:sz w:val="24"/>
          <w:szCs w:val="24"/>
        </w:rPr>
        <w:t>联系方式</w:t>
      </w:r>
    </w:p>
    <w:p>
      <w:pPr>
        <w:spacing w:line="360" w:lineRule="auto"/>
        <w:rPr>
          <w:rFonts w:hint="eastAsia" w:ascii="宋体" w:hAnsi="宋体" w:eastAsia="宋体"/>
          <w:color w:val="252525"/>
          <w:szCs w:val="21"/>
        </w:rPr>
      </w:pPr>
      <w:r>
        <w:rPr>
          <w:rFonts w:hint="eastAsia" w:ascii="宋体" w:hAnsi="宋体" w:eastAsia="宋体"/>
          <w:color w:val="252525"/>
          <w:szCs w:val="21"/>
        </w:rPr>
        <w:t>四川长虹集团财务有限公司</w:t>
      </w:r>
    </w:p>
    <w:p>
      <w:pPr>
        <w:spacing w:line="360" w:lineRule="auto"/>
        <w:rPr>
          <w:rFonts w:hint="eastAsia" w:ascii="宋体" w:hAnsi="宋体" w:eastAsia="宋体"/>
          <w:color w:val="252525"/>
          <w:szCs w:val="21"/>
        </w:rPr>
      </w:pPr>
      <w:r>
        <w:rPr>
          <w:rFonts w:hint="eastAsia" w:ascii="宋体" w:hAnsi="宋体" w:eastAsia="宋体"/>
          <w:color w:val="252525"/>
          <w:szCs w:val="21"/>
        </w:rPr>
        <w:t>地址：</w:t>
      </w:r>
      <w:r>
        <w:rPr>
          <w:rFonts w:ascii="宋体" w:hAnsi="宋体" w:eastAsia="宋体"/>
          <w:color w:val="252525"/>
          <w:szCs w:val="21"/>
        </w:rPr>
        <w:t>绵阳高新区绵兴东路35号</w:t>
      </w:r>
    </w:p>
    <w:p>
      <w:pPr>
        <w:spacing w:line="360" w:lineRule="auto"/>
        <w:rPr>
          <w:rFonts w:hint="eastAsia" w:ascii="宋体" w:hAnsi="宋体" w:eastAsia="宋体"/>
          <w:color w:val="252525"/>
          <w:szCs w:val="21"/>
        </w:rPr>
      </w:pPr>
      <w:r>
        <w:rPr>
          <w:rFonts w:hint="eastAsia" w:ascii="宋体" w:hAnsi="宋体" w:eastAsia="宋体"/>
          <w:color w:val="252525"/>
          <w:szCs w:val="21"/>
        </w:rPr>
        <w:t>邮编：</w:t>
      </w:r>
      <w:r>
        <w:rPr>
          <w:rFonts w:ascii="宋体" w:hAnsi="宋体" w:eastAsia="宋体"/>
          <w:color w:val="252525"/>
          <w:szCs w:val="21"/>
        </w:rPr>
        <w:t>621000</w:t>
      </w:r>
    </w:p>
    <w:p>
      <w:pPr>
        <w:spacing w:line="360" w:lineRule="auto"/>
        <w:rPr>
          <w:rFonts w:hint="eastAsia" w:ascii="宋体" w:hAnsi="宋体" w:eastAsia="宋体"/>
          <w:color w:val="252525"/>
          <w:szCs w:val="21"/>
        </w:rPr>
      </w:pPr>
      <w:r>
        <w:rPr>
          <w:rFonts w:hint="eastAsia" w:ascii="宋体" w:hAnsi="宋体" w:eastAsia="宋体"/>
          <w:color w:val="252525"/>
          <w:szCs w:val="21"/>
        </w:rPr>
        <w:t>电话：</w:t>
      </w:r>
      <w:r>
        <w:rPr>
          <w:rFonts w:ascii="宋体" w:hAnsi="宋体" w:eastAsia="宋体"/>
          <w:color w:val="252525"/>
          <w:szCs w:val="21"/>
        </w:rPr>
        <w:t>0816-2416559</w:t>
      </w:r>
    </w:p>
    <w:p>
      <w:pPr>
        <w:spacing w:line="360" w:lineRule="auto"/>
        <w:rPr>
          <w:rFonts w:hint="eastAsia" w:ascii="宋体" w:hAnsi="宋体" w:eastAsia="宋体"/>
          <w:color w:val="252525"/>
          <w:szCs w:val="21"/>
        </w:rPr>
      </w:pPr>
    </w:p>
    <w:p>
      <w:pPr>
        <w:spacing w:line="360" w:lineRule="auto"/>
        <w:rPr>
          <w:rFonts w:hint="eastAsia" w:ascii="宋体" w:hAnsi="宋体" w:eastAsia="宋体"/>
          <w:color w:val="252525"/>
          <w:sz w:val="24"/>
          <w:szCs w:val="24"/>
        </w:rPr>
      </w:pPr>
    </w:p>
    <w:p>
      <w:pPr>
        <w:spacing w:line="360" w:lineRule="auto"/>
        <w:rPr>
          <w:rFonts w:hint="eastAsia" w:ascii="宋体" w:hAnsi="宋体" w:eastAsia="宋体"/>
          <w:color w:val="252525"/>
          <w:sz w:val="24"/>
          <w:szCs w:val="24"/>
        </w:rPr>
        <w:sectPr>
          <w:type w:val="continuous"/>
          <w:pgSz w:w="11906" w:h="16838"/>
          <w:pgMar w:top="1440" w:right="1800" w:bottom="1440" w:left="1800" w:header="851" w:footer="992" w:gutter="0"/>
          <w:cols w:space="746" w:num="2"/>
          <w:docGrid w:type="lines" w:linePitch="312" w:charSpace="0"/>
        </w:sectPr>
      </w:pPr>
    </w:p>
    <w:p>
      <w:pPr>
        <w:spacing w:line="360" w:lineRule="auto"/>
        <w:jc w:val="left"/>
        <w:rPr>
          <w:rFonts w:hint="eastAsia" w:ascii="宋体" w:hAnsi="宋体" w:eastAsia="宋体"/>
          <w:color w:val="252525"/>
          <w:sz w:val="24"/>
          <w:szCs w:val="24"/>
        </w:rPr>
      </w:pPr>
    </w:p>
    <w:p>
      <w:pPr>
        <w:spacing w:line="360" w:lineRule="auto"/>
        <w:jc w:val="left"/>
        <w:rPr>
          <w:rFonts w:hint="eastAsia" w:ascii="宋体" w:hAnsi="宋体" w:eastAsia="宋体"/>
          <w:color w:val="252525"/>
          <w:sz w:val="24"/>
          <w:szCs w:val="24"/>
        </w:rPr>
      </w:pPr>
    </w:p>
    <w:p>
      <w:pPr>
        <w:spacing w:line="360" w:lineRule="auto"/>
        <w:jc w:val="left"/>
        <w:rPr>
          <w:rFonts w:hint="eastAsia" w:ascii="宋体" w:hAnsi="宋体" w:eastAsia="宋体"/>
          <w:color w:val="252525"/>
          <w:sz w:val="24"/>
          <w:szCs w:val="24"/>
        </w:rPr>
        <w:sectPr>
          <w:type w:val="continuous"/>
          <w:pgSz w:w="11906" w:h="16838"/>
          <w:pgMar w:top="1440" w:right="1800" w:bottom="1440" w:left="1800" w:header="851" w:footer="992" w:gutter="0"/>
          <w:cols w:space="720" w:num="1"/>
          <w:docGrid w:type="lines" w:linePitch="312" w:charSpace="0"/>
        </w:sectPr>
      </w:pPr>
    </w:p>
    <w:p>
      <w:pPr>
        <w:pStyle w:val="35"/>
        <w:spacing w:before="100" w:line="260" w:lineRule="auto"/>
        <w:jc w:val="center"/>
        <w:rPr>
          <w:rFonts w:hint="eastAsia" w:ascii="宋体" w:hAnsi="宋体" w:eastAsia="宋体"/>
          <w:b/>
          <w:bCs/>
          <w:sz w:val="30"/>
          <w:szCs w:val="30"/>
          <w:lang w:val="zh-CN"/>
        </w:rPr>
      </w:pPr>
      <w:bookmarkStart w:id="0" w:name="_Toc19803"/>
      <w:r>
        <w:rPr>
          <w:rFonts w:ascii="宋体" w:hAnsi="宋体" w:eastAsia="宋体"/>
          <w:b/>
          <w:bCs/>
          <w:sz w:val="30"/>
          <w:szCs w:val="30"/>
          <w:lang w:val="zh-CN"/>
        </w:rPr>
        <w:t>目</w:t>
      </w:r>
      <w:r>
        <w:rPr>
          <w:rFonts w:hint="eastAsia" w:ascii="宋体" w:hAnsi="宋体" w:eastAsia="宋体"/>
          <w:b/>
          <w:bCs/>
          <w:sz w:val="30"/>
          <w:szCs w:val="30"/>
          <w:lang w:val="zh-CN"/>
        </w:rPr>
        <w:t xml:space="preserve"> </w:t>
      </w:r>
      <w:r>
        <w:rPr>
          <w:rFonts w:ascii="宋体" w:hAnsi="宋体" w:eastAsia="宋体"/>
          <w:b/>
          <w:bCs/>
          <w:sz w:val="30"/>
          <w:szCs w:val="30"/>
          <w:lang w:val="zh-CN"/>
        </w:rPr>
        <w:t>录</w:t>
      </w:r>
      <w:bookmarkEnd w:id="0"/>
    </w:p>
    <w:p>
      <w:pPr>
        <w:pStyle w:val="17"/>
        <w:tabs>
          <w:tab w:val="right" w:leader="dot" w:pos="8306"/>
        </w:tabs>
        <w:rPr>
          <w:rFonts w:hint="eastAsia" w:cs="黑体"/>
          <w:kern w:val="2"/>
        </w:rPr>
      </w:pPr>
      <w:r>
        <w:fldChar w:fldCharType="begin"/>
      </w:r>
      <w:r>
        <w:instrText xml:space="preserve"> TOC \o "1-2" \h \z \u </w:instrText>
      </w:r>
      <w:r>
        <w:fldChar w:fldCharType="separate"/>
      </w:r>
      <w:r>
        <w:fldChar w:fldCharType="begin"/>
      </w:r>
      <w:r>
        <w:instrText xml:space="preserve"> HYPERLINK \l "_Toc19803" </w:instrText>
      </w:r>
      <w:r>
        <w:fldChar w:fldCharType="separate"/>
      </w:r>
      <w:r>
        <w:fldChar w:fldCharType="end"/>
      </w:r>
    </w:p>
    <w:p>
      <w:pPr>
        <w:pStyle w:val="17"/>
        <w:tabs>
          <w:tab w:val="right" w:leader="dot" w:pos="8306"/>
        </w:tabs>
        <w:rPr>
          <w:rFonts w:hint="eastAsia" w:cs="黑体"/>
          <w:kern w:val="2"/>
        </w:rPr>
      </w:pPr>
      <w:r>
        <w:fldChar w:fldCharType="begin"/>
      </w:r>
      <w:r>
        <w:instrText xml:space="preserve"> HYPERLINK \l "_Toc20572" </w:instrText>
      </w:r>
      <w:r>
        <w:fldChar w:fldCharType="separate"/>
      </w:r>
      <w:r>
        <w:rPr>
          <w:rFonts w:ascii="宋体" w:hAnsi="宋体" w:eastAsia="宋体" w:cs="黑体"/>
          <w:bCs/>
          <w:kern w:val="2"/>
          <w:szCs w:val="30"/>
        </w:rPr>
        <w:t>1. 年度概况</w:t>
      </w:r>
      <w:r>
        <w:rPr>
          <w:rFonts w:cs="黑体"/>
          <w:kern w:val="2"/>
        </w:rPr>
        <w:tab/>
      </w:r>
      <w:r>
        <w:rPr>
          <w:rFonts w:cs="黑体"/>
          <w:kern w:val="2"/>
        </w:rPr>
        <w:fldChar w:fldCharType="begin"/>
      </w:r>
      <w:r>
        <w:rPr>
          <w:rFonts w:cs="黑体"/>
          <w:kern w:val="2"/>
        </w:rPr>
        <w:instrText xml:space="preserve"> PAGEREF _Toc20572 </w:instrText>
      </w:r>
      <w:r>
        <w:rPr>
          <w:rFonts w:cs="黑体"/>
          <w:kern w:val="2"/>
        </w:rPr>
        <w:fldChar w:fldCharType="separate"/>
      </w:r>
      <w:r>
        <w:rPr>
          <w:rFonts w:cs="黑体"/>
          <w:kern w:val="2"/>
        </w:rPr>
        <w:t>1</w:t>
      </w:r>
      <w:r>
        <w:rPr>
          <w:rFonts w:cs="黑体"/>
          <w:kern w:val="2"/>
        </w:rPr>
        <w:fldChar w:fldCharType="end"/>
      </w:r>
      <w:r>
        <w:rPr>
          <w:rFonts w:cs="黑体"/>
          <w:kern w:val="2"/>
        </w:rPr>
        <w:fldChar w:fldCharType="end"/>
      </w:r>
    </w:p>
    <w:p>
      <w:pPr>
        <w:pStyle w:val="19"/>
        <w:tabs>
          <w:tab w:val="right" w:leader="dot" w:pos="8306"/>
        </w:tabs>
        <w:rPr>
          <w:rFonts w:hint="eastAsia" w:cs="黑体"/>
          <w:kern w:val="2"/>
        </w:rPr>
      </w:pPr>
      <w:r>
        <w:fldChar w:fldCharType="begin"/>
      </w:r>
      <w:r>
        <w:instrText xml:space="preserve"> HYPERLINK \l "_Toc1385" </w:instrText>
      </w:r>
      <w:r>
        <w:fldChar w:fldCharType="separate"/>
      </w:r>
      <w:r>
        <w:rPr>
          <w:rFonts w:ascii="宋体" w:hAnsi="宋体" w:eastAsia="宋体" w:cs="黑体"/>
          <w:kern w:val="2"/>
          <w:szCs w:val="28"/>
        </w:rPr>
        <w:t>1.1 总体概况</w:t>
      </w:r>
      <w:r>
        <w:rPr>
          <w:rFonts w:cs="黑体"/>
          <w:kern w:val="2"/>
        </w:rPr>
        <w:tab/>
      </w:r>
      <w:r>
        <w:rPr>
          <w:rFonts w:cs="黑体"/>
          <w:kern w:val="2"/>
        </w:rPr>
        <w:fldChar w:fldCharType="begin"/>
      </w:r>
      <w:r>
        <w:rPr>
          <w:rFonts w:cs="黑体"/>
          <w:kern w:val="2"/>
        </w:rPr>
        <w:instrText xml:space="preserve"> PAGEREF _Toc1385 </w:instrText>
      </w:r>
      <w:r>
        <w:rPr>
          <w:rFonts w:cs="黑体"/>
          <w:kern w:val="2"/>
        </w:rPr>
        <w:fldChar w:fldCharType="separate"/>
      </w:r>
      <w:r>
        <w:rPr>
          <w:rFonts w:cs="黑体"/>
          <w:kern w:val="2"/>
        </w:rPr>
        <w:t>1</w:t>
      </w:r>
      <w:r>
        <w:rPr>
          <w:rFonts w:cs="黑体"/>
          <w:kern w:val="2"/>
        </w:rPr>
        <w:fldChar w:fldCharType="end"/>
      </w:r>
      <w:r>
        <w:rPr>
          <w:rFonts w:cs="黑体"/>
          <w:kern w:val="2"/>
        </w:rPr>
        <w:fldChar w:fldCharType="end"/>
      </w:r>
    </w:p>
    <w:p>
      <w:pPr>
        <w:pStyle w:val="19"/>
        <w:tabs>
          <w:tab w:val="right" w:leader="dot" w:pos="8306"/>
        </w:tabs>
        <w:rPr>
          <w:rFonts w:hint="eastAsia" w:cs="黑体"/>
          <w:kern w:val="2"/>
        </w:rPr>
      </w:pPr>
      <w:r>
        <w:fldChar w:fldCharType="begin"/>
      </w:r>
      <w:r>
        <w:instrText xml:space="preserve"> HYPERLINK \l "_Toc4932" </w:instrText>
      </w:r>
      <w:r>
        <w:fldChar w:fldCharType="separate"/>
      </w:r>
      <w:r>
        <w:rPr>
          <w:rFonts w:ascii="宋体" w:hAnsi="宋体" w:eastAsia="宋体" w:cs="黑体"/>
          <w:kern w:val="2"/>
          <w:szCs w:val="28"/>
        </w:rPr>
        <w:t>1.2 主要成效</w:t>
      </w:r>
      <w:r>
        <w:rPr>
          <w:rFonts w:cs="黑体"/>
          <w:kern w:val="2"/>
        </w:rPr>
        <w:tab/>
      </w:r>
      <w:r>
        <w:rPr>
          <w:rFonts w:cs="黑体"/>
          <w:kern w:val="2"/>
        </w:rPr>
        <w:fldChar w:fldCharType="begin"/>
      </w:r>
      <w:r>
        <w:rPr>
          <w:rFonts w:cs="黑体"/>
          <w:kern w:val="2"/>
        </w:rPr>
        <w:instrText xml:space="preserve"> PAGEREF _Toc4932 </w:instrText>
      </w:r>
      <w:r>
        <w:rPr>
          <w:rFonts w:cs="黑体"/>
          <w:kern w:val="2"/>
        </w:rPr>
        <w:fldChar w:fldCharType="separate"/>
      </w:r>
      <w:r>
        <w:rPr>
          <w:rFonts w:cs="黑体"/>
          <w:kern w:val="2"/>
        </w:rPr>
        <w:t>1</w:t>
      </w:r>
      <w:r>
        <w:rPr>
          <w:rFonts w:cs="黑体"/>
          <w:kern w:val="2"/>
        </w:rPr>
        <w:fldChar w:fldCharType="end"/>
      </w:r>
      <w:r>
        <w:rPr>
          <w:rFonts w:cs="黑体"/>
          <w:kern w:val="2"/>
        </w:rPr>
        <w:fldChar w:fldCharType="end"/>
      </w:r>
    </w:p>
    <w:p>
      <w:pPr>
        <w:pStyle w:val="19"/>
        <w:tabs>
          <w:tab w:val="right" w:leader="dot" w:pos="8306"/>
        </w:tabs>
        <w:spacing w:after="0" w:line="260" w:lineRule="auto"/>
        <w:ind w:left="221"/>
        <w:rPr>
          <w:rFonts w:hint="eastAsia" w:cs="黑体"/>
          <w:kern w:val="2"/>
        </w:rPr>
      </w:pPr>
      <w:r>
        <w:fldChar w:fldCharType="begin"/>
      </w:r>
      <w:r>
        <w:instrText xml:space="preserve"> HYPERLINK \l "_Toc27938" </w:instrText>
      </w:r>
      <w:r>
        <w:fldChar w:fldCharType="separate"/>
      </w:r>
      <w:r>
        <w:rPr>
          <w:rFonts w:ascii="宋体" w:hAnsi="宋体" w:eastAsia="宋体" w:cs="黑体"/>
          <w:kern w:val="2"/>
          <w:szCs w:val="28"/>
        </w:rPr>
        <w:t>1.3 战略规划</w:t>
      </w:r>
      <w:r>
        <w:rPr>
          <w:rFonts w:cs="黑体"/>
          <w:kern w:val="2"/>
        </w:rPr>
        <w:tab/>
      </w:r>
      <w:r>
        <w:rPr>
          <w:rFonts w:hint="eastAsia" w:cs="黑体"/>
          <w:kern w:val="2"/>
        </w:rPr>
        <w:t>7</w:t>
      </w:r>
      <w:r>
        <w:rPr>
          <w:rFonts w:hint="eastAsia" w:cs="黑体"/>
          <w:kern w:val="2"/>
        </w:rPr>
        <w:fldChar w:fldCharType="end"/>
      </w:r>
    </w:p>
    <w:p>
      <w:pPr>
        <w:pStyle w:val="17"/>
        <w:tabs>
          <w:tab w:val="right" w:leader="dot" w:pos="8306"/>
        </w:tabs>
        <w:rPr>
          <w:rFonts w:hint="eastAsia" w:cs="黑体"/>
          <w:kern w:val="2"/>
        </w:rPr>
      </w:pPr>
      <w:r>
        <w:fldChar w:fldCharType="begin"/>
      </w:r>
      <w:r>
        <w:instrText xml:space="preserve"> HYPERLINK \l "_Toc30182" </w:instrText>
      </w:r>
      <w:r>
        <w:fldChar w:fldCharType="separate"/>
      </w:r>
      <w:r>
        <w:rPr>
          <w:rFonts w:ascii="宋体" w:hAnsi="宋体" w:eastAsia="宋体" w:cs="黑体"/>
          <w:bCs/>
          <w:kern w:val="2"/>
          <w:szCs w:val="30"/>
        </w:rPr>
        <w:t>2. 环境相关治理结构</w:t>
      </w:r>
      <w:r>
        <w:rPr>
          <w:rFonts w:cs="黑体"/>
          <w:kern w:val="2"/>
        </w:rPr>
        <w:tab/>
      </w:r>
      <w:r>
        <w:rPr>
          <w:rFonts w:hint="eastAsia" w:cs="黑体"/>
          <w:kern w:val="2"/>
        </w:rPr>
        <w:t>8</w:t>
      </w:r>
      <w:r>
        <w:rPr>
          <w:rFonts w:hint="eastAsia" w:cs="黑体"/>
          <w:kern w:val="2"/>
        </w:rPr>
        <w:fldChar w:fldCharType="end"/>
      </w:r>
    </w:p>
    <w:p>
      <w:pPr>
        <w:pStyle w:val="17"/>
        <w:tabs>
          <w:tab w:val="right" w:leader="dot" w:pos="8306"/>
        </w:tabs>
        <w:rPr>
          <w:rFonts w:hint="eastAsia"/>
        </w:rPr>
      </w:pPr>
      <w:r>
        <w:fldChar w:fldCharType="begin"/>
      </w:r>
      <w:r>
        <w:instrText xml:space="preserve"> HYPERLINK \l "_Toc30318" </w:instrText>
      </w:r>
      <w:r>
        <w:fldChar w:fldCharType="separate"/>
      </w:r>
      <w:r>
        <w:rPr>
          <w:rFonts w:ascii="宋体" w:hAnsi="宋体" w:eastAsia="宋体" w:cs="黑体"/>
          <w:bCs/>
          <w:kern w:val="2"/>
          <w:szCs w:val="30"/>
        </w:rPr>
        <w:t>3. 环境相关政策制度</w:t>
      </w:r>
      <w:r>
        <w:tab/>
      </w:r>
      <w:r>
        <w:fldChar w:fldCharType="end"/>
      </w:r>
      <w:r>
        <w:rPr>
          <w:rFonts w:hint="eastAsia"/>
        </w:rPr>
        <w:t>9</w:t>
      </w:r>
    </w:p>
    <w:p>
      <w:pPr>
        <w:pStyle w:val="19"/>
        <w:tabs>
          <w:tab w:val="right" w:leader="dot" w:pos="8306"/>
        </w:tabs>
        <w:rPr>
          <w:rFonts w:hint="eastAsia" w:cs="黑体"/>
          <w:kern w:val="2"/>
        </w:rPr>
      </w:pPr>
      <w:r>
        <w:fldChar w:fldCharType="begin"/>
      </w:r>
      <w:r>
        <w:instrText xml:space="preserve"> HYPERLINK \l "_Toc1385" </w:instrText>
      </w:r>
      <w:r>
        <w:fldChar w:fldCharType="separate"/>
      </w:r>
      <w:r>
        <w:rPr>
          <w:rFonts w:hint="eastAsia" w:ascii="宋体" w:hAnsi="宋体" w:eastAsia="宋体" w:cs="黑体"/>
          <w:kern w:val="2"/>
          <w:szCs w:val="28"/>
        </w:rPr>
        <w:t>3</w:t>
      </w:r>
      <w:r>
        <w:rPr>
          <w:rFonts w:ascii="宋体" w:hAnsi="宋体" w:eastAsia="宋体" w:cs="黑体"/>
          <w:kern w:val="2"/>
          <w:szCs w:val="28"/>
        </w:rPr>
        <w:t>.1 内部政策制度</w:t>
      </w:r>
      <w:r>
        <w:rPr>
          <w:rFonts w:cs="黑体"/>
          <w:kern w:val="2"/>
        </w:rPr>
        <w:tab/>
      </w:r>
      <w:r>
        <w:rPr>
          <w:rFonts w:hint="eastAsia" w:cs="黑体"/>
          <w:kern w:val="2"/>
        </w:rPr>
        <w:t>9</w:t>
      </w:r>
      <w:r>
        <w:rPr>
          <w:rFonts w:hint="eastAsia" w:cs="黑体"/>
          <w:kern w:val="2"/>
        </w:rPr>
        <w:fldChar w:fldCharType="end"/>
      </w:r>
    </w:p>
    <w:p>
      <w:pPr>
        <w:pStyle w:val="19"/>
        <w:tabs>
          <w:tab w:val="right" w:leader="dot" w:pos="8306"/>
        </w:tabs>
        <w:rPr>
          <w:rFonts w:hint="eastAsia" w:cs="黑体"/>
          <w:kern w:val="2"/>
        </w:rPr>
      </w:pPr>
      <w:r>
        <w:fldChar w:fldCharType="begin"/>
      </w:r>
      <w:r>
        <w:instrText xml:space="preserve"> HYPERLINK \l "_Toc4932" </w:instrText>
      </w:r>
      <w:r>
        <w:fldChar w:fldCharType="separate"/>
      </w:r>
      <w:r>
        <w:rPr>
          <w:rFonts w:hint="eastAsia" w:ascii="宋体" w:hAnsi="宋体" w:eastAsia="宋体" w:cs="黑体"/>
          <w:kern w:val="2"/>
          <w:szCs w:val="28"/>
        </w:rPr>
        <w:t>3</w:t>
      </w:r>
      <w:r>
        <w:rPr>
          <w:rFonts w:ascii="宋体" w:hAnsi="宋体" w:eastAsia="宋体" w:cs="黑体"/>
          <w:kern w:val="2"/>
          <w:szCs w:val="28"/>
        </w:rPr>
        <w:t>.2 国内政策制度</w:t>
      </w:r>
      <w:r>
        <w:rPr>
          <w:rFonts w:cs="黑体"/>
          <w:kern w:val="2"/>
        </w:rPr>
        <w:tab/>
      </w:r>
      <w:r>
        <w:rPr>
          <w:rFonts w:hint="eastAsia" w:cs="黑体"/>
          <w:kern w:val="2"/>
        </w:rPr>
        <w:t>10</w:t>
      </w:r>
      <w:r>
        <w:rPr>
          <w:rFonts w:hint="eastAsia" w:cs="黑体"/>
          <w:kern w:val="2"/>
        </w:rPr>
        <w:fldChar w:fldCharType="end"/>
      </w:r>
    </w:p>
    <w:p>
      <w:pPr>
        <w:pStyle w:val="19"/>
        <w:tabs>
          <w:tab w:val="right" w:leader="dot" w:pos="8306"/>
        </w:tabs>
        <w:rPr>
          <w:rFonts w:hint="eastAsia" w:cs="黑体"/>
          <w:kern w:val="2"/>
        </w:rPr>
      </w:pPr>
      <w:r>
        <w:fldChar w:fldCharType="begin"/>
      </w:r>
      <w:r>
        <w:instrText xml:space="preserve"> HYPERLINK \l "_Toc27938" </w:instrText>
      </w:r>
      <w:r>
        <w:fldChar w:fldCharType="separate"/>
      </w:r>
      <w:r>
        <w:rPr>
          <w:rFonts w:hint="eastAsia" w:ascii="宋体" w:hAnsi="宋体" w:eastAsia="宋体" w:cs="黑体"/>
          <w:kern w:val="2"/>
          <w:szCs w:val="28"/>
        </w:rPr>
        <w:t>3</w:t>
      </w:r>
      <w:r>
        <w:rPr>
          <w:rFonts w:ascii="宋体" w:hAnsi="宋体" w:eastAsia="宋体" w:cs="黑体"/>
          <w:kern w:val="2"/>
          <w:szCs w:val="28"/>
        </w:rPr>
        <w:t>.3 四川省政策制度</w:t>
      </w:r>
      <w:r>
        <w:rPr>
          <w:rFonts w:cs="黑体"/>
          <w:kern w:val="2"/>
        </w:rPr>
        <w:tab/>
      </w:r>
      <w:r>
        <w:rPr>
          <w:rFonts w:hint="eastAsia" w:cs="黑体"/>
          <w:kern w:val="2"/>
        </w:rPr>
        <w:t>11</w:t>
      </w:r>
      <w:r>
        <w:rPr>
          <w:rFonts w:hint="eastAsia" w:cs="黑体"/>
          <w:kern w:val="2"/>
        </w:rPr>
        <w:fldChar w:fldCharType="end"/>
      </w:r>
    </w:p>
    <w:p>
      <w:pPr>
        <w:pStyle w:val="19"/>
        <w:tabs>
          <w:tab w:val="right" w:leader="dot" w:pos="8306"/>
        </w:tabs>
        <w:rPr>
          <w:rFonts w:hint="eastAsia"/>
        </w:rPr>
      </w:pPr>
      <w:r>
        <w:fldChar w:fldCharType="begin"/>
      </w:r>
      <w:r>
        <w:instrText xml:space="preserve"> HYPERLINK \l "_Toc27938" </w:instrText>
      </w:r>
      <w:r>
        <w:fldChar w:fldCharType="separate"/>
      </w:r>
      <w:r>
        <w:rPr>
          <w:rFonts w:hint="eastAsia" w:ascii="宋体" w:hAnsi="宋体" w:eastAsia="宋体" w:cs="黑体"/>
          <w:kern w:val="2"/>
          <w:szCs w:val="28"/>
        </w:rPr>
        <w:t>3</w:t>
      </w:r>
      <w:r>
        <w:rPr>
          <w:rFonts w:ascii="宋体" w:hAnsi="宋体" w:eastAsia="宋体" w:cs="黑体"/>
          <w:kern w:val="2"/>
          <w:szCs w:val="28"/>
        </w:rPr>
        <w:t>.</w:t>
      </w:r>
      <w:r>
        <w:rPr>
          <w:rFonts w:hint="eastAsia" w:ascii="宋体" w:hAnsi="宋体" w:eastAsia="宋体" w:cs="黑体"/>
          <w:kern w:val="2"/>
          <w:szCs w:val="28"/>
        </w:rPr>
        <w:t>4</w:t>
      </w:r>
      <w:r>
        <w:rPr>
          <w:rFonts w:ascii="宋体" w:hAnsi="宋体" w:eastAsia="宋体" w:cs="黑体"/>
          <w:kern w:val="2"/>
          <w:szCs w:val="28"/>
        </w:rPr>
        <w:t xml:space="preserve"> 国际公约</w:t>
      </w:r>
      <w:r>
        <w:rPr>
          <w:rFonts w:cs="黑体"/>
          <w:kern w:val="2"/>
        </w:rPr>
        <w:tab/>
      </w:r>
      <w:r>
        <w:rPr>
          <w:rFonts w:cs="黑体"/>
          <w:kern w:val="2"/>
        </w:rPr>
        <w:fldChar w:fldCharType="end"/>
      </w:r>
      <w:r>
        <w:rPr>
          <w:rFonts w:hint="eastAsia" w:cs="黑体"/>
          <w:kern w:val="2"/>
        </w:rPr>
        <w:t>12</w:t>
      </w:r>
    </w:p>
    <w:p>
      <w:pPr>
        <w:pStyle w:val="17"/>
        <w:tabs>
          <w:tab w:val="right" w:leader="dot" w:pos="8306"/>
        </w:tabs>
        <w:rPr>
          <w:rFonts w:hint="eastAsia" w:cs="黑体"/>
          <w:kern w:val="2"/>
        </w:rPr>
      </w:pPr>
      <w:r>
        <w:fldChar w:fldCharType="begin"/>
      </w:r>
      <w:r>
        <w:instrText xml:space="preserve"> HYPERLINK \l "_Toc19084" </w:instrText>
      </w:r>
      <w:r>
        <w:fldChar w:fldCharType="separate"/>
      </w:r>
      <w:r>
        <w:rPr>
          <w:rFonts w:ascii="宋体" w:hAnsi="宋体" w:eastAsia="宋体" w:cs="黑体"/>
          <w:bCs/>
          <w:kern w:val="2"/>
          <w:szCs w:val="30"/>
        </w:rPr>
        <w:t>4. 环境相关产品与服务创新</w:t>
      </w:r>
      <w:r>
        <w:rPr>
          <w:rFonts w:cs="黑体"/>
          <w:kern w:val="2"/>
        </w:rPr>
        <w:tab/>
      </w:r>
      <w:r>
        <w:rPr>
          <w:rFonts w:cs="黑体"/>
          <w:kern w:val="2"/>
        </w:rPr>
        <w:fldChar w:fldCharType="end"/>
      </w:r>
      <w:r>
        <w:rPr>
          <w:rFonts w:hint="eastAsia" w:cs="黑体"/>
          <w:kern w:val="2"/>
        </w:rPr>
        <w:t>13</w:t>
      </w:r>
    </w:p>
    <w:p>
      <w:pPr>
        <w:pStyle w:val="17"/>
        <w:tabs>
          <w:tab w:val="right" w:leader="dot" w:pos="8306"/>
        </w:tabs>
        <w:rPr>
          <w:rFonts w:hint="eastAsia" w:cs="黑体"/>
          <w:kern w:val="2"/>
        </w:rPr>
      </w:pPr>
      <w:r>
        <w:fldChar w:fldCharType="begin"/>
      </w:r>
      <w:r>
        <w:instrText xml:space="preserve"> HYPERLINK \l "_Toc6786" </w:instrText>
      </w:r>
      <w:r>
        <w:fldChar w:fldCharType="separate"/>
      </w:r>
      <w:r>
        <w:rPr>
          <w:rFonts w:ascii="宋体" w:hAnsi="宋体" w:eastAsia="宋体" w:cs="黑体"/>
          <w:bCs/>
          <w:kern w:val="2"/>
          <w:szCs w:val="30"/>
        </w:rPr>
        <w:t>5. 环境风险管理流程</w:t>
      </w:r>
      <w:r>
        <w:rPr>
          <w:rFonts w:cs="黑体"/>
          <w:kern w:val="2"/>
        </w:rPr>
        <w:tab/>
      </w:r>
      <w:r>
        <w:rPr>
          <w:rFonts w:cs="黑体"/>
          <w:kern w:val="2"/>
        </w:rPr>
        <w:fldChar w:fldCharType="end"/>
      </w:r>
      <w:r>
        <w:rPr>
          <w:rFonts w:hint="eastAsia" w:cs="黑体"/>
          <w:kern w:val="2"/>
        </w:rPr>
        <w:t>14</w:t>
      </w:r>
    </w:p>
    <w:p>
      <w:pPr>
        <w:pStyle w:val="17"/>
        <w:tabs>
          <w:tab w:val="right" w:leader="dot" w:pos="8306"/>
        </w:tabs>
        <w:rPr>
          <w:rFonts w:hint="eastAsia" w:cs="黑体"/>
          <w:kern w:val="2"/>
        </w:rPr>
      </w:pPr>
      <w:r>
        <w:fldChar w:fldCharType="begin"/>
      </w:r>
      <w:r>
        <w:instrText xml:space="preserve"> HYPERLINK \l "_Toc7514" </w:instrText>
      </w:r>
      <w:r>
        <w:fldChar w:fldCharType="separate"/>
      </w:r>
      <w:r>
        <w:rPr>
          <w:rFonts w:ascii="宋体" w:hAnsi="宋体" w:eastAsia="宋体" w:cs="黑体"/>
          <w:bCs/>
          <w:kern w:val="2"/>
          <w:szCs w:val="30"/>
        </w:rPr>
        <w:t>6. 环境因素对金融机构的影响</w:t>
      </w:r>
      <w:r>
        <w:rPr>
          <w:rFonts w:cs="黑体"/>
          <w:kern w:val="2"/>
        </w:rPr>
        <w:tab/>
      </w:r>
      <w:r>
        <w:rPr>
          <w:rFonts w:cs="黑体"/>
          <w:kern w:val="2"/>
        </w:rPr>
        <w:fldChar w:fldCharType="end"/>
      </w:r>
      <w:r>
        <w:rPr>
          <w:rFonts w:hint="eastAsia" w:cs="黑体"/>
          <w:kern w:val="2"/>
        </w:rPr>
        <w:t>15</w:t>
      </w:r>
    </w:p>
    <w:p>
      <w:pPr>
        <w:pStyle w:val="19"/>
        <w:tabs>
          <w:tab w:val="right" w:leader="dot" w:pos="8306"/>
        </w:tabs>
        <w:rPr>
          <w:rFonts w:hint="eastAsia" w:cs="黑体"/>
          <w:kern w:val="2"/>
        </w:rPr>
      </w:pPr>
      <w:r>
        <w:fldChar w:fldCharType="begin"/>
      </w:r>
      <w:r>
        <w:instrText xml:space="preserve"> HYPERLINK \l "_Toc1385" </w:instrText>
      </w:r>
      <w:r>
        <w:fldChar w:fldCharType="separate"/>
      </w:r>
      <w:r>
        <w:rPr>
          <w:rFonts w:hint="eastAsia"/>
        </w:rPr>
        <w:t>6</w:t>
      </w:r>
      <w:r>
        <w:rPr>
          <w:rFonts w:ascii="宋体" w:hAnsi="宋体" w:eastAsia="宋体" w:cs="黑体"/>
          <w:kern w:val="2"/>
          <w:szCs w:val="28"/>
        </w:rPr>
        <w:t xml:space="preserve">.1 </w:t>
      </w:r>
      <w:r>
        <w:rPr>
          <w:rFonts w:hint="eastAsia" w:ascii="宋体" w:hAnsi="宋体" w:eastAsia="宋体" w:cs="黑体"/>
          <w:kern w:val="2"/>
          <w:szCs w:val="28"/>
        </w:rPr>
        <w:t>环境风险分析</w:t>
      </w:r>
      <w:r>
        <w:rPr>
          <w:rFonts w:cs="黑体"/>
          <w:kern w:val="2"/>
        </w:rPr>
        <w:tab/>
      </w:r>
      <w:r>
        <w:rPr>
          <w:rFonts w:hint="eastAsia" w:cs="黑体"/>
          <w:kern w:val="2"/>
        </w:rPr>
        <w:t>1</w:t>
      </w:r>
      <w:r>
        <w:rPr>
          <w:rFonts w:hint="eastAsia" w:cs="黑体"/>
          <w:kern w:val="2"/>
        </w:rPr>
        <w:fldChar w:fldCharType="end"/>
      </w:r>
      <w:r>
        <w:rPr>
          <w:rFonts w:hint="eastAsia" w:cs="黑体"/>
          <w:kern w:val="2"/>
        </w:rPr>
        <w:t>5</w:t>
      </w:r>
    </w:p>
    <w:p>
      <w:pPr>
        <w:pStyle w:val="19"/>
        <w:tabs>
          <w:tab w:val="right" w:leader="dot" w:pos="8306"/>
        </w:tabs>
        <w:rPr>
          <w:rFonts w:hint="eastAsia" w:cs="黑体"/>
          <w:kern w:val="2"/>
        </w:rPr>
      </w:pPr>
      <w:r>
        <w:fldChar w:fldCharType="begin"/>
      </w:r>
      <w:r>
        <w:instrText xml:space="preserve"> HYPERLINK \l "_Toc1385" </w:instrText>
      </w:r>
      <w:r>
        <w:fldChar w:fldCharType="separate"/>
      </w:r>
      <w:r>
        <w:rPr>
          <w:rFonts w:hint="eastAsia"/>
        </w:rPr>
        <w:t>6</w:t>
      </w:r>
      <w:r>
        <w:rPr>
          <w:rFonts w:ascii="宋体" w:hAnsi="宋体" w:eastAsia="宋体" w:cs="黑体"/>
          <w:kern w:val="2"/>
          <w:szCs w:val="28"/>
        </w:rPr>
        <w:t>.</w:t>
      </w:r>
      <w:r>
        <w:rPr>
          <w:rFonts w:hint="eastAsia" w:ascii="宋体" w:hAnsi="宋体" w:eastAsia="宋体" w:cs="黑体"/>
          <w:kern w:val="2"/>
          <w:szCs w:val="28"/>
        </w:rPr>
        <w:t>2环境机遇分析</w:t>
      </w:r>
      <w:r>
        <w:rPr>
          <w:rFonts w:cs="黑体"/>
          <w:kern w:val="2"/>
        </w:rPr>
        <w:tab/>
      </w:r>
      <w:r>
        <w:rPr>
          <w:rFonts w:hint="eastAsia" w:cs="黑体"/>
          <w:kern w:val="2"/>
        </w:rPr>
        <w:t>1</w:t>
      </w:r>
      <w:r>
        <w:rPr>
          <w:rFonts w:hint="eastAsia" w:cs="黑体"/>
          <w:kern w:val="2"/>
        </w:rPr>
        <w:fldChar w:fldCharType="end"/>
      </w:r>
      <w:r>
        <w:rPr>
          <w:rFonts w:hint="eastAsia" w:cs="黑体"/>
          <w:kern w:val="2"/>
        </w:rPr>
        <w:t>7</w:t>
      </w:r>
    </w:p>
    <w:p>
      <w:pPr>
        <w:pStyle w:val="19"/>
        <w:tabs>
          <w:tab w:val="right" w:leader="dot" w:pos="8306"/>
        </w:tabs>
        <w:rPr>
          <w:rFonts w:hint="eastAsia" w:cs="黑体"/>
          <w:kern w:val="2"/>
        </w:rPr>
      </w:pPr>
      <w:r>
        <w:fldChar w:fldCharType="begin"/>
      </w:r>
      <w:r>
        <w:instrText xml:space="preserve"> HYPERLINK \l "_Toc1385" </w:instrText>
      </w:r>
      <w:r>
        <w:fldChar w:fldCharType="separate"/>
      </w:r>
      <w:r>
        <w:rPr>
          <w:rFonts w:hint="eastAsia"/>
        </w:rPr>
        <w:t>6</w:t>
      </w:r>
      <w:r>
        <w:rPr>
          <w:rFonts w:ascii="宋体" w:hAnsi="宋体" w:eastAsia="宋体" w:cs="黑体"/>
          <w:kern w:val="2"/>
          <w:szCs w:val="28"/>
        </w:rPr>
        <w:t>.</w:t>
      </w:r>
      <w:r>
        <w:rPr>
          <w:rFonts w:hint="eastAsia" w:ascii="宋体" w:hAnsi="宋体" w:eastAsia="宋体" w:cs="黑体"/>
          <w:kern w:val="2"/>
          <w:szCs w:val="28"/>
        </w:rPr>
        <w:t>3</w:t>
      </w:r>
      <w:r>
        <w:rPr>
          <w:rFonts w:ascii="宋体" w:hAnsi="宋体" w:eastAsia="宋体" w:cs="黑体"/>
          <w:kern w:val="2"/>
          <w:szCs w:val="28"/>
        </w:rPr>
        <w:t xml:space="preserve"> </w:t>
      </w:r>
      <w:r>
        <w:rPr>
          <w:rFonts w:hint="eastAsia" w:ascii="宋体" w:hAnsi="宋体" w:eastAsia="宋体" w:cs="黑体"/>
          <w:kern w:val="2"/>
          <w:szCs w:val="28"/>
        </w:rPr>
        <w:t>环境因素定量分析-压力测试</w:t>
      </w:r>
      <w:r>
        <w:rPr>
          <w:rFonts w:cs="黑体"/>
          <w:kern w:val="2"/>
        </w:rPr>
        <w:tab/>
      </w:r>
      <w:r>
        <w:rPr>
          <w:rFonts w:hint="eastAsia" w:cs="黑体"/>
          <w:kern w:val="2"/>
        </w:rPr>
        <w:t>1</w:t>
      </w:r>
      <w:r>
        <w:rPr>
          <w:rFonts w:hint="eastAsia" w:cs="黑体"/>
          <w:kern w:val="2"/>
        </w:rPr>
        <w:fldChar w:fldCharType="end"/>
      </w:r>
      <w:r>
        <w:rPr>
          <w:rFonts w:hint="eastAsia" w:cs="黑体"/>
          <w:kern w:val="2"/>
        </w:rPr>
        <w:t>8</w:t>
      </w:r>
    </w:p>
    <w:p>
      <w:pPr>
        <w:pStyle w:val="17"/>
        <w:tabs>
          <w:tab w:val="right" w:leader="dot" w:pos="8306"/>
        </w:tabs>
        <w:rPr>
          <w:rFonts w:hint="eastAsia" w:cs="黑体"/>
          <w:kern w:val="2"/>
        </w:rPr>
      </w:pPr>
      <w:r>
        <w:fldChar w:fldCharType="begin"/>
      </w:r>
      <w:r>
        <w:instrText xml:space="preserve"> HYPERLINK \l "_Toc18685" </w:instrText>
      </w:r>
      <w:r>
        <w:fldChar w:fldCharType="separate"/>
      </w:r>
      <w:r>
        <w:rPr>
          <w:rFonts w:ascii="宋体" w:hAnsi="宋体" w:eastAsia="宋体" w:cs="黑体"/>
          <w:bCs/>
          <w:kern w:val="2"/>
          <w:szCs w:val="30"/>
        </w:rPr>
        <w:t>7. 机构投融资活动的环境影响</w:t>
      </w:r>
      <w:r>
        <w:rPr>
          <w:rFonts w:cs="黑体"/>
          <w:kern w:val="2"/>
        </w:rPr>
        <w:tab/>
      </w:r>
      <w:r>
        <w:rPr>
          <w:rFonts w:hint="eastAsia" w:cs="黑体"/>
          <w:kern w:val="2"/>
        </w:rPr>
        <w:t>1</w:t>
      </w:r>
      <w:r>
        <w:rPr>
          <w:rFonts w:hint="eastAsia" w:cs="黑体"/>
          <w:kern w:val="2"/>
        </w:rPr>
        <w:fldChar w:fldCharType="end"/>
      </w:r>
      <w:r>
        <w:rPr>
          <w:rFonts w:hint="eastAsia" w:cs="黑体"/>
          <w:kern w:val="2"/>
        </w:rPr>
        <w:t>9</w:t>
      </w:r>
    </w:p>
    <w:p>
      <w:pPr>
        <w:pStyle w:val="19"/>
        <w:tabs>
          <w:tab w:val="right" w:leader="dot" w:pos="8306"/>
        </w:tabs>
        <w:rPr>
          <w:rFonts w:hint="eastAsia" w:cs="黑体"/>
          <w:kern w:val="2"/>
        </w:rPr>
      </w:pPr>
      <w:r>
        <w:fldChar w:fldCharType="begin"/>
      </w:r>
      <w:r>
        <w:instrText xml:space="preserve"> HYPERLINK \l "_Toc21700" </w:instrText>
      </w:r>
      <w:r>
        <w:fldChar w:fldCharType="separate"/>
      </w:r>
      <w:r>
        <w:rPr>
          <w:rFonts w:ascii="宋体" w:hAnsi="宋体" w:eastAsia="宋体" w:cs="黑体"/>
          <w:kern w:val="2"/>
          <w:szCs w:val="28"/>
        </w:rPr>
        <w:t>7.1 本公司投融资所产生的环境影响</w:t>
      </w:r>
      <w:r>
        <w:rPr>
          <w:rFonts w:cs="黑体"/>
          <w:kern w:val="2"/>
        </w:rPr>
        <w:tab/>
      </w:r>
      <w:r>
        <w:rPr>
          <w:rFonts w:cs="黑体"/>
          <w:kern w:val="2"/>
        </w:rPr>
        <w:fldChar w:fldCharType="begin"/>
      </w:r>
      <w:r>
        <w:rPr>
          <w:rFonts w:cs="黑体"/>
          <w:kern w:val="2"/>
        </w:rPr>
        <w:instrText xml:space="preserve"> PAGEREF _Toc21700 </w:instrText>
      </w:r>
      <w:r>
        <w:rPr>
          <w:rFonts w:cs="黑体"/>
          <w:kern w:val="2"/>
        </w:rPr>
        <w:fldChar w:fldCharType="separate"/>
      </w:r>
      <w:r>
        <w:rPr>
          <w:rFonts w:cs="黑体"/>
          <w:kern w:val="2"/>
        </w:rPr>
        <w:t>19</w:t>
      </w:r>
      <w:r>
        <w:rPr>
          <w:rFonts w:cs="黑体"/>
          <w:kern w:val="2"/>
        </w:rPr>
        <w:fldChar w:fldCharType="end"/>
      </w:r>
      <w:r>
        <w:rPr>
          <w:rFonts w:cs="黑体"/>
          <w:kern w:val="2"/>
        </w:rPr>
        <w:fldChar w:fldCharType="end"/>
      </w:r>
    </w:p>
    <w:p>
      <w:pPr>
        <w:pStyle w:val="19"/>
        <w:tabs>
          <w:tab w:val="right" w:leader="dot" w:pos="8306"/>
        </w:tabs>
        <w:rPr>
          <w:rFonts w:hint="eastAsia" w:cs="黑体"/>
          <w:kern w:val="2"/>
        </w:rPr>
      </w:pPr>
      <w:r>
        <w:fldChar w:fldCharType="begin"/>
      </w:r>
      <w:r>
        <w:instrText xml:space="preserve"> HYPERLINK \l "_Toc24333" </w:instrText>
      </w:r>
      <w:r>
        <w:fldChar w:fldCharType="separate"/>
      </w:r>
      <w:r>
        <w:rPr>
          <w:rFonts w:ascii="宋体" w:hAnsi="宋体" w:eastAsia="宋体" w:cs="黑体"/>
          <w:kern w:val="2"/>
          <w:szCs w:val="28"/>
        </w:rPr>
        <w:t>7.2 本公司投融资环境影响的测算与表达</w:t>
      </w:r>
      <w:r>
        <w:rPr>
          <w:rFonts w:cs="黑体"/>
          <w:kern w:val="2"/>
        </w:rPr>
        <w:tab/>
      </w:r>
      <w:r>
        <w:rPr>
          <w:rFonts w:cs="黑体"/>
          <w:kern w:val="2"/>
        </w:rPr>
        <w:fldChar w:fldCharType="end"/>
      </w:r>
      <w:r>
        <w:rPr>
          <w:rFonts w:hint="eastAsia" w:cs="黑体"/>
          <w:kern w:val="2"/>
          <w:lang w:val="en-US" w:eastAsia="zh-CN"/>
        </w:rPr>
        <w:t>20</w:t>
      </w:r>
    </w:p>
    <w:p>
      <w:pPr>
        <w:pStyle w:val="17"/>
        <w:tabs>
          <w:tab w:val="right" w:leader="dot" w:pos="8306"/>
        </w:tabs>
        <w:rPr>
          <w:rFonts w:hint="eastAsia" w:cs="黑体"/>
          <w:kern w:val="2"/>
        </w:rPr>
      </w:pPr>
      <w:r>
        <w:fldChar w:fldCharType="begin"/>
      </w:r>
      <w:r>
        <w:instrText xml:space="preserve"> HYPERLINK \l "_Toc27524" </w:instrText>
      </w:r>
      <w:r>
        <w:fldChar w:fldCharType="separate"/>
      </w:r>
      <w:r>
        <w:rPr>
          <w:rFonts w:ascii="宋体" w:hAnsi="宋体" w:eastAsia="宋体" w:cs="黑体"/>
          <w:bCs/>
          <w:kern w:val="2"/>
          <w:szCs w:val="30"/>
        </w:rPr>
        <w:t>8. 机构经营活动环境影响</w:t>
      </w:r>
      <w:r>
        <w:rPr>
          <w:rFonts w:cs="黑体"/>
          <w:kern w:val="2"/>
        </w:rPr>
        <w:tab/>
      </w:r>
      <w:r>
        <w:rPr>
          <w:rFonts w:hint="eastAsia" w:cs="黑体"/>
          <w:kern w:val="2"/>
        </w:rPr>
        <w:t>21</w:t>
      </w:r>
      <w:r>
        <w:rPr>
          <w:rFonts w:hint="eastAsia" w:cs="黑体"/>
          <w:kern w:val="2"/>
        </w:rPr>
        <w:fldChar w:fldCharType="end"/>
      </w:r>
    </w:p>
    <w:p>
      <w:pPr>
        <w:pStyle w:val="19"/>
        <w:tabs>
          <w:tab w:val="right" w:leader="dot" w:pos="8306"/>
        </w:tabs>
        <w:rPr>
          <w:rFonts w:hint="eastAsia" w:cs="黑体"/>
          <w:kern w:val="2"/>
        </w:rPr>
      </w:pPr>
      <w:r>
        <w:fldChar w:fldCharType="begin"/>
      </w:r>
      <w:r>
        <w:instrText xml:space="preserve"> HYPERLINK \l "_Toc26521" </w:instrText>
      </w:r>
      <w:r>
        <w:fldChar w:fldCharType="separate"/>
      </w:r>
      <w:r>
        <w:rPr>
          <w:rFonts w:ascii="宋体" w:hAnsi="宋体" w:eastAsia="宋体" w:cs="黑体"/>
          <w:kern w:val="2"/>
          <w:szCs w:val="28"/>
        </w:rPr>
        <w:t>8.1 温室气体排放和自然资源消耗</w:t>
      </w:r>
      <w:r>
        <w:rPr>
          <w:rFonts w:cs="黑体"/>
          <w:kern w:val="2"/>
        </w:rPr>
        <w:tab/>
      </w:r>
      <w:r>
        <w:rPr>
          <w:rFonts w:hint="eastAsia" w:cs="黑体"/>
          <w:kern w:val="2"/>
        </w:rPr>
        <w:t>21</w:t>
      </w:r>
      <w:r>
        <w:rPr>
          <w:rFonts w:hint="eastAsia" w:cs="黑体"/>
          <w:kern w:val="2"/>
        </w:rPr>
        <w:fldChar w:fldCharType="end"/>
      </w:r>
    </w:p>
    <w:p>
      <w:pPr>
        <w:pStyle w:val="19"/>
        <w:tabs>
          <w:tab w:val="right" w:leader="dot" w:pos="8306"/>
        </w:tabs>
        <w:rPr>
          <w:rFonts w:hint="eastAsia" w:cs="黑体"/>
          <w:kern w:val="2"/>
        </w:rPr>
      </w:pPr>
      <w:r>
        <w:fldChar w:fldCharType="begin"/>
      </w:r>
      <w:r>
        <w:instrText xml:space="preserve"> HYPERLINK \l "_Toc25757" </w:instrText>
      </w:r>
      <w:r>
        <w:fldChar w:fldCharType="separate"/>
      </w:r>
      <w:r>
        <w:rPr>
          <w:rFonts w:ascii="宋体" w:hAnsi="宋体" w:eastAsia="宋体" w:cs="黑体"/>
          <w:kern w:val="2"/>
          <w:szCs w:val="28"/>
        </w:rPr>
        <w:t>8.2 环保措施</w:t>
      </w:r>
      <w:r>
        <w:rPr>
          <w:rFonts w:cs="黑体"/>
          <w:kern w:val="2"/>
        </w:rPr>
        <w:tab/>
      </w:r>
      <w:r>
        <w:rPr>
          <w:rFonts w:hint="eastAsia" w:cs="黑体"/>
          <w:kern w:val="2"/>
        </w:rPr>
        <w:t>22</w:t>
      </w:r>
      <w:r>
        <w:rPr>
          <w:rFonts w:hint="eastAsia" w:cs="黑体"/>
          <w:kern w:val="2"/>
        </w:rPr>
        <w:fldChar w:fldCharType="end"/>
      </w:r>
    </w:p>
    <w:p>
      <w:pPr>
        <w:pStyle w:val="19"/>
        <w:tabs>
          <w:tab w:val="right" w:leader="dot" w:pos="8306"/>
        </w:tabs>
        <w:rPr>
          <w:rFonts w:hint="eastAsia" w:cs="黑体"/>
          <w:kern w:val="2"/>
        </w:rPr>
      </w:pPr>
      <w:r>
        <w:fldChar w:fldCharType="begin"/>
      </w:r>
      <w:r>
        <w:instrText xml:space="preserve"> HYPERLINK \l "_Toc22713" </w:instrText>
      </w:r>
      <w:r>
        <w:fldChar w:fldCharType="separate"/>
      </w:r>
      <w:r>
        <w:rPr>
          <w:rFonts w:ascii="宋体" w:hAnsi="宋体" w:eastAsia="宋体" w:cs="黑体"/>
          <w:kern w:val="2"/>
          <w:szCs w:val="28"/>
        </w:rPr>
        <w:t>8.3 经营活动环境影响的计算</w:t>
      </w:r>
      <w:r>
        <w:rPr>
          <w:rFonts w:cs="黑体"/>
          <w:kern w:val="2"/>
        </w:rPr>
        <w:tab/>
      </w:r>
      <w:r>
        <w:rPr>
          <w:rFonts w:hint="eastAsia" w:cs="黑体"/>
          <w:kern w:val="2"/>
        </w:rPr>
        <w:t>23</w:t>
      </w:r>
      <w:r>
        <w:rPr>
          <w:rFonts w:hint="eastAsia" w:cs="黑体"/>
          <w:kern w:val="2"/>
        </w:rPr>
        <w:fldChar w:fldCharType="end"/>
      </w:r>
    </w:p>
    <w:p>
      <w:pPr>
        <w:pStyle w:val="17"/>
        <w:tabs>
          <w:tab w:val="right" w:leader="dot" w:pos="8306"/>
        </w:tabs>
        <w:rPr>
          <w:rFonts w:hint="eastAsia" w:cs="黑体"/>
          <w:kern w:val="2"/>
        </w:rPr>
      </w:pPr>
      <w:r>
        <w:fldChar w:fldCharType="begin"/>
      </w:r>
      <w:r>
        <w:instrText xml:space="preserve"> HYPERLINK \l "_Toc15903" </w:instrText>
      </w:r>
      <w:r>
        <w:fldChar w:fldCharType="separate"/>
      </w:r>
      <w:r>
        <w:rPr>
          <w:rFonts w:ascii="宋体" w:hAnsi="宋体" w:eastAsia="宋体" w:cs="黑体"/>
          <w:bCs/>
          <w:kern w:val="2"/>
          <w:szCs w:val="30"/>
        </w:rPr>
        <w:t>9. 数据梳理、校验及保护</w:t>
      </w:r>
      <w:r>
        <w:rPr>
          <w:rFonts w:cs="黑体"/>
          <w:kern w:val="2"/>
        </w:rPr>
        <w:tab/>
      </w:r>
      <w:r>
        <w:rPr>
          <w:rFonts w:hint="eastAsia" w:cs="黑体"/>
          <w:kern w:val="2"/>
        </w:rPr>
        <w:t>24</w:t>
      </w:r>
      <w:r>
        <w:rPr>
          <w:rFonts w:hint="eastAsia" w:cs="黑体"/>
          <w:kern w:val="2"/>
        </w:rPr>
        <w:fldChar w:fldCharType="end"/>
      </w:r>
    </w:p>
    <w:p>
      <w:pPr>
        <w:pStyle w:val="19"/>
        <w:tabs>
          <w:tab w:val="right" w:leader="dot" w:pos="8306"/>
        </w:tabs>
        <w:rPr>
          <w:rFonts w:hint="eastAsia" w:cs="黑体"/>
          <w:kern w:val="2"/>
        </w:rPr>
      </w:pPr>
      <w:r>
        <w:fldChar w:fldCharType="begin"/>
      </w:r>
      <w:r>
        <w:instrText xml:space="preserve"> HYPERLINK \l "_Toc32555" </w:instrText>
      </w:r>
      <w:r>
        <w:fldChar w:fldCharType="separate"/>
      </w:r>
      <w:r>
        <w:rPr>
          <w:rFonts w:ascii="宋体" w:hAnsi="宋体" w:eastAsia="宋体" w:cs="黑体"/>
          <w:kern w:val="2"/>
          <w:szCs w:val="28"/>
        </w:rPr>
        <w:t>9.1 绿色金融数据管理</w:t>
      </w:r>
      <w:r>
        <w:rPr>
          <w:rFonts w:cs="黑体"/>
          <w:kern w:val="2"/>
        </w:rPr>
        <w:tab/>
      </w:r>
      <w:r>
        <w:rPr>
          <w:rFonts w:hint="eastAsia" w:cs="黑体"/>
          <w:kern w:val="2"/>
        </w:rPr>
        <w:t>24</w:t>
      </w:r>
      <w:r>
        <w:rPr>
          <w:rFonts w:hint="eastAsia" w:cs="黑体"/>
          <w:kern w:val="2"/>
        </w:rPr>
        <w:fldChar w:fldCharType="end"/>
      </w:r>
    </w:p>
    <w:p>
      <w:pPr>
        <w:pStyle w:val="19"/>
        <w:tabs>
          <w:tab w:val="right" w:leader="dot" w:pos="8306"/>
        </w:tabs>
        <w:rPr>
          <w:rFonts w:hint="eastAsia" w:cs="黑体"/>
          <w:kern w:val="2"/>
        </w:rPr>
      </w:pPr>
      <w:r>
        <w:fldChar w:fldCharType="begin"/>
      </w:r>
      <w:r>
        <w:instrText xml:space="preserve"> HYPERLINK \l "_Toc1274" </w:instrText>
      </w:r>
      <w:r>
        <w:fldChar w:fldCharType="separate"/>
      </w:r>
      <w:r>
        <w:rPr>
          <w:rFonts w:ascii="宋体" w:hAnsi="宋体" w:eastAsia="宋体" w:cs="黑体"/>
          <w:kern w:val="2"/>
          <w:szCs w:val="28"/>
        </w:rPr>
        <w:t>9.2 信息数据安全管理</w:t>
      </w:r>
      <w:r>
        <w:rPr>
          <w:rFonts w:cs="黑体"/>
          <w:kern w:val="2"/>
        </w:rPr>
        <w:tab/>
      </w:r>
      <w:r>
        <w:rPr>
          <w:rFonts w:hint="eastAsia" w:cs="黑体"/>
          <w:kern w:val="2"/>
        </w:rPr>
        <w:t>24</w:t>
      </w:r>
      <w:r>
        <w:rPr>
          <w:rFonts w:hint="eastAsia" w:cs="黑体"/>
          <w:kern w:val="2"/>
        </w:rPr>
        <w:fldChar w:fldCharType="end"/>
      </w:r>
    </w:p>
    <w:p>
      <w:pPr>
        <w:pStyle w:val="17"/>
        <w:tabs>
          <w:tab w:val="right" w:leader="dot" w:pos="8306"/>
        </w:tabs>
        <w:rPr>
          <w:rFonts w:hint="eastAsia" w:cs="黑体"/>
          <w:kern w:val="2"/>
        </w:rPr>
      </w:pPr>
      <w:r>
        <w:fldChar w:fldCharType="begin"/>
      </w:r>
      <w:r>
        <w:instrText xml:space="preserve"> HYPERLINK \l "_Toc681" </w:instrText>
      </w:r>
      <w:r>
        <w:fldChar w:fldCharType="separate"/>
      </w:r>
      <w:r>
        <w:rPr>
          <w:rFonts w:ascii="宋体" w:hAnsi="宋体" w:eastAsia="宋体" w:cs="黑体"/>
          <w:bCs/>
          <w:kern w:val="2"/>
          <w:szCs w:val="30"/>
        </w:rPr>
        <w:t>10. 绿色金融产品创新及研究成果</w:t>
      </w:r>
      <w:r>
        <w:rPr>
          <w:rFonts w:cs="黑体"/>
          <w:kern w:val="2"/>
        </w:rPr>
        <w:tab/>
      </w:r>
      <w:r>
        <w:rPr>
          <w:rFonts w:hint="eastAsia" w:cs="黑体"/>
          <w:kern w:val="2"/>
        </w:rPr>
        <w:t>25</w:t>
      </w:r>
      <w:r>
        <w:rPr>
          <w:rFonts w:hint="eastAsia" w:cs="黑体"/>
          <w:kern w:val="2"/>
        </w:rPr>
        <w:fldChar w:fldCharType="end"/>
      </w:r>
    </w:p>
    <w:p>
      <w:pPr>
        <w:pStyle w:val="17"/>
        <w:tabs>
          <w:tab w:val="right" w:leader="dot" w:pos="8306"/>
        </w:tabs>
        <w:rPr>
          <w:rFonts w:hint="eastAsia" w:cs="黑体"/>
          <w:kern w:val="2"/>
        </w:rPr>
      </w:pPr>
      <w:r>
        <w:fldChar w:fldCharType="begin"/>
      </w:r>
      <w:r>
        <w:instrText xml:space="preserve"> HYPERLINK \l "_Toc24187" </w:instrText>
      </w:r>
      <w:r>
        <w:fldChar w:fldCharType="separate"/>
      </w:r>
      <w:r>
        <w:rPr>
          <w:rFonts w:ascii="宋体" w:hAnsi="宋体" w:eastAsia="宋体" w:cs="黑体"/>
          <w:bCs/>
          <w:kern w:val="2"/>
          <w:szCs w:val="30"/>
        </w:rPr>
        <w:t>11. 未来展望</w:t>
      </w:r>
      <w:r>
        <w:rPr>
          <w:rFonts w:cs="黑体"/>
          <w:kern w:val="2"/>
        </w:rPr>
        <w:tab/>
      </w:r>
      <w:r>
        <w:rPr>
          <w:rFonts w:cs="黑体"/>
          <w:kern w:val="2"/>
        </w:rPr>
        <w:fldChar w:fldCharType="begin"/>
      </w:r>
      <w:r>
        <w:rPr>
          <w:rFonts w:cs="黑体"/>
          <w:kern w:val="2"/>
        </w:rPr>
        <w:instrText xml:space="preserve"> PAGEREF _Toc24187 </w:instrText>
      </w:r>
      <w:r>
        <w:rPr>
          <w:rFonts w:cs="黑体"/>
          <w:kern w:val="2"/>
        </w:rPr>
        <w:fldChar w:fldCharType="separate"/>
      </w:r>
      <w:r>
        <w:rPr>
          <w:rFonts w:cs="黑体"/>
          <w:kern w:val="2"/>
        </w:rPr>
        <w:t>25</w:t>
      </w:r>
      <w:r>
        <w:rPr>
          <w:rFonts w:cs="黑体"/>
          <w:kern w:val="2"/>
        </w:rPr>
        <w:fldChar w:fldCharType="end"/>
      </w:r>
      <w:r>
        <w:rPr>
          <w:rFonts w:cs="黑体"/>
          <w:kern w:val="2"/>
        </w:rPr>
        <w:fldChar w:fldCharType="end"/>
      </w:r>
    </w:p>
    <w:p>
      <w:pPr>
        <w:pStyle w:val="19"/>
        <w:tabs>
          <w:tab w:val="right" w:leader="dot" w:pos="8306"/>
        </w:tabs>
        <w:rPr>
          <w:rFonts w:hint="eastAsia" w:cs="黑体"/>
          <w:kern w:val="2"/>
        </w:rPr>
      </w:pPr>
      <w:r>
        <w:fldChar w:fldCharType="begin"/>
      </w:r>
      <w:r>
        <w:instrText xml:space="preserve"> HYPERLINK \l "_Toc1493" </w:instrText>
      </w:r>
      <w:r>
        <w:fldChar w:fldCharType="separate"/>
      </w:r>
      <w:r>
        <w:rPr>
          <w:rFonts w:ascii="宋体" w:hAnsi="宋体" w:eastAsia="宋体" w:cs="黑体"/>
          <w:kern w:val="2"/>
          <w:szCs w:val="28"/>
        </w:rPr>
        <w:t>11.1 工作挑战</w:t>
      </w:r>
      <w:r>
        <w:rPr>
          <w:rFonts w:cs="黑体"/>
          <w:kern w:val="2"/>
        </w:rPr>
        <w:tab/>
      </w:r>
      <w:r>
        <w:rPr>
          <w:rFonts w:cs="黑体"/>
          <w:kern w:val="2"/>
        </w:rPr>
        <w:fldChar w:fldCharType="begin"/>
      </w:r>
      <w:r>
        <w:rPr>
          <w:rFonts w:cs="黑体"/>
          <w:kern w:val="2"/>
        </w:rPr>
        <w:instrText xml:space="preserve"> PAGEREF _Toc1493 </w:instrText>
      </w:r>
      <w:r>
        <w:rPr>
          <w:rFonts w:cs="黑体"/>
          <w:kern w:val="2"/>
        </w:rPr>
        <w:fldChar w:fldCharType="separate"/>
      </w:r>
      <w:r>
        <w:rPr>
          <w:rFonts w:cs="黑体"/>
          <w:kern w:val="2"/>
        </w:rPr>
        <w:t>25</w:t>
      </w:r>
      <w:r>
        <w:rPr>
          <w:rFonts w:cs="黑体"/>
          <w:kern w:val="2"/>
        </w:rPr>
        <w:fldChar w:fldCharType="end"/>
      </w:r>
      <w:r>
        <w:rPr>
          <w:rFonts w:cs="黑体"/>
          <w:kern w:val="2"/>
        </w:rPr>
        <w:fldChar w:fldCharType="end"/>
      </w:r>
    </w:p>
    <w:p>
      <w:pPr>
        <w:pStyle w:val="19"/>
        <w:tabs>
          <w:tab w:val="right" w:leader="dot" w:pos="8306"/>
        </w:tabs>
        <w:rPr>
          <w:rFonts w:hint="eastAsia" w:cs="黑体"/>
          <w:kern w:val="2"/>
        </w:rPr>
      </w:pPr>
      <w:r>
        <w:fldChar w:fldCharType="begin"/>
      </w:r>
      <w:r>
        <w:instrText xml:space="preserve"> HYPERLINK \l "_Toc29443" </w:instrText>
      </w:r>
      <w:r>
        <w:fldChar w:fldCharType="separate"/>
      </w:r>
      <w:r>
        <w:rPr>
          <w:rFonts w:ascii="宋体" w:hAnsi="宋体" w:eastAsia="宋体" w:cs="黑体"/>
          <w:kern w:val="2"/>
          <w:szCs w:val="28"/>
        </w:rPr>
        <w:t>11.2 工作展望</w:t>
      </w:r>
      <w:r>
        <w:rPr>
          <w:rFonts w:cs="黑体"/>
          <w:kern w:val="2"/>
        </w:rPr>
        <w:tab/>
      </w:r>
      <w:r>
        <w:rPr>
          <w:rFonts w:cs="黑体"/>
          <w:kern w:val="2"/>
        </w:rPr>
        <w:fldChar w:fldCharType="begin"/>
      </w:r>
      <w:r>
        <w:rPr>
          <w:rFonts w:cs="黑体"/>
          <w:kern w:val="2"/>
        </w:rPr>
        <w:instrText xml:space="preserve"> PAGEREF _Toc29443 </w:instrText>
      </w:r>
      <w:r>
        <w:rPr>
          <w:rFonts w:cs="黑体"/>
          <w:kern w:val="2"/>
        </w:rPr>
        <w:fldChar w:fldCharType="separate"/>
      </w:r>
      <w:r>
        <w:rPr>
          <w:rFonts w:cs="黑体"/>
          <w:kern w:val="2"/>
        </w:rPr>
        <w:t>26</w:t>
      </w:r>
      <w:r>
        <w:rPr>
          <w:rFonts w:cs="黑体"/>
          <w:kern w:val="2"/>
        </w:rPr>
        <w:fldChar w:fldCharType="end"/>
      </w:r>
      <w:r>
        <w:rPr>
          <w:rFonts w:cs="黑体"/>
          <w:kern w:val="2"/>
        </w:rPr>
        <w:fldChar w:fldCharType="end"/>
      </w:r>
    </w:p>
    <w:p>
      <w:pPr>
        <w:pStyle w:val="17"/>
        <w:tabs>
          <w:tab w:val="right" w:leader="dot" w:pos="8306"/>
        </w:tabs>
        <w:rPr>
          <w:rFonts w:hint="eastAsia" w:cs="黑体"/>
          <w:kern w:val="2"/>
        </w:rPr>
      </w:pPr>
      <w:r>
        <w:fldChar w:fldCharType="begin"/>
      </w:r>
      <w:r>
        <w:instrText xml:space="preserve"> HYPERLINK \l "_Toc1717" </w:instrText>
      </w:r>
      <w:r>
        <w:fldChar w:fldCharType="separate"/>
      </w:r>
      <w:r>
        <w:rPr>
          <w:rFonts w:ascii="Wingdings" w:hAnsi="Wingdings" w:eastAsia="宋体" w:cs="黑体"/>
          <w:bCs/>
          <w:kern w:val="2"/>
          <w:szCs w:val="28"/>
        </w:rPr>
        <w:t xml:space="preserve"> </w:t>
      </w:r>
      <w:r>
        <w:rPr>
          <w:rFonts w:ascii="宋体" w:hAnsi="宋体" w:eastAsia="宋体" w:cs="黑体"/>
          <w:bCs/>
          <w:kern w:val="2"/>
          <w:szCs w:val="28"/>
        </w:rPr>
        <w:t>附录：金融机构环境信息披露指南索引目录</w:t>
      </w:r>
      <w:r>
        <w:rPr>
          <w:rFonts w:cs="黑体"/>
          <w:kern w:val="2"/>
        </w:rPr>
        <w:tab/>
      </w:r>
      <w:r>
        <w:rPr>
          <w:rFonts w:cs="黑体"/>
          <w:kern w:val="2"/>
        </w:rPr>
        <w:fldChar w:fldCharType="begin"/>
      </w:r>
      <w:r>
        <w:rPr>
          <w:rFonts w:cs="黑体"/>
          <w:kern w:val="2"/>
        </w:rPr>
        <w:instrText xml:space="preserve"> PAGEREF _Toc1717 </w:instrText>
      </w:r>
      <w:r>
        <w:rPr>
          <w:rFonts w:cs="黑体"/>
          <w:kern w:val="2"/>
        </w:rPr>
        <w:fldChar w:fldCharType="separate"/>
      </w:r>
      <w:r>
        <w:rPr>
          <w:rFonts w:cs="黑体"/>
          <w:kern w:val="2"/>
        </w:rPr>
        <w:t>28</w:t>
      </w:r>
      <w:r>
        <w:rPr>
          <w:rFonts w:cs="黑体"/>
          <w:kern w:val="2"/>
        </w:rPr>
        <w:fldChar w:fldCharType="end"/>
      </w:r>
      <w:r>
        <w:rPr>
          <w:rFonts w:cs="黑体"/>
          <w:kern w:val="2"/>
        </w:rPr>
        <w:fldChar w:fldCharType="end"/>
      </w:r>
    </w:p>
    <w:p>
      <w:pPr>
        <w:rPr>
          <w:rFonts w:hint="eastAsia"/>
        </w:rPr>
      </w:pPr>
      <w:r>
        <w:rPr>
          <w:rFonts w:cs="Times New Roman"/>
          <w:kern w:val="0"/>
        </w:rPr>
        <w:fldChar w:fldCharType="end"/>
      </w:r>
    </w:p>
    <w:p>
      <w:pPr>
        <w:rPr>
          <w:rFonts w:hint="eastAsia" w:ascii="宋体" w:hAnsi="宋体" w:eastAsia="宋体"/>
          <w:b/>
          <w:bCs/>
          <w:sz w:val="30"/>
          <w:szCs w:val="30"/>
        </w:rPr>
        <w:sectPr>
          <w:pgSz w:w="11906" w:h="16838"/>
          <w:pgMar w:top="1440" w:right="1800" w:bottom="1440" w:left="1800" w:header="851" w:footer="992" w:gutter="0"/>
          <w:cols w:space="720" w:num="1"/>
          <w:docGrid w:type="lines" w:linePitch="312" w:charSpace="0"/>
        </w:sectPr>
      </w:pPr>
    </w:p>
    <w:p>
      <w:pPr>
        <w:pStyle w:val="31"/>
        <w:numPr>
          <w:ilvl w:val="0"/>
          <w:numId w:val="1"/>
        </w:numPr>
        <w:spacing w:line="360" w:lineRule="auto"/>
        <w:ind w:left="357" w:hanging="357" w:firstLineChars="0"/>
        <w:outlineLvl w:val="0"/>
        <w:rPr>
          <w:rFonts w:hint="eastAsia" w:ascii="宋体" w:hAnsi="宋体" w:eastAsia="宋体"/>
          <w:b/>
          <w:bCs/>
          <w:sz w:val="30"/>
          <w:szCs w:val="30"/>
        </w:rPr>
      </w:pPr>
      <w:bookmarkStart w:id="1" w:name="_Toc20572"/>
      <w:r>
        <w:rPr>
          <w:rFonts w:hint="eastAsia" w:ascii="宋体" w:hAnsi="宋体" w:eastAsia="宋体"/>
          <w:b/>
          <w:bCs/>
          <w:sz w:val="30"/>
          <w:szCs w:val="30"/>
        </w:rPr>
        <w:t>年度概况</w:t>
      </w:r>
      <w:bookmarkEnd w:id="1"/>
    </w:p>
    <w:p>
      <w:pPr>
        <w:pStyle w:val="31"/>
        <w:numPr>
          <w:ilvl w:val="1"/>
          <w:numId w:val="2"/>
        </w:numPr>
        <w:spacing w:line="360" w:lineRule="auto"/>
        <w:ind w:left="567" w:firstLineChars="0"/>
        <w:outlineLvl w:val="1"/>
        <w:rPr>
          <w:rFonts w:hint="eastAsia" w:ascii="宋体" w:hAnsi="宋体" w:eastAsia="宋体"/>
          <w:color w:val="FF0000"/>
          <w:sz w:val="28"/>
          <w:szCs w:val="28"/>
        </w:rPr>
      </w:pPr>
      <w:bookmarkStart w:id="2" w:name="_Toc1385"/>
      <w:r>
        <w:rPr>
          <w:rFonts w:hint="eastAsia" w:ascii="宋体" w:hAnsi="宋体" w:eastAsia="宋体"/>
          <w:color w:val="252525"/>
          <w:sz w:val="28"/>
          <w:szCs w:val="28"/>
        </w:rPr>
        <w:t>总体概况</w:t>
      </w:r>
      <w:bookmarkEnd w:id="2"/>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四川长虹集团财务有限公司作为非银行金融机构，在中国人民银行、国家金融监督管理总局等监管部门的关心与支持下，一直秉持“依托集团、服务产业、规范治理、稳健经营”的方针，主动适应经济金融新常态，围绕长虹集团</w:t>
      </w:r>
      <w:r>
        <w:rPr>
          <w:rFonts w:hint="eastAsia" w:ascii="宋体" w:hAnsi="宋体" w:eastAsia="宋体"/>
          <w:color w:val="252525"/>
          <w:sz w:val="28"/>
          <w:szCs w:val="28"/>
          <w:lang w:eastAsia="zh-CN"/>
        </w:rPr>
        <w:t>节能</w:t>
      </w:r>
      <w:r>
        <w:rPr>
          <w:rFonts w:hint="eastAsia" w:ascii="宋体" w:hAnsi="宋体" w:eastAsia="宋体"/>
          <w:color w:val="252525"/>
          <w:sz w:val="28"/>
          <w:szCs w:val="28"/>
        </w:rPr>
        <w:t>环保、</w:t>
      </w:r>
      <w:r>
        <w:rPr>
          <w:rFonts w:ascii="宋体" w:hAnsi="宋体" w:eastAsia="宋体"/>
          <w:color w:val="252525"/>
          <w:sz w:val="28"/>
          <w:szCs w:val="28"/>
        </w:rPr>
        <w:t>清洁能源</w:t>
      </w:r>
      <w:r>
        <w:rPr>
          <w:rFonts w:hint="eastAsia" w:ascii="宋体" w:hAnsi="宋体" w:eastAsia="宋体"/>
          <w:color w:val="252525"/>
          <w:sz w:val="28"/>
          <w:szCs w:val="28"/>
          <w:lang w:eastAsia="zh-CN"/>
        </w:rPr>
        <w:t>等</w:t>
      </w:r>
      <w:r>
        <w:rPr>
          <w:rFonts w:hint="eastAsia" w:ascii="宋体" w:hAnsi="宋体" w:eastAsia="宋体"/>
          <w:color w:val="252525"/>
          <w:sz w:val="28"/>
          <w:szCs w:val="28"/>
        </w:rPr>
        <w:t>产业板块，创新</w:t>
      </w:r>
      <w:r>
        <w:rPr>
          <w:rFonts w:hint="eastAsia" w:ascii="宋体" w:hAnsi="宋体" w:eastAsia="宋体"/>
          <w:color w:val="252525"/>
          <w:sz w:val="28"/>
          <w:szCs w:val="28"/>
          <w:lang w:eastAsia="zh-CN"/>
        </w:rPr>
        <w:t>绿色</w:t>
      </w:r>
      <w:r>
        <w:rPr>
          <w:rFonts w:hint="eastAsia" w:ascii="宋体" w:hAnsi="宋体" w:eastAsia="宋体"/>
          <w:color w:val="252525"/>
          <w:sz w:val="28"/>
          <w:szCs w:val="28"/>
        </w:rPr>
        <w:t>金融产品</w:t>
      </w:r>
      <w:r>
        <w:rPr>
          <w:rFonts w:hint="eastAsia" w:ascii="宋体" w:hAnsi="宋体" w:eastAsia="宋体"/>
          <w:color w:val="252525"/>
          <w:sz w:val="28"/>
          <w:szCs w:val="28"/>
          <w:lang w:eastAsia="zh-CN"/>
        </w:rPr>
        <w:t>和服务</w:t>
      </w:r>
      <w:r>
        <w:rPr>
          <w:rFonts w:hint="eastAsia" w:ascii="宋体" w:hAnsi="宋体" w:eastAsia="宋体"/>
          <w:color w:val="252525"/>
          <w:sz w:val="28"/>
          <w:szCs w:val="28"/>
        </w:rPr>
        <w:t>，</w:t>
      </w:r>
      <w:r>
        <w:rPr>
          <w:rFonts w:hint="eastAsia" w:ascii="宋体" w:hAnsi="宋体" w:eastAsia="宋体"/>
          <w:color w:val="252525"/>
          <w:sz w:val="28"/>
          <w:szCs w:val="28"/>
          <w:lang w:eastAsia="zh-CN"/>
        </w:rPr>
        <w:t>积极申请</w:t>
      </w:r>
      <w:r>
        <w:rPr>
          <w:rFonts w:hint="eastAsia" w:ascii="宋体" w:hAnsi="宋体" w:eastAsia="宋体"/>
          <w:color w:val="252525"/>
          <w:sz w:val="28"/>
          <w:szCs w:val="28"/>
        </w:rPr>
        <w:t>货币政策工具加大对绿色产业的金融支持，</w:t>
      </w:r>
      <w:r>
        <w:rPr>
          <w:rFonts w:hint="eastAsia" w:ascii="宋体" w:hAnsi="宋体" w:eastAsia="宋体"/>
          <w:color w:val="252525"/>
          <w:sz w:val="28"/>
          <w:szCs w:val="28"/>
          <w:lang w:eastAsia="zh-CN"/>
        </w:rPr>
        <w:t>切实</w:t>
      </w:r>
      <w:r>
        <w:rPr>
          <w:rFonts w:hint="eastAsia" w:ascii="宋体" w:hAnsi="宋体" w:eastAsia="宋体"/>
          <w:color w:val="252525"/>
          <w:sz w:val="28"/>
          <w:szCs w:val="28"/>
        </w:rPr>
        <w:t>落实稳增长、调结构、促发展的调控思路，践行绿色低碳环保战略。</w:t>
      </w:r>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本公司经营范围主要是为企业集团成员单位办理财务和融资顾问、信用鉴证及相关的咨询、代理业务，办理贷款及融资租赁，以及提供担保等。在企业集团成员单位中有9</w:t>
      </w:r>
      <w:r>
        <w:rPr>
          <w:rFonts w:ascii="宋体" w:hAnsi="宋体" w:eastAsia="宋体"/>
          <w:color w:val="252525"/>
          <w:sz w:val="28"/>
          <w:szCs w:val="28"/>
        </w:rPr>
        <w:t>家单位</w:t>
      </w:r>
      <w:r>
        <w:rPr>
          <w:rFonts w:hint="eastAsia" w:ascii="宋体" w:hAnsi="宋体" w:eastAsia="宋体"/>
          <w:color w:val="252525"/>
          <w:sz w:val="28"/>
          <w:szCs w:val="28"/>
        </w:rPr>
        <w:t>的业务运营</w:t>
      </w:r>
      <w:r>
        <w:rPr>
          <w:rFonts w:ascii="宋体" w:hAnsi="宋体" w:eastAsia="宋体"/>
          <w:color w:val="252525"/>
          <w:sz w:val="28"/>
          <w:szCs w:val="28"/>
        </w:rPr>
        <w:t>涉及到节能环保产业</w:t>
      </w:r>
      <w:r>
        <w:rPr>
          <w:rFonts w:hint="eastAsia" w:ascii="宋体" w:hAnsi="宋体" w:eastAsia="宋体"/>
          <w:color w:val="252525"/>
          <w:sz w:val="28"/>
          <w:szCs w:val="28"/>
        </w:rPr>
        <w:t>、</w:t>
      </w:r>
      <w:r>
        <w:rPr>
          <w:rFonts w:ascii="宋体" w:hAnsi="宋体" w:eastAsia="宋体"/>
          <w:color w:val="252525"/>
          <w:sz w:val="28"/>
          <w:szCs w:val="28"/>
        </w:rPr>
        <w:t>清洁能源产业</w:t>
      </w:r>
      <w:r>
        <w:rPr>
          <w:rFonts w:hint="eastAsia" w:ascii="宋体" w:hAnsi="宋体" w:eastAsia="宋体"/>
          <w:color w:val="252525"/>
          <w:sz w:val="28"/>
          <w:szCs w:val="28"/>
        </w:rPr>
        <w:t>等</w:t>
      </w:r>
      <w:r>
        <w:rPr>
          <w:rFonts w:ascii="宋体" w:hAnsi="宋体" w:eastAsia="宋体"/>
          <w:color w:val="252525"/>
          <w:sz w:val="28"/>
          <w:szCs w:val="28"/>
        </w:rPr>
        <w:t>绿色产业</w:t>
      </w:r>
      <w:r>
        <w:rPr>
          <w:rFonts w:hint="eastAsia" w:ascii="宋体" w:hAnsi="宋体" w:eastAsia="宋体"/>
          <w:color w:val="252525"/>
          <w:sz w:val="28"/>
          <w:szCs w:val="28"/>
        </w:rPr>
        <w:t>领域</w:t>
      </w:r>
      <w:r>
        <w:rPr>
          <w:rFonts w:ascii="宋体" w:hAnsi="宋体" w:eastAsia="宋体"/>
          <w:color w:val="252525"/>
          <w:sz w:val="28"/>
          <w:szCs w:val="28"/>
        </w:rPr>
        <w:t>。</w:t>
      </w:r>
    </w:p>
    <w:p>
      <w:pPr>
        <w:pStyle w:val="31"/>
        <w:numPr>
          <w:ilvl w:val="1"/>
          <w:numId w:val="2"/>
        </w:numPr>
        <w:spacing w:line="360" w:lineRule="auto"/>
        <w:ind w:left="567" w:firstLineChars="0"/>
        <w:outlineLvl w:val="1"/>
        <w:rPr>
          <w:rFonts w:hint="eastAsia" w:ascii="宋体" w:hAnsi="宋体" w:eastAsia="宋体"/>
          <w:color w:val="252525"/>
          <w:sz w:val="28"/>
          <w:szCs w:val="28"/>
        </w:rPr>
      </w:pPr>
      <w:bookmarkStart w:id="3" w:name="_Toc4932"/>
      <w:r>
        <w:rPr>
          <w:rFonts w:hint="eastAsia" w:ascii="宋体" w:hAnsi="宋体" w:eastAsia="宋体"/>
          <w:color w:val="252525"/>
          <w:sz w:val="28"/>
          <w:szCs w:val="28"/>
        </w:rPr>
        <w:t>主要成效</w:t>
      </w:r>
      <w:bookmarkEnd w:id="3"/>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截至</w:t>
      </w:r>
      <w:r>
        <w:rPr>
          <w:rFonts w:ascii="宋体" w:hAnsi="宋体" w:eastAsia="宋体"/>
          <w:color w:val="252525"/>
          <w:sz w:val="28"/>
          <w:szCs w:val="28"/>
        </w:rPr>
        <w:t>202</w:t>
      </w:r>
      <w:r>
        <w:rPr>
          <w:rFonts w:hint="eastAsia" w:ascii="宋体" w:hAnsi="宋体" w:eastAsia="宋体"/>
          <w:color w:val="252525"/>
          <w:sz w:val="28"/>
          <w:szCs w:val="28"/>
        </w:rPr>
        <w:t>3</w:t>
      </w:r>
      <w:r>
        <w:rPr>
          <w:rFonts w:ascii="宋体" w:hAnsi="宋体" w:eastAsia="宋体"/>
          <w:color w:val="252525"/>
          <w:sz w:val="28"/>
          <w:szCs w:val="28"/>
        </w:rPr>
        <w:t>年12月末，</w:t>
      </w:r>
      <w:r>
        <w:rPr>
          <w:rFonts w:hint="eastAsia" w:ascii="宋体" w:hAnsi="宋体" w:eastAsia="宋体"/>
          <w:color w:val="252525"/>
          <w:sz w:val="28"/>
          <w:szCs w:val="28"/>
        </w:rPr>
        <w:t>本公司绿色贷款余额为2.73亿元，同比增加29.38%。</w:t>
      </w:r>
    </w:p>
    <w:p>
      <w:pPr>
        <w:jc w:val="center"/>
        <w:rPr>
          <w:rFonts w:hint="eastAsia" w:ascii="宋体" w:hAnsi="宋体" w:eastAsia="宋体" w:cs="宋体"/>
          <w:b/>
          <w:bCs/>
          <w:szCs w:val="21"/>
        </w:rPr>
      </w:pPr>
      <w:r>
        <w:rPr>
          <w:rFonts w:hint="eastAsia" w:ascii="宋体" w:hAnsi="宋体" w:eastAsia="宋体" w:cs="宋体"/>
          <w:b/>
          <w:bCs/>
          <w:szCs w:val="21"/>
        </w:rPr>
        <w:t>表1：本公司2023年度关键成果及绩效表</w:t>
      </w:r>
    </w:p>
    <w:tbl>
      <w:tblPr>
        <w:tblStyle w:val="26"/>
        <w:tblW w:w="8296" w:type="dxa"/>
        <w:tblInd w:w="0" w:type="dxa"/>
        <w:tblBorders>
          <w:top w:val="single" w:color="FFFFFF" w:sz="8" w:space="0"/>
          <w:left w:val="none" w:color="auto" w:sz="0" w:space="0"/>
          <w:bottom w:val="none" w:color="auto" w:sz="0" w:space="0"/>
          <w:right w:val="none" w:color="auto" w:sz="0" w:space="0"/>
          <w:insideH w:val="none" w:color="auto" w:sz="0" w:space="0"/>
          <w:insideV w:val="single" w:color="FFFFFF" w:sz="8" w:space="0"/>
        </w:tblBorders>
        <w:tblLayout w:type="fixed"/>
        <w:tblCellMar>
          <w:top w:w="0" w:type="dxa"/>
          <w:left w:w="108" w:type="dxa"/>
          <w:bottom w:w="0" w:type="dxa"/>
          <w:right w:w="108" w:type="dxa"/>
        </w:tblCellMar>
      </w:tblPr>
      <w:tblGrid>
        <w:gridCol w:w="841"/>
        <w:gridCol w:w="2411"/>
        <w:gridCol w:w="899"/>
        <w:gridCol w:w="1382"/>
        <w:gridCol w:w="1384"/>
        <w:gridCol w:w="1379"/>
      </w:tblGrid>
      <w:tr>
        <w:tblPrEx>
          <w:tblBorders>
            <w:top w:val="single" w:color="FFFFFF" w:sz="8" w:space="0"/>
            <w:left w:val="none" w:color="auto" w:sz="0" w:space="0"/>
            <w:bottom w:val="none" w:color="auto" w:sz="0" w:space="0"/>
            <w:right w:val="none" w:color="auto" w:sz="0" w:space="0"/>
            <w:insideH w:val="none" w:color="auto" w:sz="0" w:space="0"/>
            <w:insideV w:val="single" w:color="FFFFFF" w:sz="8" w:space="0"/>
          </w:tblBorders>
          <w:tblLayout w:type="fixed"/>
          <w:tblCellMar>
            <w:top w:w="0" w:type="dxa"/>
            <w:left w:w="108" w:type="dxa"/>
            <w:bottom w:w="0" w:type="dxa"/>
            <w:right w:w="108" w:type="dxa"/>
          </w:tblCellMar>
        </w:tblPrEx>
        <w:trPr>
          <w:trHeight w:val="302" w:hRule="atLeast"/>
        </w:trPr>
        <w:tc>
          <w:tcPr>
            <w:tcW w:w="841" w:type="dxa"/>
            <w:tcBorders>
              <w:top w:val="nil"/>
              <w:left w:val="single" w:color="FFFFFF" w:sz="8" w:space="0"/>
              <w:bottom w:val="single" w:color="FFFFFF" w:sz="8" w:space="0"/>
              <w:right w:val="single" w:color="549E39" w:sz="4" w:space="0"/>
              <w:tl2br w:val="nil"/>
              <w:tr2bl w:val="nil"/>
            </w:tcBorders>
            <w:shd w:val="clear" w:color="auto" w:fill="455F51"/>
          </w:tcPr>
          <w:p>
            <w:pPr>
              <w:jc w:val="center"/>
              <w:rPr>
                <w:rFonts w:hint="eastAsia" w:ascii="宋体" w:hAnsi="宋体" w:eastAsia="宋体"/>
                <w:b/>
                <w:bCs/>
                <w:color w:val="FFFFFF"/>
                <w:kern w:val="0"/>
                <w:szCs w:val="21"/>
              </w:rPr>
            </w:pPr>
          </w:p>
        </w:tc>
        <w:tc>
          <w:tcPr>
            <w:tcW w:w="2411" w:type="dxa"/>
            <w:tcBorders>
              <w:top w:val="nil"/>
              <w:left w:val="single" w:color="549E39" w:sz="4" w:space="0"/>
              <w:bottom w:val="single" w:color="FFFFFF" w:sz="8" w:space="0"/>
              <w:right w:val="single" w:color="549E39" w:sz="4" w:space="0"/>
              <w:tl2br w:val="nil"/>
              <w:tr2bl w:val="nil"/>
            </w:tcBorders>
            <w:shd w:val="clear" w:color="auto" w:fill="455F51"/>
          </w:tcPr>
          <w:p>
            <w:pPr>
              <w:jc w:val="center"/>
              <w:rPr>
                <w:rFonts w:hint="eastAsia" w:ascii="宋体" w:hAnsi="宋体" w:eastAsia="宋体"/>
                <w:b/>
                <w:bCs/>
                <w:color w:val="FFFFFF"/>
                <w:szCs w:val="21"/>
              </w:rPr>
            </w:pPr>
            <w:r>
              <w:rPr>
                <w:rFonts w:hint="eastAsia" w:ascii="宋体" w:hAnsi="宋体" w:eastAsia="宋体"/>
                <w:b/>
                <w:bCs/>
                <w:color w:val="FFFFFF"/>
                <w:szCs w:val="21"/>
                <w:lang w:val="zh-CN"/>
              </w:rPr>
              <w:t>环境指标</w:t>
            </w:r>
          </w:p>
        </w:tc>
        <w:tc>
          <w:tcPr>
            <w:tcW w:w="899" w:type="dxa"/>
            <w:tcBorders>
              <w:top w:val="nil"/>
              <w:left w:val="single" w:color="549E39" w:sz="4" w:space="0"/>
              <w:bottom w:val="single" w:color="FFFFFF" w:sz="8" w:space="0"/>
              <w:right w:val="single" w:color="549E39" w:sz="4" w:space="0"/>
              <w:tl2br w:val="nil"/>
              <w:tr2bl w:val="nil"/>
            </w:tcBorders>
            <w:shd w:val="clear" w:color="auto" w:fill="455F51"/>
          </w:tcPr>
          <w:p>
            <w:pPr>
              <w:jc w:val="center"/>
              <w:rPr>
                <w:rFonts w:hint="eastAsia" w:ascii="宋体" w:hAnsi="宋体" w:eastAsia="宋体"/>
                <w:b/>
                <w:bCs/>
                <w:color w:val="FFFFFF"/>
                <w:szCs w:val="21"/>
              </w:rPr>
            </w:pPr>
            <w:r>
              <w:rPr>
                <w:rFonts w:hint="eastAsia" w:ascii="宋体" w:hAnsi="宋体" w:eastAsia="宋体"/>
                <w:b/>
                <w:bCs/>
                <w:color w:val="FFFFFF"/>
                <w:szCs w:val="21"/>
              </w:rPr>
              <w:t>单位</w:t>
            </w:r>
          </w:p>
        </w:tc>
        <w:tc>
          <w:tcPr>
            <w:tcW w:w="1382" w:type="dxa"/>
            <w:tcBorders>
              <w:top w:val="nil"/>
              <w:left w:val="single" w:color="549E39" w:sz="4" w:space="0"/>
              <w:bottom w:val="single" w:color="FFFFFF" w:sz="8" w:space="0"/>
              <w:right w:val="single" w:color="549E39" w:sz="4" w:space="0"/>
              <w:tl2br w:val="nil"/>
              <w:tr2bl w:val="nil"/>
            </w:tcBorders>
            <w:shd w:val="clear" w:color="auto" w:fill="455F51"/>
          </w:tcPr>
          <w:p>
            <w:pPr>
              <w:jc w:val="center"/>
              <w:rPr>
                <w:rFonts w:hint="eastAsia" w:ascii="宋体" w:hAnsi="宋体" w:eastAsia="宋体"/>
                <w:b/>
                <w:bCs/>
                <w:color w:val="FFFFFF"/>
                <w:szCs w:val="21"/>
              </w:rPr>
            </w:pPr>
            <w:r>
              <w:rPr>
                <w:rFonts w:hint="eastAsia" w:ascii="宋体" w:hAnsi="宋体" w:eastAsia="宋体"/>
                <w:b/>
                <w:bCs/>
                <w:color w:val="FFFFFF"/>
                <w:szCs w:val="21"/>
              </w:rPr>
              <w:t>2</w:t>
            </w:r>
            <w:r>
              <w:rPr>
                <w:rFonts w:ascii="宋体" w:hAnsi="宋体" w:eastAsia="宋体"/>
                <w:b/>
                <w:bCs/>
                <w:color w:val="FFFFFF"/>
                <w:szCs w:val="21"/>
              </w:rPr>
              <w:t>02</w:t>
            </w:r>
            <w:r>
              <w:rPr>
                <w:rFonts w:hint="eastAsia" w:ascii="宋体" w:hAnsi="宋体" w:eastAsia="宋体"/>
                <w:b/>
                <w:bCs/>
                <w:color w:val="FFFFFF"/>
                <w:szCs w:val="21"/>
              </w:rPr>
              <w:t>3年</w:t>
            </w:r>
          </w:p>
        </w:tc>
        <w:tc>
          <w:tcPr>
            <w:tcW w:w="1384" w:type="dxa"/>
            <w:tcBorders>
              <w:top w:val="nil"/>
              <w:left w:val="single" w:color="549E39" w:sz="4" w:space="0"/>
              <w:bottom w:val="single" w:color="FFFFFF" w:sz="8" w:space="0"/>
              <w:right w:val="single" w:color="549E39" w:sz="4" w:space="0"/>
              <w:tl2br w:val="nil"/>
              <w:tr2bl w:val="nil"/>
            </w:tcBorders>
            <w:shd w:val="clear" w:color="auto" w:fill="455F51"/>
          </w:tcPr>
          <w:p>
            <w:pPr>
              <w:jc w:val="center"/>
              <w:rPr>
                <w:rFonts w:hint="eastAsia" w:ascii="宋体" w:hAnsi="宋体" w:eastAsia="宋体"/>
                <w:b/>
                <w:bCs/>
                <w:color w:val="FFFFFF"/>
                <w:szCs w:val="21"/>
              </w:rPr>
            </w:pPr>
            <w:r>
              <w:rPr>
                <w:rFonts w:hint="eastAsia" w:ascii="宋体" w:hAnsi="宋体" w:eastAsia="宋体"/>
                <w:b/>
                <w:bCs/>
                <w:color w:val="FFFFFF"/>
                <w:szCs w:val="21"/>
              </w:rPr>
              <w:t>2</w:t>
            </w:r>
            <w:r>
              <w:rPr>
                <w:rFonts w:ascii="宋体" w:hAnsi="宋体" w:eastAsia="宋体"/>
                <w:b/>
                <w:bCs/>
                <w:color w:val="FFFFFF"/>
                <w:szCs w:val="21"/>
              </w:rPr>
              <w:t>02</w:t>
            </w:r>
            <w:r>
              <w:rPr>
                <w:rFonts w:hint="eastAsia" w:ascii="宋体" w:hAnsi="宋体" w:eastAsia="宋体"/>
                <w:b/>
                <w:bCs/>
                <w:color w:val="FFFFFF"/>
                <w:szCs w:val="21"/>
              </w:rPr>
              <w:t>2年</w:t>
            </w:r>
          </w:p>
        </w:tc>
        <w:tc>
          <w:tcPr>
            <w:tcW w:w="1379" w:type="dxa"/>
            <w:tcBorders>
              <w:top w:val="nil"/>
              <w:left w:val="single" w:color="549E39" w:sz="4" w:space="0"/>
              <w:bottom w:val="single" w:color="FFFFFF" w:sz="8" w:space="0"/>
              <w:right w:val="nil"/>
              <w:tl2br w:val="nil"/>
              <w:tr2bl w:val="nil"/>
            </w:tcBorders>
            <w:shd w:val="clear" w:color="auto" w:fill="455F51"/>
          </w:tcPr>
          <w:p>
            <w:pPr>
              <w:jc w:val="center"/>
              <w:rPr>
                <w:rFonts w:hint="eastAsia" w:ascii="宋体" w:hAnsi="宋体" w:eastAsia="宋体"/>
                <w:b/>
                <w:bCs/>
                <w:color w:val="FFFFFF"/>
                <w:szCs w:val="21"/>
              </w:rPr>
            </w:pPr>
            <w:r>
              <w:rPr>
                <w:rFonts w:hint="eastAsia" w:ascii="宋体" w:hAnsi="宋体" w:eastAsia="宋体"/>
                <w:b/>
                <w:bCs/>
                <w:color w:val="FFFFFF"/>
                <w:szCs w:val="21"/>
              </w:rPr>
              <w:t>同比变化</w:t>
            </w:r>
          </w:p>
        </w:tc>
      </w:tr>
      <w:tr>
        <w:tblPrEx>
          <w:tblBorders>
            <w:top w:val="single" w:color="FFFFFF" w:sz="8" w:space="0"/>
            <w:left w:val="none" w:color="auto" w:sz="0" w:space="0"/>
            <w:bottom w:val="none" w:color="auto" w:sz="0" w:space="0"/>
            <w:right w:val="none" w:color="auto" w:sz="0" w:space="0"/>
            <w:insideH w:val="none" w:color="auto" w:sz="0" w:space="0"/>
            <w:insideV w:val="single" w:color="FFFFFF" w:sz="8" w:space="0"/>
          </w:tblBorders>
          <w:tblLayout w:type="fixed"/>
          <w:tblCellMar>
            <w:top w:w="0" w:type="dxa"/>
            <w:left w:w="108" w:type="dxa"/>
            <w:bottom w:w="0" w:type="dxa"/>
            <w:right w:w="108" w:type="dxa"/>
          </w:tblCellMar>
        </w:tblPrEx>
        <w:trPr>
          <w:trHeight w:val="614" w:hRule="atLeast"/>
        </w:trPr>
        <w:tc>
          <w:tcPr>
            <w:tcW w:w="841" w:type="dxa"/>
            <w:vMerge w:val="restart"/>
            <w:tcBorders>
              <w:top w:val="single" w:color="FFFFFF" w:sz="8" w:space="0"/>
              <w:left w:val="single" w:color="FFFFFF" w:sz="8" w:space="0"/>
            </w:tcBorders>
            <w:shd w:val="clear" w:color="auto" w:fill="86A795"/>
            <w:vAlign w:val="center"/>
          </w:tcPr>
          <w:p>
            <w:pPr>
              <w:jc w:val="center"/>
              <w:rPr>
                <w:rFonts w:hint="eastAsia" w:ascii="宋体" w:hAnsi="宋体" w:eastAsia="宋体"/>
                <w:b/>
                <w:bCs/>
                <w:color w:val="FFFFFF"/>
                <w:szCs w:val="21"/>
              </w:rPr>
            </w:pPr>
            <w:r>
              <w:rPr>
                <w:rFonts w:hint="eastAsia" w:ascii="宋体" w:hAnsi="宋体" w:eastAsia="宋体"/>
                <w:b/>
                <w:bCs/>
                <w:color w:val="FFFFFF"/>
                <w:szCs w:val="21"/>
              </w:rPr>
              <w:t>绿色金融业务</w:t>
            </w:r>
          </w:p>
        </w:tc>
        <w:tc>
          <w:tcPr>
            <w:tcW w:w="2411" w:type="dxa"/>
            <w:tcBorders>
              <w:top w:val="single" w:color="FFFFFF" w:sz="8" w:space="0"/>
              <w:bottom w:val="single" w:color="FFFFFF" w:sz="8" w:space="0"/>
            </w:tcBorders>
            <w:shd w:val="clear" w:color="auto" w:fill="AEC4B8"/>
            <w:vAlign w:val="center"/>
          </w:tcPr>
          <w:p>
            <w:pPr>
              <w:jc w:val="center"/>
              <w:rPr>
                <w:rFonts w:hint="eastAsia" w:ascii="宋体" w:hAnsi="宋体" w:eastAsia="宋体"/>
                <w:szCs w:val="21"/>
              </w:rPr>
            </w:pPr>
            <w:r>
              <w:rPr>
                <w:rFonts w:hint="eastAsia" w:ascii="宋体" w:hAnsi="宋体" w:eastAsia="宋体"/>
                <w:szCs w:val="21"/>
              </w:rPr>
              <w:t>绿色信贷余额</w:t>
            </w:r>
          </w:p>
        </w:tc>
        <w:tc>
          <w:tcPr>
            <w:tcW w:w="899" w:type="dxa"/>
            <w:tcBorders>
              <w:top w:val="single" w:color="FFFFFF" w:sz="8" w:space="0"/>
              <w:bottom w:val="single" w:color="FFFFFF" w:sz="8" w:space="0"/>
            </w:tcBorders>
            <w:shd w:val="clear" w:color="auto" w:fill="D6E1DB"/>
            <w:tcMar>
              <w:left w:w="0" w:type="dxa"/>
              <w:right w:w="0" w:type="dxa"/>
            </w:tcMar>
            <w:vAlign w:val="center"/>
          </w:tcPr>
          <w:p>
            <w:pPr>
              <w:jc w:val="center"/>
              <w:rPr>
                <w:rFonts w:hint="eastAsia" w:ascii="宋体" w:hAnsi="宋体" w:eastAsia="宋体"/>
              </w:rPr>
            </w:pPr>
            <w:r>
              <w:rPr>
                <w:rFonts w:hint="eastAsia" w:ascii="宋体" w:hAnsi="宋体" w:eastAsia="宋体"/>
              </w:rPr>
              <w:t>亿元</w:t>
            </w:r>
          </w:p>
        </w:tc>
        <w:tc>
          <w:tcPr>
            <w:tcW w:w="1382" w:type="dxa"/>
            <w:tcBorders>
              <w:top w:val="single" w:color="FFFFFF" w:sz="8" w:space="0"/>
              <w:bottom w:val="single" w:color="FFFFFF" w:sz="8" w:space="0"/>
              <w:right w:val="single" w:color="FFFFFF" w:sz="8" w:space="0"/>
            </w:tcBorders>
            <w:shd w:val="clear" w:color="auto" w:fill="F2F2F2"/>
            <w:tcMar>
              <w:left w:w="0" w:type="dxa"/>
              <w:right w:w="0" w:type="dxa"/>
            </w:tcMar>
            <w:vAlign w:val="center"/>
          </w:tcPr>
          <w:p>
            <w:pPr>
              <w:jc w:val="center"/>
              <w:rPr>
                <w:rFonts w:hint="eastAsia" w:ascii="宋体" w:hAnsi="宋体" w:eastAsia="宋体"/>
                <w:szCs w:val="21"/>
              </w:rPr>
            </w:pPr>
            <w:r>
              <w:rPr>
                <w:rFonts w:hint="eastAsia" w:ascii="宋体" w:hAnsi="宋体" w:eastAsia="宋体"/>
                <w:szCs w:val="21"/>
              </w:rPr>
              <w:t>2.73</w:t>
            </w:r>
          </w:p>
        </w:tc>
        <w:tc>
          <w:tcPr>
            <w:tcW w:w="1384" w:type="dxa"/>
            <w:tcBorders>
              <w:top w:val="single" w:color="FFFFFF" w:sz="8" w:space="0"/>
              <w:bottom w:val="single" w:color="FFFFFF" w:sz="8" w:space="0"/>
              <w:right w:val="single" w:color="FFFFFF" w:sz="8" w:space="0"/>
            </w:tcBorders>
            <w:shd w:val="clear" w:color="auto" w:fill="F2F2F2"/>
            <w:vAlign w:val="center"/>
          </w:tcPr>
          <w:p>
            <w:pPr>
              <w:jc w:val="center"/>
              <w:rPr>
                <w:rFonts w:hint="eastAsia" w:ascii="宋体" w:hAnsi="宋体" w:eastAsia="宋体"/>
                <w:szCs w:val="21"/>
              </w:rPr>
            </w:pPr>
            <w:r>
              <w:rPr>
                <w:rFonts w:hint="eastAsia" w:ascii="宋体" w:hAnsi="宋体" w:eastAsia="宋体"/>
                <w:szCs w:val="21"/>
              </w:rPr>
              <w:t>2.11</w:t>
            </w:r>
          </w:p>
        </w:tc>
        <w:tc>
          <w:tcPr>
            <w:tcW w:w="1379" w:type="dxa"/>
            <w:tcBorders>
              <w:top w:val="single" w:color="FFFFFF" w:sz="8" w:space="0"/>
              <w:bottom w:val="single" w:color="FFFFFF" w:sz="8" w:space="0"/>
              <w:right w:val="single" w:color="FFFFFF" w:sz="8" w:space="0"/>
            </w:tcBorders>
            <w:shd w:val="clear" w:color="auto" w:fill="F2F2F2"/>
            <w:vAlign w:val="center"/>
          </w:tcPr>
          <w:p>
            <w:pPr>
              <w:jc w:val="center"/>
              <w:rPr>
                <w:rFonts w:hint="eastAsia" w:ascii="宋体" w:hAnsi="宋体" w:eastAsia="宋体"/>
                <w:szCs w:val="21"/>
              </w:rPr>
            </w:pPr>
            <w:r>
              <w:rPr>
                <w:rFonts w:ascii="宋体" w:hAnsi="宋体" w:eastAsia="宋体"/>
                <w:szCs w:val="21"/>
              </w:rPr>
              <w:t>29.38</w:t>
            </w:r>
            <w:r>
              <w:rPr>
                <w:rFonts w:hint="eastAsia" w:ascii="宋体" w:hAnsi="宋体" w:eastAsia="宋体"/>
                <w:szCs w:val="21"/>
              </w:rPr>
              <w:t>%</w:t>
            </w:r>
          </w:p>
        </w:tc>
      </w:tr>
      <w:tr>
        <w:tblPrEx>
          <w:tblBorders>
            <w:top w:val="single" w:color="FFFFFF" w:sz="8" w:space="0"/>
            <w:left w:val="none" w:color="auto" w:sz="0" w:space="0"/>
            <w:bottom w:val="none" w:color="auto" w:sz="0" w:space="0"/>
            <w:right w:val="none" w:color="auto" w:sz="0" w:space="0"/>
            <w:insideH w:val="none" w:color="auto" w:sz="0" w:space="0"/>
            <w:insideV w:val="single" w:color="FFFFFF" w:sz="8" w:space="0"/>
          </w:tblBorders>
          <w:tblLayout w:type="fixed"/>
          <w:tblCellMar>
            <w:top w:w="0" w:type="dxa"/>
            <w:left w:w="108" w:type="dxa"/>
            <w:bottom w:w="0" w:type="dxa"/>
            <w:right w:w="108" w:type="dxa"/>
          </w:tblCellMar>
        </w:tblPrEx>
        <w:trPr>
          <w:trHeight w:val="536" w:hRule="atLeast"/>
        </w:trPr>
        <w:tc>
          <w:tcPr>
            <w:tcW w:w="841" w:type="dxa"/>
            <w:vMerge w:val="continue"/>
            <w:tcBorders>
              <w:left w:val="single" w:color="FFFFFF" w:sz="8" w:space="0"/>
            </w:tcBorders>
            <w:shd w:val="clear" w:color="auto" w:fill="86A795"/>
            <w:vAlign w:val="center"/>
          </w:tcPr>
          <w:p>
            <w:pPr>
              <w:jc w:val="center"/>
              <w:rPr>
                <w:rFonts w:hint="eastAsia" w:ascii="宋体" w:hAnsi="宋体" w:eastAsia="宋体"/>
                <w:b/>
                <w:bCs/>
                <w:color w:val="FFFFFF"/>
                <w:szCs w:val="21"/>
                <w:lang w:val="zh-CN"/>
              </w:rPr>
            </w:pPr>
          </w:p>
        </w:tc>
        <w:tc>
          <w:tcPr>
            <w:tcW w:w="2411" w:type="dxa"/>
            <w:tcBorders>
              <w:top w:val="single" w:color="FFFFFF" w:sz="8" w:space="0"/>
              <w:bottom w:val="single" w:color="FFFFFF" w:sz="8" w:space="0"/>
            </w:tcBorders>
            <w:shd w:val="clear" w:color="auto" w:fill="AEC4B8"/>
            <w:vAlign w:val="center"/>
          </w:tcPr>
          <w:p>
            <w:pPr>
              <w:jc w:val="center"/>
              <w:rPr>
                <w:rFonts w:hint="eastAsia" w:ascii="宋体" w:hAnsi="宋体" w:eastAsia="宋体"/>
                <w:szCs w:val="21"/>
              </w:rPr>
            </w:pPr>
            <w:r>
              <w:rPr>
                <w:rFonts w:hint="eastAsia" w:ascii="宋体" w:hAnsi="宋体" w:eastAsia="宋体"/>
                <w:szCs w:val="21"/>
              </w:rPr>
              <w:t>绿色信贷占比</w:t>
            </w:r>
          </w:p>
        </w:tc>
        <w:tc>
          <w:tcPr>
            <w:tcW w:w="899" w:type="dxa"/>
            <w:tcBorders>
              <w:top w:val="single" w:color="FFFFFF" w:sz="8" w:space="0"/>
              <w:bottom w:val="single" w:color="FFFFFF" w:sz="8" w:space="0"/>
            </w:tcBorders>
            <w:shd w:val="clear" w:color="auto" w:fill="D6E1DB"/>
            <w:tcMar>
              <w:left w:w="0" w:type="dxa"/>
              <w:right w:w="0" w:type="dxa"/>
            </w:tcMar>
            <w:vAlign w:val="center"/>
          </w:tcPr>
          <w:p>
            <w:pPr>
              <w:jc w:val="center"/>
              <w:rPr>
                <w:rFonts w:hint="eastAsia" w:ascii="宋体" w:hAnsi="宋体" w:eastAsia="宋体"/>
                <w:szCs w:val="21"/>
              </w:rPr>
            </w:pPr>
            <w:r>
              <w:rPr>
                <w:rFonts w:hint="eastAsia" w:ascii="宋体" w:hAnsi="宋体" w:eastAsia="宋体"/>
                <w:szCs w:val="21"/>
              </w:rPr>
              <w:t>%</w:t>
            </w:r>
          </w:p>
        </w:tc>
        <w:tc>
          <w:tcPr>
            <w:tcW w:w="1382" w:type="dxa"/>
            <w:tcBorders>
              <w:top w:val="single" w:color="FFFFFF" w:sz="8" w:space="0"/>
              <w:bottom w:val="single" w:color="FFFFFF" w:sz="8" w:space="0"/>
              <w:right w:val="single" w:color="FFFFFF" w:sz="8" w:space="0"/>
            </w:tcBorders>
            <w:shd w:val="clear" w:color="auto" w:fill="F2F2F2"/>
            <w:tcMar>
              <w:left w:w="0" w:type="dxa"/>
              <w:right w:w="0" w:type="dxa"/>
            </w:tcMar>
            <w:vAlign w:val="center"/>
          </w:tcPr>
          <w:p>
            <w:pPr>
              <w:jc w:val="center"/>
              <w:rPr>
                <w:rFonts w:hint="eastAsia" w:ascii="宋体" w:hAnsi="宋体" w:eastAsia="宋体"/>
                <w:szCs w:val="21"/>
              </w:rPr>
            </w:pPr>
            <w:r>
              <w:rPr>
                <w:rFonts w:hint="eastAsia" w:ascii="宋体" w:hAnsi="宋体" w:eastAsia="宋体"/>
                <w:szCs w:val="21"/>
              </w:rPr>
              <w:t>2.79%</w:t>
            </w:r>
          </w:p>
        </w:tc>
        <w:tc>
          <w:tcPr>
            <w:tcW w:w="1384" w:type="dxa"/>
            <w:tcBorders>
              <w:top w:val="single" w:color="FFFFFF" w:sz="8" w:space="0"/>
              <w:bottom w:val="single" w:color="FFFFFF" w:sz="8" w:space="0"/>
              <w:right w:val="single" w:color="FFFFFF" w:sz="8" w:space="0"/>
            </w:tcBorders>
            <w:shd w:val="clear" w:color="auto" w:fill="F2F2F2"/>
            <w:vAlign w:val="center"/>
          </w:tcPr>
          <w:p>
            <w:pPr>
              <w:jc w:val="center"/>
              <w:rPr>
                <w:rFonts w:hint="eastAsia" w:ascii="宋体" w:hAnsi="宋体" w:eastAsia="宋体"/>
                <w:szCs w:val="21"/>
              </w:rPr>
            </w:pPr>
            <w:r>
              <w:rPr>
                <w:rFonts w:hint="eastAsia" w:ascii="宋体" w:hAnsi="宋体" w:eastAsia="宋体"/>
                <w:szCs w:val="21"/>
              </w:rPr>
              <w:t>1.91%</w:t>
            </w:r>
          </w:p>
        </w:tc>
        <w:tc>
          <w:tcPr>
            <w:tcW w:w="1379" w:type="dxa"/>
            <w:tcBorders>
              <w:top w:val="single" w:color="FFFFFF" w:sz="8" w:space="0"/>
              <w:bottom w:val="single" w:color="FFFFFF" w:sz="8" w:space="0"/>
              <w:right w:val="single" w:color="FFFFFF" w:sz="8" w:space="0"/>
            </w:tcBorders>
            <w:shd w:val="clear" w:color="auto" w:fill="F2F2F2"/>
            <w:vAlign w:val="center"/>
          </w:tcPr>
          <w:p>
            <w:pPr>
              <w:jc w:val="center"/>
              <w:rPr>
                <w:rFonts w:hint="eastAsia" w:ascii="宋体" w:hAnsi="宋体" w:eastAsia="宋体"/>
                <w:szCs w:val="21"/>
              </w:rPr>
            </w:pPr>
            <w:r>
              <w:rPr>
                <w:rFonts w:hint="eastAsia" w:ascii="宋体" w:hAnsi="宋体" w:eastAsia="宋体"/>
                <w:szCs w:val="21"/>
              </w:rPr>
              <w:t>45.59</w:t>
            </w:r>
            <w:r>
              <w:rPr>
                <w:rFonts w:ascii="宋体" w:hAnsi="宋体" w:eastAsia="宋体"/>
                <w:szCs w:val="21"/>
              </w:rPr>
              <w:t>%</w:t>
            </w:r>
          </w:p>
        </w:tc>
      </w:tr>
      <w:tr>
        <w:tblPrEx>
          <w:tblBorders>
            <w:top w:val="single" w:color="FFFFFF" w:sz="8" w:space="0"/>
            <w:left w:val="none" w:color="auto" w:sz="0" w:space="0"/>
            <w:bottom w:val="none" w:color="auto" w:sz="0" w:space="0"/>
            <w:right w:val="none" w:color="auto" w:sz="0" w:space="0"/>
            <w:insideH w:val="none" w:color="auto" w:sz="0" w:space="0"/>
            <w:insideV w:val="single" w:color="FFFFFF" w:sz="8" w:space="0"/>
          </w:tblBorders>
          <w:tblLayout w:type="fixed"/>
          <w:tblCellMar>
            <w:top w:w="0" w:type="dxa"/>
            <w:left w:w="108" w:type="dxa"/>
            <w:bottom w:w="0" w:type="dxa"/>
            <w:right w:w="108" w:type="dxa"/>
          </w:tblCellMar>
        </w:tblPrEx>
        <w:trPr>
          <w:trHeight w:val="536" w:hRule="atLeast"/>
        </w:trPr>
        <w:tc>
          <w:tcPr>
            <w:tcW w:w="841" w:type="dxa"/>
            <w:vMerge w:val="continue"/>
            <w:tcBorders>
              <w:left w:val="single" w:color="FFFFFF" w:sz="8" w:space="0"/>
              <w:bottom w:val="single" w:color="FFFFFF" w:sz="8" w:space="0"/>
            </w:tcBorders>
            <w:shd w:val="clear" w:color="auto" w:fill="86A795"/>
            <w:vAlign w:val="center"/>
          </w:tcPr>
          <w:p>
            <w:pPr>
              <w:jc w:val="center"/>
              <w:rPr>
                <w:rFonts w:hint="eastAsia" w:ascii="宋体" w:hAnsi="宋体" w:eastAsia="宋体"/>
                <w:b/>
                <w:bCs/>
                <w:color w:val="FFFFFF"/>
                <w:szCs w:val="21"/>
                <w:lang w:val="zh-CN"/>
              </w:rPr>
            </w:pPr>
          </w:p>
        </w:tc>
        <w:tc>
          <w:tcPr>
            <w:tcW w:w="2411" w:type="dxa"/>
            <w:tcBorders>
              <w:top w:val="single" w:color="FFFFFF" w:sz="8" w:space="0"/>
              <w:bottom w:val="single" w:color="FFFFFF" w:sz="8" w:space="0"/>
            </w:tcBorders>
            <w:shd w:val="clear" w:color="auto" w:fill="AEC4B8"/>
            <w:vAlign w:val="center"/>
          </w:tcPr>
          <w:p>
            <w:pPr>
              <w:jc w:val="center"/>
              <w:rPr>
                <w:rFonts w:hint="eastAsia" w:ascii="宋体" w:hAnsi="宋体" w:eastAsia="宋体"/>
                <w:szCs w:val="21"/>
              </w:rPr>
            </w:pPr>
            <w:r>
              <w:rPr>
                <w:rFonts w:hint="eastAsia" w:ascii="宋体" w:hAnsi="宋体" w:eastAsia="宋体"/>
                <w:szCs w:val="21"/>
              </w:rPr>
              <w:t>绿色信贷客户数</w:t>
            </w:r>
          </w:p>
        </w:tc>
        <w:tc>
          <w:tcPr>
            <w:tcW w:w="899" w:type="dxa"/>
            <w:tcBorders>
              <w:top w:val="single" w:color="FFFFFF" w:sz="8" w:space="0"/>
              <w:bottom w:val="single" w:color="FFFFFF" w:sz="8" w:space="0"/>
            </w:tcBorders>
            <w:shd w:val="clear" w:color="auto" w:fill="D6E1DB"/>
            <w:tcMar>
              <w:left w:w="0" w:type="dxa"/>
              <w:right w:w="0" w:type="dxa"/>
            </w:tcMar>
            <w:vAlign w:val="center"/>
          </w:tcPr>
          <w:p>
            <w:pPr>
              <w:jc w:val="center"/>
              <w:rPr>
                <w:rFonts w:hint="eastAsia" w:ascii="宋体" w:hAnsi="宋体" w:eastAsia="宋体"/>
                <w:szCs w:val="21"/>
              </w:rPr>
            </w:pPr>
            <w:r>
              <w:rPr>
                <w:rFonts w:hint="eastAsia" w:ascii="宋体" w:hAnsi="宋体" w:eastAsia="宋体"/>
                <w:szCs w:val="21"/>
              </w:rPr>
              <w:t>家</w:t>
            </w:r>
          </w:p>
        </w:tc>
        <w:tc>
          <w:tcPr>
            <w:tcW w:w="1382" w:type="dxa"/>
            <w:tcBorders>
              <w:top w:val="single" w:color="FFFFFF" w:sz="8" w:space="0"/>
              <w:bottom w:val="single" w:color="FFFFFF" w:sz="8" w:space="0"/>
              <w:right w:val="single" w:color="FFFFFF" w:sz="8" w:space="0"/>
            </w:tcBorders>
            <w:shd w:val="clear" w:color="auto" w:fill="F2F2F2"/>
            <w:tcMar>
              <w:left w:w="0" w:type="dxa"/>
              <w:right w:w="0" w:type="dxa"/>
            </w:tcMar>
            <w:vAlign w:val="center"/>
          </w:tcPr>
          <w:p>
            <w:pPr>
              <w:jc w:val="center"/>
              <w:rPr>
                <w:rFonts w:hint="eastAsia" w:ascii="宋体" w:hAnsi="宋体" w:eastAsia="宋体"/>
                <w:szCs w:val="21"/>
              </w:rPr>
            </w:pPr>
            <w:r>
              <w:rPr>
                <w:rFonts w:hint="eastAsia" w:ascii="宋体" w:hAnsi="宋体" w:eastAsia="宋体"/>
                <w:szCs w:val="21"/>
              </w:rPr>
              <w:t>6</w:t>
            </w:r>
          </w:p>
        </w:tc>
        <w:tc>
          <w:tcPr>
            <w:tcW w:w="1384" w:type="dxa"/>
            <w:tcBorders>
              <w:top w:val="single" w:color="FFFFFF" w:sz="8" w:space="0"/>
              <w:bottom w:val="single" w:color="FFFFFF" w:sz="8" w:space="0"/>
              <w:right w:val="single" w:color="FFFFFF" w:sz="8" w:space="0"/>
            </w:tcBorders>
            <w:shd w:val="clear" w:color="auto" w:fill="F2F2F2"/>
            <w:vAlign w:val="center"/>
          </w:tcPr>
          <w:p>
            <w:pPr>
              <w:jc w:val="center"/>
              <w:rPr>
                <w:rFonts w:hint="eastAsia" w:ascii="宋体" w:hAnsi="宋体" w:eastAsia="宋体"/>
                <w:szCs w:val="21"/>
              </w:rPr>
            </w:pPr>
            <w:r>
              <w:rPr>
                <w:rFonts w:hint="eastAsia" w:ascii="宋体" w:hAnsi="宋体" w:eastAsia="宋体"/>
                <w:szCs w:val="21"/>
              </w:rPr>
              <w:t>5</w:t>
            </w:r>
          </w:p>
        </w:tc>
        <w:tc>
          <w:tcPr>
            <w:tcW w:w="1379" w:type="dxa"/>
            <w:tcBorders>
              <w:top w:val="single" w:color="FFFFFF" w:sz="8" w:space="0"/>
              <w:bottom w:val="single" w:color="FFFFFF" w:sz="8" w:space="0"/>
              <w:right w:val="single" w:color="FFFFFF" w:sz="8" w:space="0"/>
            </w:tcBorders>
            <w:shd w:val="clear" w:color="auto" w:fill="F2F2F2"/>
            <w:vAlign w:val="center"/>
          </w:tcPr>
          <w:p>
            <w:pPr>
              <w:jc w:val="center"/>
              <w:rPr>
                <w:rFonts w:hint="eastAsia" w:ascii="宋体" w:hAnsi="宋体" w:eastAsia="宋体"/>
                <w:szCs w:val="21"/>
              </w:rPr>
            </w:pPr>
            <w:r>
              <w:rPr>
                <w:rFonts w:hint="eastAsia" w:ascii="宋体" w:hAnsi="宋体" w:eastAsia="宋体"/>
                <w:szCs w:val="21"/>
              </w:rPr>
              <w:t>20.00%</w:t>
            </w:r>
          </w:p>
        </w:tc>
      </w:tr>
      <w:tr>
        <w:tblPrEx>
          <w:tblBorders>
            <w:top w:val="single" w:color="FFFFFF" w:sz="8" w:space="0"/>
            <w:left w:val="none" w:color="auto" w:sz="0" w:space="0"/>
            <w:bottom w:val="none" w:color="auto" w:sz="0" w:space="0"/>
            <w:right w:val="none" w:color="auto" w:sz="0" w:space="0"/>
            <w:insideH w:val="none" w:color="auto" w:sz="0" w:space="0"/>
            <w:insideV w:val="single" w:color="FFFFFF" w:sz="8" w:space="0"/>
          </w:tblBorders>
          <w:tblLayout w:type="fixed"/>
          <w:tblCellMar>
            <w:top w:w="0" w:type="dxa"/>
            <w:left w:w="108" w:type="dxa"/>
            <w:bottom w:w="0" w:type="dxa"/>
            <w:right w:w="108" w:type="dxa"/>
          </w:tblCellMar>
        </w:tblPrEx>
        <w:trPr>
          <w:trHeight w:val="614" w:hRule="atLeast"/>
        </w:trPr>
        <w:tc>
          <w:tcPr>
            <w:tcW w:w="841" w:type="dxa"/>
            <w:vMerge w:val="restart"/>
            <w:tcBorders>
              <w:top w:val="single" w:color="FFFFFF" w:sz="8" w:space="0"/>
              <w:left w:val="single" w:color="FFFFFF" w:sz="8" w:space="0"/>
            </w:tcBorders>
            <w:shd w:val="clear" w:color="auto" w:fill="86A795"/>
            <w:vAlign w:val="center"/>
          </w:tcPr>
          <w:p>
            <w:pPr>
              <w:jc w:val="center"/>
              <w:rPr>
                <w:rFonts w:hint="eastAsia" w:ascii="宋体" w:hAnsi="宋体" w:eastAsia="宋体"/>
                <w:b/>
                <w:bCs/>
                <w:color w:val="FFFFFF"/>
                <w:szCs w:val="21"/>
                <w:lang w:val="zh-CN"/>
              </w:rPr>
            </w:pPr>
            <w:r>
              <w:rPr>
                <w:rFonts w:hint="eastAsia" w:ascii="宋体" w:hAnsi="宋体" w:eastAsia="宋体"/>
                <w:b/>
                <w:bCs/>
                <w:color w:val="FFFFFF"/>
                <w:szCs w:val="21"/>
                <w:lang w:val="zh-CN"/>
              </w:rPr>
              <w:t>绿色办公运营</w:t>
            </w:r>
          </w:p>
        </w:tc>
        <w:tc>
          <w:tcPr>
            <w:tcW w:w="2411" w:type="dxa"/>
            <w:tcBorders>
              <w:top w:val="single" w:color="FFFFFF" w:sz="8" w:space="0"/>
              <w:bottom w:val="single" w:color="FFFFFF" w:sz="8" w:space="0"/>
            </w:tcBorders>
            <w:shd w:val="clear" w:color="auto" w:fill="AEC4B8"/>
            <w:vAlign w:val="center"/>
          </w:tcPr>
          <w:p>
            <w:pPr>
              <w:jc w:val="center"/>
              <w:rPr>
                <w:rFonts w:hint="eastAsia" w:ascii="宋体" w:hAnsi="宋体" w:eastAsia="宋体"/>
                <w:szCs w:val="21"/>
              </w:rPr>
            </w:pPr>
            <w:r>
              <w:rPr>
                <w:rFonts w:hint="eastAsia" w:ascii="宋体" w:hAnsi="宋体" w:eastAsia="宋体"/>
                <w:szCs w:val="21"/>
              </w:rPr>
              <w:t>营业、办公用水量</w:t>
            </w:r>
          </w:p>
        </w:tc>
        <w:tc>
          <w:tcPr>
            <w:tcW w:w="899" w:type="dxa"/>
            <w:tcBorders>
              <w:top w:val="single" w:color="FFFFFF" w:sz="8" w:space="0"/>
              <w:bottom w:val="single" w:color="FFFFFF" w:sz="8" w:space="0"/>
            </w:tcBorders>
            <w:shd w:val="clear" w:color="auto" w:fill="D6E1DB"/>
            <w:tcMar>
              <w:left w:w="0" w:type="dxa"/>
              <w:right w:w="0" w:type="dxa"/>
            </w:tcMar>
            <w:vAlign w:val="center"/>
          </w:tcPr>
          <w:p>
            <w:pPr>
              <w:jc w:val="center"/>
              <w:rPr>
                <w:rFonts w:hint="eastAsia" w:ascii="宋体" w:hAnsi="宋体" w:eastAsia="宋体"/>
                <w:szCs w:val="21"/>
              </w:rPr>
            </w:pPr>
            <w:r>
              <w:rPr>
                <w:rFonts w:hint="eastAsia" w:ascii="宋体" w:hAnsi="宋体" w:eastAsia="宋体"/>
                <w:szCs w:val="21"/>
              </w:rPr>
              <w:t>吨</w:t>
            </w:r>
          </w:p>
        </w:tc>
        <w:tc>
          <w:tcPr>
            <w:tcW w:w="1382" w:type="dxa"/>
            <w:tcBorders>
              <w:top w:val="single" w:color="FFFFFF" w:sz="8" w:space="0"/>
              <w:bottom w:val="single" w:color="FFFFFF" w:sz="8" w:space="0"/>
              <w:right w:val="single" w:color="FFFFFF" w:sz="8" w:space="0"/>
            </w:tcBorders>
            <w:shd w:val="clear" w:color="auto" w:fill="F2F2F2"/>
            <w:tcMar>
              <w:left w:w="0" w:type="dxa"/>
              <w:right w:w="0" w:type="dxa"/>
            </w:tcMar>
            <w:vAlign w:val="center"/>
          </w:tcPr>
          <w:p>
            <w:pPr>
              <w:jc w:val="center"/>
              <w:rPr>
                <w:rFonts w:hint="eastAsia" w:ascii="宋体" w:hAnsi="宋体" w:eastAsia="宋体"/>
                <w:szCs w:val="21"/>
              </w:rPr>
            </w:pPr>
            <w:r>
              <w:rPr>
                <w:rFonts w:hint="eastAsia" w:ascii="宋体" w:hAnsi="宋体" w:eastAsia="宋体"/>
                <w:szCs w:val="21"/>
              </w:rPr>
              <w:t>1890</w:t>
            </w:r>
          </w:p>
        </w:tc>
        <w:tc>
          <w:tcPr>
            <w:tcW w:w="1384" w:type="dxa"/>
            <w:tcBorders>
              <w:top w:val="single" w:color="FFFFFF" w:sz="8" w:space="0"/>
              <w:bottom w:val="single" w:color="FFFFFF" w:sz="8" w:space="0"/>
              <w:right w:val="single" w:color="FFFFFF" w:sz="8" w:space="0"/>
            </w:tcBorders>
            <w:shd w:val="clear" w:color="auto" w:fill="F2F2F2"/>
            <w:vAlign w:val="center"/>
          </w:tcPr>
          <w:p>
            <w:pPr>
              <w:jc w:val="center"/>
              <w:rPr>
                <w:rFonts w:hint="eastAsia" w:ascii="宋体" w:hAnsi="宋体" w:eastAsia="宋体"/>
                <w:szCs w:val="21"/>
              </w:rPr>
            </w:pPr>
            <w:r>
              <w:rPr>
                <w:rFonts w:hint="eastAsia" w:ascii="宋体" w:hAnsi="宋体" w:eastAsia="宋体"/>
                <w:szCs w:val="21"/>
              </w:rPr>
              <w:t>2110</w:t>
            </w:r>
          </w:p>
        </w:tc>
        <w:tc>
          <w:tcPr>
            <w:tcW w:w="1379" w:type="dxa"/>
            <w:tcBorders>
              <w:top w:val="single" w:color="FFFFFF" w:sz="8" w:space="0"/>
              <w:bottom w:val="single" w:color="FFFFFF" w:sz="8" w:space="0"/>
              <w:right w:val="single" w:color="FFFFFF" w:sz="8" w:space="0"/>
            </w:tcBorders>
            <w:shd w:val="clear" w:color="auto" w:fill="F2F2F2"/>
            <w:vAlign w:val="center"/>
          </w:tcPr>
          <w:p>
            <w:pPr>
              <w:jc w:val="center"/>
              <w:rPr>
                <w:rFonts w:hint="eastAsia" w:ascii="宋体" w:hAnsi="宋体" w:eastAsia="宋体"/>
                <w:szCs w:val="21"/>
              </w:rPr>
            </w:pPr>
            <w:r>
              <w:rPr>
                <w:rFonts w:hint="eastAsia" w:ascii="宋体" w:hAnsi="宋体" w:eastAsia="宋体"/>
                <w:szCs w:val="21"/>
              </w:rPr>
              <w:t>-10.43%</w:t>
            </w:r>
          </w:p>
        </w:tc>
      </w:tr>
      <w:tr>
        <w:tblPrEx>
          <w:tblBorders>
            <w:top w:val="single" w:color="FFFFFF" w:sz="8" w:space="0"/>
            <w:left w:val="none" w:color="auto" w:sz="0" w:space="0"/>
            <w:bottom w:val="none" w:color="auto" w:sz="0" w:space="0"/>
            <w:right w:val="none" w:color="auto" w:sz="0" w:space="0"/>
            <w:insideH w:val="none" w:color="auto" w:sz="0" w:space="0"/>
            <w:insideV w:val="single" w:color="FFFFFF" w:sz="8" w:space="0"/>
          </w:tblBorders>
          <w:tblLayout w:type="fixed"/>
          <w:tblCellMar>
            <w:top w:w="0" w:type="dxa"/>
            <w:left w:w="108" w:type="dxa"/>
            <w:bottom w:w="0" w:type="dxa"/>
            <w:right w:w="108" w:type="dxa"/>
          </w:tblCellMar>
        </w:tblPrEx>
        <w:trPr>
          <w:trHeight w:val="536" w:hRule="atLeast"/>
        </w:trPr>
        <w:tc>
          <w:tcPr>
            <w:tcW w:w="841" w:type="dxa"/>
            <w:vMerge w:val="continue"/>
            <w:tcBorders>
              <w:left w:val="single" w:color="FFFFFF" w:sz="8" w:space="0"/>
            </w:tcBorders>
            <w:shd w:val="clear" w:color="auto" w:fill="86A795"/>
            <w:vAlign w:val="center"/>
          </w:tcPr>
          <w:p>
            <w:pPr>
              <w:jc w:val="center"/>
              <w:rPr>
                <w:rFonts w:hint="eastAsia" w:ascii="宋体" w:hAnsi="宋体" w:eastAsia="宋体"/>
                <w:b/>
                <w:bCs/>
                <w:szCs w:val="21"/>
                <w:lang w:val="zh-CN"/>
              </w:rPr>
            </w:pPr>
          </w:p>
        </w:tc>
        <w:tc>
          <w:tcPr>
            <w:tcW w:w="2411" w:type="dxa"/>
            <w:tcBorders>
              <w:top w:val="single" w:color="FFFFFF" w:sz="8" w:space="0"/>
              <w:bottom w:val="single" w:color="FFFFFF" w:sz="8" w:space="0"/>
              <w:right w:val="single" w:color="FFFFFF" w:sz="8" w:space="0"/>
            </w:tcBorders>
            <w:shd w:val="clear" w:color="auto" w:fill="AEC4B8"/>
            <w:vAlign w:val="center"/>
          </w:tcPr>
          <w:p>
            <w:pPr>
              <w:jc w:val="center"/>
              <w:rPr>
                <w:rFonts w:hint="eastAsia" w:ascii="宋体" w:hAnsi="宋体" w:eastAsia="宋体"/>
                <w:szCs w:val="21"/>
              </w:rPr>
            </w:pPr>
            <w:r>
              <w:rPr>
                <w:rFonts w:hint="eastAsia" w:ascii="宋体" w:hAnsi="宋体" w:eastAsia="宋体"/>
                <w:szCs w:val="21"/>
              </w:rPr>
              <w:t>营业、办公用电量</w:t>
            </w:r>
          </w:p>
        </w:tc>
        <w:tc>
          <w:tcPr>
            <w:tcW w:w="899" w:type="dxa"/>
            <w:tcBorders>
              <w:top w:val="single" w:color="FFFFFF" w:sz="8" w:space="0"/>
              <w:left w:val="single" w:color="FFFFFF" w:sz="8" w:space="0"/>
              <w:bottom w:val="single" w:color="FFFFFF" w:sz="8" w:space="0"/>
              <w:right w:val="single" w:color="FFFFFF" w:sz="8" w:space="0"/>
            </w:tcBorders>
            <w:shd w:val="clear" w:color="auto" w:fill="D6E1DB"/>
            <w:tcMar>
              <w:left w:w="0" w:type="dxa"/>
              <w:right w:w="0" w:type="dxa"/>
            </w:tcMar>
            <w:vAlign w:val="center"/>
          </w:tcPr>
          <w:p>
            <w:pPr>
              <w:jc w:val="center"/>
              <w:rPr>
                <w:rFonts w:hint="eastAsia" w:ascii="宋体" w:hAnsi="宋体" w:eastAsia="宋体"/>
                <w:szCs w:val="21"/>
              </w:rPr>
            </w:pPr>
            <w:r>
              <w:rPr>
                <w:rFonts w:hint="eastAsia" w:ascii="宋体" w:hAnsi="宋体" w:eastAsia="宋体"/>
                <w:szCs w:val="21"/>
              </w:rPr>
              <w:t>万千瓦时</w:t>
            </w:r>
          </w:p>
        </w:tc>
        <w:tc>
          <w:tcPr>
            <w:tcW w:w="1382" w:type="dxa"/>
            <w:tcBorders>
              <w:top w:val="single" w:color="FFFFFF" w:sz="8" w:space="0"/>
              <w:left w:val="single" w:color="FFFFFF" w:sz="8" w:space="0"/>
              <w:bottom w:val="single" w:color="FFFFFF" w:sz="8" w:space="0"/>
              <w:right w:val="single" w:color="FFFFFF" w:sz="8" w:space="0"/>
            </w:tcBorders>
            <w:shd w:val="clear" w:color="auto" w:fill="F2F2F2"/>
            <w:tcMar>
              <w:left w:w="0" w:type="dxa"/>
              <w:right w:w="0" w:type="dxa"/>
            </w:tcMar>
            <w:vAlign w:val="center"/>
          </w:tcPr>
          <w:p>
            <w:pPr>
              <w:jc w:val="center"/>
              <w:rPr>
                <w:rFonts w:hint="eastAsia" w:ascii="宋体" w:hAnsi="宋体" w:eastAsia="宋体"/>
                <w:szCs w:val="21"/>
              </w:rPr>
            </w:pPr>
            <w:r>
              <w:rPr>
                <w:rFonts w:hint="eastAsia" w:ascii="宋体" w:hAnsi="宋体" w:eastAsia="宋体"/>
                <w:szCs w:val="21"/>
              </w:rPr>
              <w:t>14</w:t>
            </w:r>
          </w:p>
        </w:tc>
        <w:tc>
          <w:tcPr>
            <w:tcW w:w="1384" w:type="dxa"/>
            <w:tcBorders>
              <w:top w:val="single" w:color="FFFFFF" w:sz="8" w:space="0"/>
              <w:left w:val="single" w:color="FFFFFF" w:sz="8" w:space="0"/>
              <w:bottom w:val="single" w:color="FFFFFF" w:sz="8" w:space="0"/>
              <w:right w:val="single" w:color="FFFFFF" w:sz="8" w:space="0"/>
            </w:tcBorders>
            <w:shd w:val="clear" w:color="auto" w:fill="F2F2F2"/>
            <w:vAlign w:val="center"/>
          </w:tcPr>
          <w:p>
            <w:pPr>
              <w:jc w:val="center"/>
              <w:rPr>
                <w:rFonts w:hint="eastAsia" w:ascii="宋体" w:hAnsi="宋体" w:eastAsia="宋体"/>
                <w:szCs w:val="21"/>
              </w:rPr>
            </w:pPr>
            <w:r>
              <w:rPr>
                <w:rFonts w:hint="eastAsia" w:ascii="宋体" w:hAnsi="宋体" w:eastAsia="宋体"/>
                <w:szCs w:val="21"/>
              </w:rPr>
              <w:t>20.1</w:t>
            </w:r>
          </w:p>
        </w:tc>
        <w:tc>
          <w:tcPr>
            <w:tcW w:w="1379" w:type="dxa"/>
            <w:tcBorders>
              <w:top w:val="single" w:color="FFFFFF" w:sz="8" w:space="0"/>
              <w:left w:val="single" w:color="FFFFFF" w:sz="8" w:space="0"/>
              <w:bottom w:val="single" w:color="FFFFFF" w:sz="8" w:space="0"/>
              <w:right w:val="single" w:color="FFFFFF" w:sz="8" w:space="0"/>
            </w:tcBorders>
            <w:shd w:val="clear" w:color="auto" w:fill="F2F2F2"/>
            <w:vAlign w:val="center"/>
          </w:tcPr>
          <w:p>
            <w:pPr>
              <w:jc w:val="center"/>
              <w:rPr>
                <w:rFonts w:hint="eastAsia" w:ascii="宋体" w:hAnsi="宋体" w:eastAsia="宋体"/>
                <w:szCs w:val="21"/>
              </w:rPr>
            </w:pPr>
            <w:r>
              <w:rPr>
                <w:rFonts w:hint="eastAsia" w:ascii="宋体" w:hAnsi="宋体" w:eastAsia="宋体"/>
                <w:szCs w:val="21"/>
              </w:rPr>
              <w:t>-30.35%</w:t>
            </w:r>
          </w:p>
        </w:tc>
      </w:tr>
      <w:tr>
        <w:tblPrEx>
          <w:tblBorders>
            <w:top w:val="single" w:color="FFFFFF" w:sz="8" w:space="0"/>
            <w:left w:val="none" w:color="auto" w:sz="0" w:space="0"/>
            <w:bottom w:val="none" w:color="auto" w:sz="0" w:space="0"/>
            <w:right w:val="none" w:color="auto" w:sz="0" w:space="0"/>
            <w:insideH w:val="none" w:color="auto" w:sz="0" w:space="0"/>
            <w:insideV w:val="single" w:color="FFFFFF" w:sz="8" w:space="0"/>
          </w:tblBorders>
          <w:tblLayout w:type="fixed"/>
          <w:tblCellMar>
            <w:top w:w="0" w:type="dxa"/>
            <w:left w:w="108" w:type="dxa"/>
            <w:bottom w:w="0" w:type="dxa"/>
            <w:right w:w="108" w:type="dxa"/>
          </w:tblCellMar>
        </w:tblPrEx>
        <w:trPr>
          <w:trHeight w:val="546" w:hRule="atLeast"/>
        </w:trPr>
        <w:tc>
          <w:tcPr>
            <w:tcW w:w="841" w:type="dxa"/>
            <w:vMerge w:val="continue"/>
            <w:tcBorders>
              <w:left w:val="single" w:color="FFFFFF" w:sz="8" w:space="0"/>
            </w:tcBorders>
            <w:shd w:val="clear" w:color="auto" w:fill="86A795"/>
            <w:vAlign w:val="center"/>
          </w:tcPr>
          <w:p>
            <w:pPr>
              <w:jc w:val="center"/>
              <w:rPr>
                <w:rFonts w:hint="eastAsia" w:ascii="宋体" w:hAnsi="宋体" w:eastAsia="宋体"/>
                <w:b/>
                <w:bCs/>
                <w:szCs w:val="21"/>
                <w:lang w:val="zh-CN"/>
              </w:rPr>
            </w:pPr>
          </w:p>
        </w:tc>
        <w:tc>
          <w:tcPr>
            <w:tcW w:w="2411" w:type="dxa"/>
            <w:tcBorders>
              <w:top w:val="single" w:color="FFFFFF" w:sz="8" w:space="0"/>
              <w:bottom w:val="single" w:color="FFFFFF" w:sz="8" w:space="0"/>
              <w:right w:val="single" w:color="FFFFFF" w:sz="8" w:space="0"/>
            </w:tcBorders>
            <w:shd w:val="clear" w:color="auto" w:fill="AEC4B8"/>
            <w:vAlign w:val="center"/>
          </w:tcPr>
          <w:p>
            <w:pPr>
              <w:jc w:val="center"/>
              <w:rPr>
                <w:rFonts w:hint="eastAsia" w:ascii="宋体" w:hAnsi="宋体" w:eastAsia="宋体"/>
                <w:szCs w:val="21"/>
              </w:rPr>
            </w:pPr>
            <w:r>
              <w:rPr>
                <w:rFonts w:hint="eastAsia" w:ascii="宋体" w:hAnsi="宋体" w:eastAsia="宋体"/>
                <w:szCs w:val="21"/>
              </w:rPr>
              <w:t>营业、办公用纸量</w:t>
            </w:r>
          </w:p>
        </w:tc>
        <w:tc>
          <w:tcPr>
            <w:tcW w:w="899" w:type="dxa"/>
            <w:tcBorders>
              <w:top w:val="single" w:color="FFFFFF" w:sz="8" w:space="0"/>
              <w:left w:val="single" w:color="FFFFFF" w:sz="8" w:space="0"/>
              <w:bottom w:val="single" w:color="FFFFFF" w:sz="8" w:space="0"/>
              <w:right w:val="single" w:color="FFFFFF" w:sz="8" w:space="0"/>
            </w:tcBorders>
            <w:shd w:val="clear" w:color="auto" w:fill="D6E1DB"/>
            <w:tcMar>
              <w:left w:w="0" w:type="dxa"/>
              <w:right w:w="0" w:type="dxa"/>
            </w:tcMar>
            <w:vAlign w:val="center"/>
          </w:tcPr>
          <w:p>
            <w:pPr>
              <w:jc w:val="center"/>
              <w:rPr>
                <w:rFonts w:hint="eastAsia" w:ascii="宋体" w:hAnsi="宋体" w:eastAsia="宋体"/>
                <w:szCs w:val="21"/>
              </w:rPr>
            </w:pPr>
            <w:r>
              <w:rPr>
                <w:rFonts w:hint="eastAsia" w:ascii="宋体" w:hAnsi="宋体" w:eastAsia="宋体"/>
                <w:szCs w:val="21"/>
              </w:rPr>
              <w:t>万张</w:t>
            </w:r>
          </w:p>
        </w:tc>
        <w:tc>
          <w:tcPr>
            <w:tcW w:w="1382" w:type="dxa"/>
            <w:tcBorders>
              <w:top w:val="single" w:color="FFFFFF" w:sz="8" w:space="0"/>
              <w:left w:val="single" w:color="FFFFFF" w:sz="8" w:space="0"/>
              <w:bottom w:val="single" w:color="FFFFFF" w:sz="8" w:space="0"/>
              <w:right w:val="single" w:color="FFFFFF" w:sz="8" w:space="0"/>
            </w:tcBorders>
            <w:shd w:val="clear" w:color="auto" w:fill="F2F2F2"/>
            <w:tcMar>
              <w:left w:w="0" w:type="dxa"/>
              <w:right w:w="0" w:type="dxa"/>
            </w:tcMar>
            <w:vAlign w:val="center"/>
          </w:tcPr>
          <w:p>
            <w:pPr>
              <w:jc w:val="center"/>
              <w:rPr>
                <w:rFonts w:hint="eastAsia" w:ascii="宋体" w:hAnsi="宋体" w:eastAsia="宋体"/>
                <w:szCs w:val="21"/>
              </w:rPr>
            </w:pPr>
            <w:r>
              <w:rPr>
                <w:rFonts w:hint="eastAsia" w:ascii="宋体" w:hAnsi="宋体" w:eastAsia="宋体"/>
                <w:szCs w:val="21"/>
              </w:rPr>
              <w:t>35</w:t>
            </w:r>
          </w:p>
        </w:tc>
        <w:tc>
          <w:tcPr>
            <w:tcW w:w="1384" w:type="dxa"/>
            <w:tcBorders>
              <w:top w:val="single" w:color="FFFFFF" w:sz="8" w:space="0"/>
              <w:left w:val="single" w:color="FFFFFF" w:sz="8" w:space="0"/>
              <w:bottom w:val="single" w:color="FFFFFF" w:sz="8" w:space="0"/>
              <w:right w:val="single" w:color="FFFFFF" w:sz="8" w:space="0"/>
            </w:tcBorders>
            <w:shd w:val="clear" w:color="auto" w:fill="F2F2F2"/>
            <w:vAlign w:val="center"/>
          </w:tcPr>
          <w:p>
            <w:pPr>
              <w:jc w:val="center"/>
              <w:rPr>
                <w:rFonts w:hint="eastAsia" w:ascii="宋体" w:hAnsi="宋体" w:eastAsia="宋体"/>
                <w:szCs w:val="21"/>
              </w:rPr>
            </w:pPr>
            <w:r>
              <w:rPr>
                <w:rFonts w:hint="eastAsia" w:ascii="宋体" w:hAnsi="宋体" w:eastAsia="宋体"/>
                <w:szCs w:val="21"/>
              </w:rPr>
              <w:t>41</w:t>
            </w:r>
          </w:p>
        </w:tc>
        <w:tc>
          <w:tcPr>
            <w:tcW w:w="1379" w:type="dxa"/>
            <w:tcBorders>
              <w:top w:val="single" w:color="FFFFFF" w:sz="8" w:space="0"/>
              <w:left w:val="single" w:color="FFFFFF" w:sz="8" w:space="0"/>
              <w:bottom w:val="single" w:color="FFFFFF" w:sz="8" w:space="0"/>
              <w:right w:val="single" w:color="FFFFFF" w:sz="8" w:space="0"/>
            </w:tcBorders>
            <w:shd w:val="clear" w:color="auto" w:fill="F2F2F2"/>
            <w:vAlign w:val="center"/>
          </w:tcPr>
          <w:p>
            <w:pPr>
              <w:jc w:val="center"/>
              <w:rPr>
                <w:rFonts w:hint="eastAsia" w:ascii="宋体" w:hAnsi="宋体" w:eastAsia="宋体"/>
                <w:szCs w:val="21"/>
              </w:rPr>
            </w:pPr>
            <w:r>
              <w:rPr>
                <w:rFonts w:hint="eastAsia" w:ascii="宋体" w:hAnsi="宋体" w:eastAsia="宋体"/>
                <w:szCs w:val="21"/>
              </w:rPr>
              <w:t>-14.63%</w:t>
            </w:r>
          </w:p>
        </w:tc>
      </w:tr>
    </w:tbl>
    <w:p>
      <w:pPr>
        <w:pStyle w:val="18"/>
        <w:rPr>
          <w:rStyle w:val="40"/>
          <w:rFonts w:hint="eastAsia" w:ascii="宋体" w:hAnsi="宋体" w:eastAsia="宋体"/>
          <w:lang w:val="zh-CN"/>
        </w:rPr>
      </w:pPr>
    </w:p>
    <w:p>
      <w:pPr>
        <w:pStyle w:val="18"/>
        <w:rPr>
          <w:rFonts w:hint="eastAsia" w:ascii="宋体" w:hAnsi="宋体" w:eastAsia="宋体"/>
          <w:sz w:val="21"/>
          <w:szCs w:val="21"/>
          <w:lang w:val="zh-CN"/>
        </w:rPr>
      </w:pPr>
      <w:r>
        <w:rPr>
          <w:rFonts w:hint="eastAsia" w:ascii="宋体" w:hAnsi="宋体" w:eastAsia="宋体"/>
          <w:sz w:val="21"/>
          <w:szCs w:val="21"/>
          <w:lang w:val="zh-CN"/>
        </w:rPr>
        <w:t>注：</w:t>
      </w:r>
    </w:p>
    <w:p>
      <w:pPr>
        <w:pStyle w:val="18"/>
        <w:numPr>
          <w:ilvl w:val="0"/>
          <w:numId w:val="3"/>
        </w:numPr>
        <w:rPr>
          <w:rFonts w:hint="eastAsia" w:ascii="宋体" w:hAnsi="宋体" w:eastAsia="宋体"/>
          <w:sz w:val="21"/>
          <w:szCs w:val="21"/>
          <w:lang w:val="zh-CN"/>
        </w:rPr>
      </w:pPr>
      <w:r>
        <w:rPr>
          <w:rFonts w:hint="eastAsia" w:ascii="宋体" w:hAnsi="宋体" w:eastAsia="宋体"/>
          <w:sz w:val="21"/>
          <w:szCs w:val="21"/>
          <w:lang w:val="zh-CN"/>
        </w:rPr>
        <w:t>数据统计范围为202</w:t>
      </w:r>
      <w:r>
        <w:rPr>
          <w:rFonts w:hint="eastAsia" w:ascii="宋体" w:hAnsi="宋体" w:eastAsia="宋体"/>
          <w:sz w:val="21"/>
          <w:szCs w:val="21"/>
        </w:rPr>
        <w:t>3</w:t>
      </w:r>
      <w:r>
        <w:rPr>
          <w:rFonts w:hint="eastAsia" w:ascii="宋体" w:hAnsi="宋体" w:eastAsia="宋体"/>
          <w:sz w:val="21"/>
          <w:szCs w:val="21"/>
          <w:lang w:val="zh-CN"/>
        </w:rPr>
        <w:t>年1-12月本公司情况。</w:t>
      </w:r>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本公司为支持绿色产业的发展，采取了多项措施，并取得了一定成效：</w:t>
      </w:r>
      <w:r>
        <w:rPr>
          <w:rFonts w:ascii="宋体" w:hAnsi="宋体" w:eastAsia="宋体"/>
          <w:color w:val="252525"/>
          <w:sz w:val="28"/>
          <w:szCs w:val="28"/>
        </w:rPr>
        <w:t xml:space="preserve"> </w:t>
      </w:r>
    </w:p>
    <w:p>
      <w:pPr>
        <w:pStyle w:val="2"/>
        <w:rPr>
          <w:rFonts w:hint="eastAsia"/>
        </w:rPr>
      </w:pPr>
      <w:r>
        <w:rPr>
          <w:rFonts w:hint="eastAsia" w:ascii="宋体" w:hAnsi="宋体" w:eastAsia="宋体"/>
          <w:color w:val="252525"/>
          <w:sz w:val="28"/>
          <w:szCs w:val="28"/>
        </w:rPr>
        <w:t>（1）梳理绿色信贷流程，促进业务稳健发展</w:t>
      </w:r>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长虹财务公司全面深化落实“以服务碳达峰、碳中和”为目标的绿色金融发展战略，着力构建绿色低碳循环经济体系，以加快生态文明建设，推动绿色产业发展为出发点，积极推进公司内部流程梳理和流程再造，不断明晰业务流程，建立“绿色”审批快速通道，优先审批用于支持绿色、低碳、循环经济的授信申请，将节能产业、清洁生产产业、清洁能源产业作为财务公司绿色金融发展的重点产业，优先配置资金并确保信贷业务顺利投放。</w:t>
      </w:r>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w:t>
      </w:r>
      <w:r>
        <w:rPr>
          <w:rFonts w:ascii="宋体" w:hAnsi="宋体" w:eastAsia="宋体"/>
          <w:color w:val="252525"/>
          <w:sz w:val="28"/>
          <w:szCs w:val="28"/>
        </w:rPr>
        <w:t>2</w:t>
      </w:r>
      <w:r>
        <w:rPr>
          <w:rFonts w:hint="eastAsia" w:ascii="宋体" w:hAnsi="宋体" w:eastAsia="宋体"/>
          <w:color w:val="252525"/>
          <w:sz w:val="28"/>
          <w:szCs w:val="28"/>
        </w:rPr>
        <w:t>）大力宣传绿色信贷，促进投放规模扩大</w:t>
      </w:r>
    </w:p>
    <w:p>
      <w:pPr>
        <w:pStyle w:val="2"/>
        <w:rPr>
          <w:rFonts w:hint="eastAsia" w:ascii="宋体" w:hAnsi="宋体" w:eastAsia="宋体"/>
          <w:color w:val="252525"/>
          <w:sz w:val="28"/>
          <w:szCs w:val="28"/>
        </w:rPr>
      </w:pPr>
      <w:r>
        <w:rPr>
          <w:rFonts w:hint="eastAsia" w:ascii="宋体" w:hAnsi="宋体" w:eastAsia="宋体"/>
          <w:color w:val="252525"/>
          <w:sz w:val="28"/>
          <w:szCs w:val="28"/>
        </w:rPr>
        <w:t>在绿色信贷业务推广方面，长虹财务公司采取了多种措施。一是加强与政府部门的沟通协作，及时了解绿色产业政策和项目信息。积极参与人行组织的绿色信贷政策培训会议，为绿色信贷业务的发展提供准确的市场导向；二是深入开展市场调研，挖掘潜在绿色信贷客户。长虹财务公司依托人行再贴现货币政策，通过价格优惠，引导绿色产业成员单位通过长虹财务公司进行票据融资，增强客户资金流动性，促进绿色产业成员单位长远发展；三是通过举办座谈会、金融宣传进企业等活动，提升长虹财务公司在绿色信贷领域的品牌影响力和市场竞争力。</w:t>
      </w:r>
    </w:p>
    <w:p>
      <w:pPr>
        <w:pStyle w:val="2"/>
        <w:rPr>
          <w:rFonts w:hint="eastAsia" w:ascii="宋体" w:hAnsi="宋体" w:eastAsia="宋体"/>
          <w:color w:val="252525"/>
          <w:sz w:val="28"/>
          <w:szCs w:val="28"/>
        </w:rPr>
      </w:pPr>
      <w:r>
        <w:rPr>
          <w:rFonts w:hint="eastAsia" w:ascii="宋体" w:hAnsi="宋体" w:eastAsia="宋体"/>
          <w:color w:val="252525"/>
          <w:sz w:val="28"/>
          <w:szCs w:val="28"/>
        </w:rPr>
        <w:t>（</w:t>
      </w:r>
      <w:r>
        <w:rPr>
          <w:rFonts w:ascii="宋体" w:hAnsi="宋体" w:eastAsia="宋体"/>
          <w:color w:val="252525"/>
          <w:sz w:val="28"/>
          <w:szCs w:val="28"/>
        </w:rPr>
        <w:t>3）</w:t>
      </w:r>
      <w:r>
        <w:rPr>
          <w:rFonts w:hint="eastAsia" w:ascii="宋体" w:hAnsi="宋体" w:eastAsia="宋体"/>
          <w:color w:val="252525"/>
          <w:sz w:val="28"/>
          <w:szCs w:val="28"/>
          <w:lang w:eastAsia="zh-CN"/>
        </w:rPr>
        <w:t>积极开展相关</w:t>
      </w:r>
      <w:r>
        <w:rPr>
          <w:rFonts w:hint="eastAsia" w:ascii="宋体" w:hAnsi="宋体" w:eastAsia="宋体"/>
          <w:color w:val="252525"/>
          <w:sz w:val="28"/>
          <w:szCs w:val="28"/>
        </w:rPr>
        <w:t>研究</w:t>
      </w:r>
      <w:r>
        <w:rPr>
          <w:rFonts w:hint="eastAsia" w:ascii="宋体" w:hAnsi="宋体" w:eastAsia="宋体"/>
          <w:color w:val="252525"/>
          <w:sz w:val="28"/>
          <w:szCs w:val="28"/>
          <w:lang w:eastAsia="zh-CN"/>
        </w:rPr>
        <w:t>，提升绿色金融发展能力</w:t>
      </w:r>
    </w:p>
    <w:p>
      <w:pPr>
        <w:pStyle w:val="2"/>
        <w:rPr>
          <w:rFonts w:hint="eastAsia" w:ascii="宋体" w:hAnsi="宋体" w:eastAsia="宋体"/>
          <w:color w:val="252525"/>
          <w:sz w:val="28"/>
          <w:szCs w:val="28"/>
        </w:rPr>
      </w:pPr>
      <w:r>
        <w:rPr>
          <w:rFonts w:hint="eastAsia" w:ascii="宋体" w:hAnsi="宋体" w:eastAsia="宋体"/>
          <w:color w:val="252525"/>
          <w:sz w:val="28"/>
          <w:szCs w:val="28"/>
        </w:rPr>
        <w:t>2023年</w:t>
      </w:r>
      <w:r>
        <w:rPr>
          <w:rFonts w:ascii="宋体" w:hAnsi="宋体" w:eastAsia="宋体"/>
          <w:color w:val="252525"/>
          <w:sz w:val="28"/>
          <w:szCs w:val="28"/>
        </w:rPr>
        <w:t>6月26日，ISSB正式发布了两项准则全文，即《国际财务报告可持续披露准则第1号——可持续相关财务信息披露一般要求》（IFRS S1）和《国际财务报告可持续披露准则第2号——气候相关披露》（IFRS S2）</w:t>
      </w:r>
      <w:r>
        <w:rPr>
          <w:rFonts w:hint="eastAsia" w:ascii="宋体" w:hAnsi="宋体" w:eastAsia="宋体"/>
          <w:color w:val="252525"/>
          <w:sz w:val="28"/>
          <w:szCs w:val="28"/>
        </w:rPr>
        <w:t>，并于2024年开始正式施行。</w:t>
      </w:r>
      <w:r>
        <w:rPr>
          <w:rFonts w:hint="eastAsia" w:ascii="宋体" w:hAnsi="宋体" w:eastAsia="宋体"/>
          <w:color w:val="252525"/>
          <w:sz w:val="28"/>
          <w:szCs w:val="28"/>
          <w:lang w:eastAsia="zh-CN"/>
        </w:rPr>
        <w:t>为此，</w:t>
      </w:r>
      <w:r>
        <w:rPr>
          <w:rFonts w:hint="eastAsia" w:ascii="宋体" w:hAnsi="宋体" w:eastAsia="宋体"/>
          <w:color w:val="252525"/>
          <w:sz w:val="28"/>
          <w:szCs w:val="28"/>
        </w:rPr>
        <w:t>财务公司</w:t>
      </w:r>
      <w:r>
        <w:rPr>
          <w:rFonts w:hint="eastAsia" w:ascii="宋体" w:hAnsi="宋体" w:eastAsia="宋体"/>
          <w:color w:val="252525"/>
          <w:sz w:val="28"/>
          <w:szCs w:val="28"/>
          <w:lang w:eastAsia="zh-CN"/>
        </w:rPr>
        <w:t>主动加强学习</w:t>
      </w:r>
      <w:r>
        <w:rPr>
          <w:rFonts w:hint="eastAsia" w:ascii="宋体" w:hAnsi="宋体" w:eastAsia="宋体"/>
          <w:color w:val="252525"/>
          <w:sz w:val="28"/>
          <w:szCs w:val="28"/>
        </w:rPr>
        <w:t>，</w:t>
      </w:r>
      <w:r>
        <w:rPr>
          <w:rFonts w:hint="eastAsia" w:ascii="宋体" w:hAnsi="宋体" w:eastAsia="宋体"/>
          <w:color w:val="252525"/>
          <w:sz w:val="28"/>
          <w:szCs w:val="28"/>
          <w:lang w:eastAsia="zh-CN"/>
        </w:rPr>
        <w:t>在人民银行绵阳市分行的指导下，</w:t>
      </w:r>
      <w:r>
        <w:rPr>
          <w:rFonts w:hint="eastAsia" w:ascii="宋体" w:hAnsi="宋体" w:eastAsia="宋体"/>
          <w:color w:val="252525"/>
          <w:sz w:val="28"/>
          <w:szCs w:val="28"/>
        </w:rPr>
        <w:t>研究并撰写了《</w:t>
      </w:r>
      <w:r>
        <w:rPr>
          <w:rFonts w:ascii="宋体" w:hAnsi="宋体" w:eastAsia="宋体"/>
          <w:color w:val="252525"/>
          <w:sz w:val="28"/>
          <w:szCs w:val="28"/>
        </w:rPr>
        <w:t>ISSB可持续披露准则对金融机构环境信息披露的影响与建议》</w:t>
      </w:r>
      <w:r>
        <w:rPr>
          <w:rFonts w:hint="eastAsia" w:ascii="宋体" w:hAnsi="宋体" w:eastAsia="宋体"/>
          <w:color w:val="252525"/>
          <w:sz w:val="28"/>
          <w:szCs w:val="28"/>
          <w:lang w:eastAsia="zh-CN"/>
        </w:rPr>
        <w:t>。该项</w:t>
      </w:r>
      <w:r>
        <w:rPr>
          <w:rFonts w:ascii="宋体" w:hAnsi="宋体" w:eastAsia="宋体"/>
          <w:color w:val="252525"/>
          <w:sz w:val="28"/>
          <w:szCs w:val="28"/>
        </w:rPr>
        <w:t>研究成果不仅</w:t>
      </w:r>
      <w:r>
        <w:rPr>
          <w:rFonts w:hint="eastAsia" w:ascii="宋体" w:hAnsi="宋体" w:eastAsia="宋体"/>
          <w:color w:val="252525"/>
          <w:sz w:val="28"/>
          <w:szCs w:val="28"/>
          <w:lang w:eastAsia="zh-CN"/>
        </w:rPr>
        <w:t>得到省市两级人民银行</w:t>
      </w:r>
      <w:r>
        <w:rPr>
          <w:rFonts w:ascii="宋体" w:hAnsi="宋体" w:eastAsia="宋体"/>
          <w:color w:val="252525"/>
          <w:sz w:val="28"/>
          <w:szCs w:val="28"/>
        </w:rPr>
        <w:t>采用</w:t>
      </w:r>
      <w:r>
        <w:rPr>
          <w:rFonts w:hint="eastAsia" w:ascii="宋体" w:hAnsi="宋体" w:eastAsia="宋体"/>
          <w:color w:val="252525"/>
          <w:sz w:val="28"/>
          <w:szCs w:val="28"/>
          <w:lang w:eastAsia="zh-CN"/>
        </w:rPr>
        <w:t>和肯定</w:t>
      </w:r>
      <w:r>
        <w:rPr>
          <w:rFonts w:ascii="宋体" w:hAnsi="宋体" w:eastAsia="宋体"/>
          <w:color w:val="252525"/>
          <w:sz w:val="28"/>
          <w:szCs w:val="28"/>
        </w:rPr>
        <w:t>，还将对</w:t>
      </w:r>
      <w:r>
        <w:rPr>
          <w:rFonts w:hint="eastAsia" w:ascii="宋体" w:hAnsi="宋体" w:eastAsia="宋体"/>
          <w:color w:val="252525"/>
          <w:sz w:val="28"/>
          <w:szCs w:val="28"/>
          <w:lang w:eastAsia="zh-CN"/>
        </w:rPr>
        <w:t>公司进一步做好绿色金融</w:t>
      </w:r>
      <w:r>
        <w:rPr>
          <w:rFonts w:ascii="宋体" w:hAnsi="宋体" w:eastAsia="宋体"/>
          <w:color w:val="252525"/>
          <w:sz w:val="28"/>
          <w:szCs w:val="28"/>
        </w:rPr>
        <w:t>工作提供决策参考。</w:t>
      </w:r>
    </w:p>
    <w:p>
      <w:pPr>
        <w:pStyle w:val="2"/>
        <w:rPr>
          <w:rFonts w:hint="eastAsia" w:ascii="宋体" w:hAnsi="宋体" w:eastAsia="宋体"/>
          <w:color w:val="252525"/>
          <w:sz w:val="28"/>
          <w:szCs w:val="28"/>
        </w:rPr>
      </w:pPr>
      <w:r>
        <w:rPr>
          <w:rFonts w:hint="eastAsia" w:ascii="宋体" w:hAnsi="宋体" w:eastAsia="宋体"/>
          <w:color w:val="252525"/>
          <w:sz w:val="28"/>
          <w:szCs w:val="28"/>
        </w:rPr>
        <w:t>（4）实现投融资碳核算计算</w:t>
      </w:r>
    </w:p>
    <w:p>
      <w:pPr>
        <w:pStyle w:val="2"/>
        <w:rPr>
          <w:rFonts w:hint="eastAsia" w:ascii="宋体" w:hAnsi="宋体" w:eastAsia="宋体"/>
          <w:color w:val="252525"/>
          <w:sz w:val="28"/>
          <w:szCs w:val="28"/>
        </w:rPr>
      </w:pPr>
      <w:r>
        <w:rPr>
          <w:rFonts w:hint="eastAsia" w:ascii="宋体" w:hAnsi="宋体" w:eastAsia="宋体"/>
          <w:color w:val="252525"/>
          <w:sz w:val="28"/>
          <w:szCs w:val="28"/>
        </w:rPr>
        <w:t>长虹财务公司在环境信息披露工作中展现出了示范作用。目前环境信息披露的难点之一是由于各行业环境信息披露工作步调不一致，导致金融机构获取客户环境相关信息难度大，进而难以对范围三的温室气体排放进行完整准确的量化和披露。长虹财务公司凭借其独特的产业背景和服务集团的战略地位，具备天然的优势。在数据收集方面，公司更容易获得部分客户的积极配合，提供所需的环境相关数据，率先在“范围三”碳排放核算领域迈出了坚实的一步，在范围三中对部分客户的碳核算相关信息进行披露。这种优势使得长虹财务公司有可能在环境信息披露的转型中先行一步，为自身的可持续发展提供了有力支撑。</w:t>
      </w:r>
    </w:p>
    <w:p>
      <w:pPr>
        <w:pStyle w:val="2"/>
        <w:rPr>
          <w:rFonts w:hint="eastAsia" w:ascii="宋体" w:hAnsi="宋体" w:eastAsia="宋体"/>
          <w:color w:val="252525"/>
          <w:sz w:val="28"/>
          <w:szCs w:val="28"/>
        </w:rPr>
      </w:pPr>
      <w:r>
        <w:rPr>
          <w:rFonts w:ascii="宋体" w:hAnsi="宋体" w:eastAsia="宋体"/>
          <w:color w:val="252525"/>
          <w:sz w:val="28"/>
          <w:szCs w:val="28"/>
        </w:rPr>
        <w:t>2023年9月7日，长虹集团组织了一场各子公司</w:t>
      </w:r>
      <w:r>
        <w:rPr>
          <w:rFonts w:hint="eastAsia" w:ascii="宋体" w:hAnsi="宋体" w:eastAsia="宋体"/>
          <w:color w:val="252525"/>
          <w:sz w:val="28"/>
          <w:szCs w:val="28"/>
        </w:rPr>
        <w:t>可持续相关财务信息披露及气候披露的测评活动</w:t>
      </w:r>
      <w:r>
        <w:rPr>
          <w:rFonts w:ascii="宋体" w:hAnsi="宋体" w:eastAsia="宋体"/>
          <w:color w:val="252525"/>
          <w:sz w:val="28"/>
          <w:szCs w:val="28"/>
        </w:rPr>
        <w:t>，</w:t>
      </w:r>
      <w:r>
        <w:rPr>
          <w:rFonts w:hint="eastAsia" w:ascii="宋体" w:hAnsi="宋体" w:eastAsia="宋体"/>
          <w:color w:val="252525"/>
          <w:sz w:val="28"/>
          <w:szCs w:val="28"/>
        </w:rPr>
        <w:t>虽然</w:t>
      </w:r>
      <w:r>
        <w:rPr>
          <w:rFonts w:ascii="宋体" w:hAnsi="宋体" w:eastAsia="宋体"/>
          <w:color w:val="252525"/>
          <w:sz w:val="28"/>
          <w:szCs w:val="28"/>
        </w:rPr>
        <w:t>反馈结果显示，这一努力在提升子公司环境信息披露质量上仅算作初步尝试，成效尚显不足。</w:t>
      </w:r>
      <w:r>
        <w:rPr>
          <w:rFonts w:hint="eastAsia" w:ascii="宋体" w:hAnsi="宋体" w:eastAsia="宋体"/>
          <w:color w:val="252525"/>
          <w:sz w:val="28"/>
          <w:szCs w:val="28"/>
        </w:rPr>
        <w:t>但</w:t>
      </w:r>
      <w:r>
        <w:rPr>
          <w:rFonts w:ascii="宋体" w:hAnsi="宋体" w:eastAsia="宋体"/>
          <w:color w:val="252525"/>
          <w:sz w:val="28"/>
          <w:szCs w:val="28"/>
        </w:rPr>
        <w:t>它确实标志着长虹集团在推动子公司环境透明度方面迈出了试探性的一步，依然为长虹财务公司在后续获取客户环境数据方面的工作提供了一定的助力</w:t>
      </w:r>
      <w:r>
        <w:rPr>
          <w:rFonts w:hint="eastAsia" w:ascii="宋体" w:hAnsi="宋体" w:eastAsia="宋体"/>
          <w:color w:val="252525"/>
          <w:sz w:val="28"/>
          <w:szCs w:val="28"/>
        </w:rPr>
        <w:t>。但</w:t>
      </w:r>
      <w:r>
        <w:rPr>
          <w:rFonts w:ascii="宋体" w:hAnsi="宋体" w:eastAsia="宋体"/>
          <w:color w:val="252525"/>
          <w:sz w:val="28"/>
          <w:szCs w:val="28"/>
        </w:rPr>
        <w:t>这一基础尚需进一步巩固与加强。</w:t>
      </w:r>
    </w:p>
    <w:p>
      <w:pPr>
        <w:pStyle w:val="2"/>
        <w:rPr>
          <w:rFonts w:hint="eastAsia" w:ascii="宋体" w:hAnsi="宋体" w:eastAsia="宋体"/>
          <w:color w:val="252525"/>
          <w:sz w:val="28"/>
          <w:szCs w:val="28"/>
        </w:rPr>
      </w:pPr>
      <w:r>
        <w:rPr>
          <w:rFonts w:hint="eastAsia" w:ascii="宋体" w:hAnsi="宋体" w:eastAsia="宋体"/>
          <w:color w:val="252525"/>
          <w:sz w:val="28"/>
          <w:szCs w:val="28"/>
        </w:rPr>
        <w:t>（5）举行</w:t>
      </w:r>
      <w:r>
        <w:rPr>
          <w:rFonts w:ascii="宋体" w:hAnsi="宋体" w:eastAsia="宋体"/>
          <w:color w:val="252525"/>
          <w:sz w:val="28"/>
          <w:szCs w:val="28"/>
        </w:rPr>
        <w:t>2023“世界环境日”环保知识竞赛</w:t>
      </w:r>
    </w:p>
    <w:p>
      <w:pPr>
        <w:pStyle w:val="2"/>
        <w:rPr>
          <w:rFonts w:hint="eastAsia" w:ascii="宋体" w:hAnsi="宋体" w:eastAsia="宋体"/>
          <w:color w:val="252525"/>
          <w:sz w:val="28"/>
          <w:szCs w:val="28"/>
        </w:rPr>
      </w:pPr>
      <w:r>
        <w:rPr>
          <w:rFonts w:hint="eastAsia" w:ascii="宋体" w:hAnsi="宋体" w:eastAsia="宋体"/>
          <w:color w:val="252525"/>
          <w:sz w:val="28"/>
          <w:szCs w:val="28"/>
        </w:rPr>
        <w:t>为提高全体员工环境保护意识，营造公司环境保护文化氛围，推动公司环境保护形势持续稳定向好，长虹控股集团</w:t>
      </w:r>
      <w:r>
        <w:rPr>
          <w:rFonts w:ascii="宋体" w:hAnsi="宋体" w:eastAsia="宋体"/>
          <w:color w:val="252525"/>
          <w:sz w:val="28"/>
          <w:szCs w:val="28"/>
        </w:rPr>
        <w:t>在全集团范围内开展线上环保知识竞赛活动</w:t>
      </w:r>
      <w:r>
        <w:rPr>
          <w:rFonts w:hint="eastAsia" w:ascii="宋体" w:hAnsi="宋体" w:eastAsia="宋体"/>
          <w:color w:val="252525"/>
          <w:sz w:val="28"/>
          <w:szCs w:val="28"/>
        </w:rPr>
        <w:t>，号召员工积极参与。</w:t>
      </w:r>
    </w:p>
    <w:p>
      <w:pPr>
        <w:pStyle w:val="2"/>
        <w:ind w:firstLine="1890" w:firstLineChars="900"/>
        <w:rPr>
          <w:rFonts w:hint="eastAsia" w:ascii="宋体" w:hAnsi="宋体" w:eastAsia="宋体"/>
          <w:color w:val="252525"/>
          <w:sz w:val="28"/>
          <w:szCs w:val="28"/>
        </w:rPr>
      </w:pPr>
      <w:r>
        <w:drawing>
          <wp:inline distT="0" distB="0" distL="0" distR="0">
            <wp:extent cx="3667760" cy="5368925"/>
            <wp:effectExtent l="0" t="0" r="8890" b="3175"/>
            <wp:docPr id="20771264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26470"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683434" cy="5392388"/>
                    </a:xfrm>
                    <a:prstGeom prst="rect">
                      <a:avLst/>
                    </a:prstGeom>
                  </pic:spPr>
                </pic:pic>
              </a:graphicData>
            </a:graphic>
          </wp:inline>
        </w:drawing>
      </w:r>
    </w:p>
    <w:p>
      <w:pPr>
        <w:pStyle w:val="2"/>
        <w:rPr>
          <w:rFonts w:hint="eastAsia" w:ascii="宋体" w:hAnsi="宋体" w:eastAsia="宋体"/>
          <w:color w:val="252525"/>
          <w:sz w:val="28"/>
          <w:szCs w:val="28"/>
        </w:rPr>
      </w:pPr>
      <w:r>
        <w:rPr>
          <w:rFonts w:hint="eastAsia" w:ascii="宋体" w:hAnsi="宋体" w:eastAsia="宋体"/>
          <w:color w:val="252525"/>
          <w:sz w:val="28"/>
          <w:szCs w:val="28"/>
        </w:rPr>
        <w:t>（6）长虹旗下多个子公司2023年绿色环保成果展现</w:t>
      </w:r>
    </w:p>
    <w:p>
      <w:pPr>
        <w:pStyle w:val="2"/>
        <w:ind w:firstLine="677" w:firstLineChars="242"/>
        <w:rPr>
          <w:rFonts w:hint="eastAsia" w:ascii="宋体" w:hAnsi="宋体" w:eastAsia="宋体"/>
          <w:color w:val="252525"/>
          <w:sz w:val="28"/>
          <w:szCs w:val="28"/>
        </w:rPr>
      </w:pPr>
      <w:r>
        <w:rPr>
          <w:rFonts w:hint="eastAsia" w:ascii="宋体" w:hAnsi="宋体" w:eastAsia="宋体"/>
          <w:color w:val="252525"/>
          <w:sz w:val="28"/>
          <w:szCs w:val="28"/>
        </w:rPr>
        <w:t>长虹空调</w:t>
      </w:r>
      <w:r>
        <w:rPr>
          <w:rFonts w:ascii="宋体" w:hAnsi="宋体" w:eastAsia="宋体"/>
          <w:color w:val="252525"/>
          <w:sz w:val="28"/>
          <w:szCs w:val="28"/>
        </w:rPr>
        <w:t>2023年购置10辆电动叉车替代传统燃</w:t>
      </w:r>
      <w:r>
        <w:rPr>
          <w:rFonts w:hint="eastAsia" w:ascii="宋体" w:hAnsi="宋体" w:eastAsia="宋体"/>
          <w:color w:val="252525"/>
          <w:sz w:val="28"/>
          <w:szCs w:val="28"/>
        </w:rPr>
        <w:t>油叉车，减少对不可再生资源的使用，减少碳排放；开发单排冷凝器系统逐步替代双排冷凝器，使用小管径铜管，降低了产品对金属资源的消耗。</w:t>
      </w:r>
      <w:r>
        <w:rPr>
          <w:rFonts w:ascii="宋体" w:hAnsi="宋体" w:eastAsia="宋体"/>
          <w:color w:val="252525"/>
          <w:sz w:val="28"/>
          <w:szCs w:val="28"/>
        </w:rPr>
        <w:t>2023年度，长虹空调新增产品节能证书43个，其</w:t>
      </w:r>
      <w:r>
        <w:rPr>
          <w:rFonts w:hint="eastAsia" w:ascii="宋体" w:hAnsi="宋体" w:eastAsia="宋体"/>
          <w:color w:val="252525"/>
          <w:sz w:val="28"/>
          <w:szCs w:val="28"/>
        </w:rPr>
        <w:t>中新增家用空调节能证书</w:t>
      </w:r>
      <w:r>
        <w:rPr>
          <w:rFonts w:ascii="宋体" w:hAnsi="宋体" w:eastAsia="宋体"/>
          <w:color w:val="252525"/>
          <w:sz w:val="28"/>
          <w:szCs w:val="28"/>
        </w:rPr>
        <w:t>18个(共21个机型),新</w:t>
      </w:r>
      <w:r>
        <w:rPr>
          <w:rFonts w:hint="eastAsia" w:ascii="宋体" w:hAnsi="宋体" w:eastAsia="宋体"/>
          <w:color w:val="252525"/>
          <w:sz w:val="28"/>
          <w:szCs w:val="28"/>
        </w:rPr>
        <w:t>增中央空调节能证书</w:t>
      </w:r>
      <w:r>
        <w:rPr>
          <w:rFonts w:ascii="宋体" w:hAnsi="宋体" w:eastAsia="宋体"/>
          <w:color w:val="252525"/>
          <w:sz w:val="28"/>
          <w:szCs w:val="28"/>
        </w:rPr>
        <w:t>25个(共25个机型）；新增</w:t>
      </w:r>
      <w:r>
        <w:rPr>
          <w:rFonts w:hint="eastAsia" w:ascii="宋体" w:hAnsi="宋体" w:eastAsia="宋体"/>
          <w:color w:val="252525"/>
          <w:sz w:val="28"/>
          <w:szCs w:val="28"/>
        </w:rPr>
        <w:t>环境标志证书</w:t>
      </w:r>
      <w:r>
        <w:rPr>
          <w:rFonts w:ascii="宋体" w:hAnsi="宋体" w:eastAsia="宋体"/>
          <w:color w:val="252525"/>
          <w:sz w:val="28"/>
          <w:szCs w:val="28"/>
        </w:rPr>
        <w:t>3张，共71个机型。</w:t>
      </w:r>
    </w:p>
    <w:p>
      <w:pPr>
        <w:pStyle w:val="2"/>
        <w:ind w:firstLine="677" w:firstLineChars="242"/>
        <w:rPr>
          <w:rFonts w:hint="eastAsia" w:ascii="宋体" w:hAnsi="宋体" w:eastAsia="宋体"/>
          <w:color w:val="252525"/>
          <w:sz w:val="28"/>
          <w:szCs w:val="28"/>
        </w:rPr>
      </w:pPr>
      <w:r>
        <w:rPr>
          <w:rFonts w:hint="eastAsia" w:ascii="宋体" w:hAnsi="宋体" w:eastAsia="宋体"/>
          <w:color w:val="252525"/>
          <w:sz w:val="28"/>
          <w:szCs w:val="28"/>
        </w:rPr>
        <w:t>广东长虹与南网能源公司合作在工业园区建设光伏电站，推广绿色能源使用，</w:t>
      </w:r>
      <w:r>
        <w:rPr>
          <w:rFonts w:ascii="宋体" w:hAnsi="宋体" w:eastAsia="宋体"/>
          <w:color w:val="252525"/>
          <w:sz w:val="28"/>
          <w:szCs w:val="28"/>
        </w:rPr>
        <w:t>2023年发电量1,300.37万</w:t>
      </w:r>
      <w:r>
        <w:rPr>
          <w:rFonts w:hint="eastAsia" w:ascii="宋体" w:hAnsi="宋体" w:eastAsia="宋体"/>
          <w:color w:val="252525"/>
          <w:sz w:val="28"/>
          <w:szCs w:val="28"/>
        </w:rPr>
        <w:t>当量；其中，广东长虹购入使用光伏电量度，实现全年</w:t>
      </w:r>
      <w:r>
        <w:rPr>
          <w:rFonts w:ascii="宋体" w:hAnsi="宋体" w:eastAsia="宋体"/>
          <w:color w:val="252525"/>
          <w:sz w:val="28"/>
          <w:szCs w:val="28"/>
        </w:rPr>
        <w:t>CO2累计减排10,457.61吨二氧化碳378.45万2023年淘汰了泡沫厂高能耗成型机，更换了8台</w:t>
      </w:r>
      <w:r>
        <w:rPr>
          <w:rFonts w:hint="eastAsia" w:ascii="宋体" w:hAnsi="宋体" w:eastAsia="宋体"/>
          <w:color w:val="252525"/>
          <w:sz w:val="28"/>
          <w:szCs w:val="28"/>
        </w:rPr>
        <w:t>度，累计实现</w:t>
      </w:r>
      <w:r>
        <w:rPr>
          <w:rFonts w:ascii="宋体" w:hAnsi="宋体" w:eastAsia="宋体"/>
          <w:color w:val="252525"/>
          <w:sz w:val="28"/>
          <w:szCs w:val="28"/>
        </w:rPr>
        <w:t>CO2减排3,043.47吨二氧化碳当量；</w:t>
      </w:r>
      <w:r>
        <w:rPr>
          <w:rFonts w:hint="eastAsia" w:ascii="宋体" w:hAnsi="宋体" w:eastAsia="宋体"/>
          <w:color w:val="252525"/>
          <w:sz w:val="28"/>
          <w:szCs w:val="28"/>
        </w:rPr>
        <w:t>新成型机设备，通过技术和设备改进，使能源使用效率进一步提升。</w:t>
      </w:r>
    </w:p>
    <w:p>
      <w:pPr>
        <w:pStyle w:val="2"/>
        <w:ind w:firstLine="677" w:firstLineChars="242"/>
        <w:rPr>
          <w:rFonts w:hint="eastAsia" w:ascii="宋体" w:hAnsi="宋体" w:eastAsia="宋体"/>
          <w:color w:val="252525"/>
          <w:sz w:val="28"/>
          <w:szCs w:val="28"/>
        </w:rPr>
      </w:pPr>
      <w:r>
        <w:rPr>
          <w:rFonts w:hint="eastAsia" w:ascii="宋体" w:hAnsi="宋体" w:eastAsia="宋体"/>
          <w:color w:val="252525"/>
          <w:sz w:val="28"/>
          <w:szCs w:val="28"/>
        </w:rPr>
        <w:t>中山长虹</w:t>
      </w:r>
      <w:r>
        <w:rPr>
          <w:rFonts w:ascii="宋体" w:hAnsi="宋体" w:eastAsia="宋体"/>
          <w:color w:val="252525"/>
          <w:sz w:val="28"/>
          <w:szCs w:val="28"/>
        </w:rPr>
        <w:t>2023年更换厂区外围通道普通照明灯，投入50盏太阳能照明灯，能耗减少12千瓦·时/天；淘汰1台老旧空压机，节省能耗100千瓦·时/天。</w:t>
      </w:r>
    </w:p>
    <w:p>
      <w:pPr>
        <w:pStyle w:val="2"/>
        <w:ind w:firstLine="677" w:firstLineChars="242"/>
        <w:rPr>
          <w:rFonts w:hint="eastAsia" w:ascii="宋体" w:hAnsi="宋体" w:eastAsia="宋体"/>
          <w:color w:val="252525"/>
          <w:sz w:val="28"/>
          <w:szCs w:val="28"/>
        </w:rPr>
      </w:pPr>
      <w:r>
        <w:rPr>
          <w:rFonts w:hint="eastAsia" w:ascii="宋体" w:hAnsi="宋体" w:eastAsia="宋体"/>
          <w:color w:val="252525"/>
          <w:sz w:val="28"/>
          <w:szCs w:val="28"/>
        </w:rPr>
        <w:t>长虹包装</w:t>
      </w:r>
      <w:r>
        <w:rPr>
          <w:rFonts w:ascii="宋体" w:hAnsi="宋体" w:eastAsia="宋体"/>
          <w:color w:val="252525"/>
          <w:sz w:val="28"/>
          <w:szCs w:val="28"/>
        </w:rPr>
        <w:t>2023年共投入9台电动叉车替代传统</w:t>
      </w:r>
      <w:r>
        <w:rPr>
          <w:rFonts w:hint="eastAsia" w:ascii="宋体" w:hAnsi="宋体" w:eastAsia="宋体"/>
          <w:color w:val="252525"/>
          <w:sz w:val="28"/>
          <w:szCs w:val="28"/>
        </w:rPr>
        <w:t>柴油叉车；积极推广“纸代木”方式，采用再生原纸包装，节约木材资源；通过提升纸板生产合格率，同比上年减少废纸</w:t>
      </w:r>
      <w:r>
        <w:rPr>
          <w:rFonts w:ascii="宋体" w:hAnsi="宋体" w:eastAsia="宋体"/>
          <w:color w:val="252525"/>
          <w:sz w:val="28"/>
          <w:szCs w:val="28"/>
        </w:rPr>
        <w:t>400余吨。</w:t>
      </w:r>
    </w:p>
    <w:p>
      <w:pPr>
        <w:pStyle w:val="2"/>
        <w:ind w:firstLine="677" w:firstLineChars="242"/>
        <w:rPr>
          <w:rFonts w:hint="eastAsia" w:ascii="宋体" w:hAnsi="宋体" w:eastAsia="宋体"/>
          <w:color w:val="252525"/>
          <w:sz w:val="28"/>
          <w:szCs w:val="28"/>
        </w:rPr>
      </w:pPr>
      <w:r>
        <w:rPr>
          <w:rFonts w:hint="eastAsia" w:ascii="宋体" w:hAnsi="宋体" w:eastAsia="宋体"/>
          <w:color w:val="252525"/>
          <w:sz w:val="28"/>
          <w:szCs w:val="28"/>
        </w:rPr>
        <w:t>零八一集团</w:t>
      </w:r>
      <w:r>
        <w:rPr>
          <w:rFonts w:ascii="宋体" w:hAnsi="宋体" w:eastAsia="宋体"/>
          <w:color w:val="252525"/>
          <w:sz w:val="28"/>
          <w:szCs w:val="28"/>
        </w:rPr>
        <w:t>2023年回收利用浸渍废碱液800余</w:t>
      </w:r>
      <w:r>
        <w:rPr>
          <w:rFonts w:hint="eastAsia" w:ascii="宋体" w:hAnsi="宋体" w:eastAsia="宋体"/>
          <w:color w:val="252525"/>
          <w:sz w:val="28"/>
          <w:szCs w:val="28"/>
        </w:rPr>
        <w:t>吨，用于重金属废水</w:t>
      </w:r>
      <w:r>
        <w:rPr>
          <w:rFonts w:ascii="宋体" w:hAnsi="宋体" w:eastAsia="宋体"/>
          <w:color w:val="252525"/>
          <w:sz w:val="28"/>
          <w:szCs w:val="28"/>
        </w:rPr>
        <w:t>PH调节，以减少废碱液排放</w:t>
      </w:r>
      <w:r>
        <w:rPr>
          <w:rFonts w:hint="eastAsia" w:ascii="宋体" w:hAnsi="宋体" w:eastAsia="宋体"/>
          <w:color w:val="252525"/>
          <w:sz w:val="28"/>
          <w:szCs w:val="28"/>
        </w:rPr>
        <w:t>对废水处理造成的冲击，降低废水处理难度，同时做到节能减排。</w:t>
      </w:r>
    </w:p>
    <w:p>
      <w:pPr>
        <w:pStyle w:val="2"/>
        <w:ind w:firstLine="677" w:firstLineChars="242"/>
        <w:rPr>
          <w:rFonts w:hint="eastAsia" w:ascii="宋体" w:hAnsi="宋体" w:eastAsia="宋体"/>
          <w:color w:val="252525"/>
          <w:sz w:val="28"/>
          <w:szCs w:val="28"/>
        </w:rPr>
      </w:pPr>
      <w:r>
        <w:rPr>
          <w:rFonts w:hint="eastAsia" w:ascii="宋体" w:hAnsi="宋体" w:eastAsia="宋体"/>
          <w:color w:val="252525"/>
          <w:sz w:val="28"/>
          <w:szCs w:val="28"/>
        </w:rPr>
        <w:t>长虹华意致力于打造高效节能的工业运营模式，积极开展绿色工厂创建，推进国家级绿色工厂示范创建工作，致力于减少生产制造过程对环境的影响和资源的消耗；</w:t>
      </w:r>
      <w:r>
        <w:rPr>
          <w:rFonts w:ascii="宋体" w:hAnsi="宋体" w:eastAsia="宋体"/>
          <w:color w:val="252525"/>
          <w:sz w:val="28"/>
          <w:szCs w:val="28"/>
        </w:rPr>
        <w:t>2023年，加西贝拉压缩机有</w:t>
      </w:r>
      <w:r>
        <w:rPr>
          <w:rFonts w:hint="eastAsia" w:ascii="宋体" w:hAnsi="宋体" w:eastAsia="宋体"/>
          <w:color w:val="252525"/>
          <w:sz w:val="28"/>
          <w:szCs w:val="28"/>
        </w:rPr>
        <w:t>限公司被工业和信息化部“工业节能与绿色发展管理平台”赋予“</w:t>
      </w:r>
      <w:r>
        <w:rPr>
          <w:rFonts w:ascii="宋体" w:hAnsi="宋体" w:eastAsia="宋体"/>
          <w:color w:val="252525"/>
          <w:sz w:val="28"/>
          <w:szCs w:val="28"/>
        </w:rPr>
        <w:t>A级企业绿码”。</w:t>
      </w:r>
      <w:r>
        <w:rPr>
          <w:rFonts w:hint="eastAsia" w:ascii="宋体" w:hAnsi="宋体" w:eastAsia="宋体"/>
          <w:color w:val="252525"/>
          <w:sz w:val="28"/>
          <w:szCs w:val="28"/>
        </w:rPr>
        <w:t>长虹华意于</w:t>
      </w:r>
      <w:r>
        <w:rPr>
          <w:rFonts w:ascii="宋体" w:hAnsi="宋体" w:eastAsia="宋体"/>
          <w:color w:val="252525"/>
          <w:sz w:val="28"/>
          <w:szCs w:val="28"/>
        </w:rPr>
        <w:t>2023年5月建成屋顶光伏电站项目，该</w:t>
      </w:r>
      <w:r>
        <w:rPr>
          <w:rFonts w:hint="eastAsia" w:ascii="宋体" w:hAnsi="宋体" w:eastAsia="宋体"/>
          <w:color w:val="252525"/>
          <w:sz w:val="28"/>
          <w:szCs w:val="28"/>
        </w:rPr>
        <w:t>项目日均发电</w:t>
      </w:r>
      <w:r>
        <w:rPr>
          <w:rFonts w:ascii="宋体" w:hAnsi="宋体" w:eastAsia="宋体"/>
          <w:color w:val="252525"/>
          <w:sz w:val="28"/>
          <w:szCs w:val="28"/>
        </w:rPr>
        <w:t>3.5万度以上，日均减排二氧化碳18吨以上。同时，还部署了慧碳管理平台，包括碳</w:t>
      </w:r>
      <w:r>
        <w:rPr>
          <w:rFonts w:hint="eastAsia" w:ascii="宋体" w:hAnsi="宋体" w:eastAsia="宋体"/>
          <w:color w:val="252525"/>
          <w:sz w:val="28"/>
          <w:szCs w:val="28"/>
        </w:rPr>
        <w:t>管理及综能实时监控，助力公司提高绿能使用水平，降低碳排放量，促进公司可持续绿色发展。</w:t>
      </w:r>
    </w:p>
    <w:p>
      <w:pPr>
        <w:pStyle w:val="2"/>
        <w:ind w:firstLine="677" w:firstLineChars="242"/>
        <w:rPr>
          <w:rFonts w:hint="eastAsia" w:ascii="宋体" w:hAnsi="宋体" w:eastAsia="宋体"/>
          <w:color w:val="252525"/>
          <w:sz w:val="28"/>
          <w:szCs w:val="28"/>
        </w:rPr>
      </w:pPr>
      <w:r>
        <w:rPr>
          <w:rFonts w:hint="eastAsia" w:ascii="宋体" w:hAnsi="宋体" w:eastAsia="宋体"/>
          <w:color w:val="252525"/>
          <w:sz w:val="28"/>
          <w:szCs w:val="28"/>
        </w:rPr>
        <w:t>长虹美菱始终致力于低碳材料的研发和应用，在冰箱抽屉上大规模采用生物基材料，通过在原料中融入了一定比例的秸秆、竹木粉等可降解的环保材料，从而减少塑料的使用量，实现降低碳排放的目的。根据测算，使用生物基材料后，每万台冰箱可减少</w:t>
      </w:r>
      <w:r>
        <w:rPr>
          <w:rFonts w:ascii="宋体" w:hAnsi="宋体" w:eastAsia="宋体"/>
          <w:color w:val="252525"/>
          <w:sz w:val="28"/>
          <w:szCs w:val="28"/>
        </w:rPr>
        <w:t>8.7吨的碳排放量。2023年，长虹美菱新</w:t>
      </w:r>
      <w:r>
        <w:rPr>
          <w:rFonts w:hint="eastAsia" w:ascii="宋体" w:hAnsi="宋体" w:eastAsia="宋体"/>
          <w:color w:val="252525"/>
          <w:sz w:val="28"/>
          <w:szCs w:val="28"/>
        </w:rPr>
        <w:t>增</w:t>
      </w:r>
      <w:r>
        <w:rPr>
          <w:rFonts w:ascii="宋体" w:hAnsi="宋体" w:eastAsia="宋体"/>
          <w:color w:val="252525"/>
          <w:sz w:val="28"/>
          <w:szCs w:val="28"/>
        </w:rPr>
        <w:t>2张碳中和认证，表明公司持续加强碳管理，为</w:t>
      </w:r>
      <w:r>
        <w:rPr>
          <w:rFonts w:hint="eastAsia" w:ascii="宋体" w:hAnsi="宋体" w:eastAsia="宋体"/>
          <w:color w:val="252525"/>
          <w:sz w:val="28"/>
          <w:szCs w:val="28"/>
        </w:rPr>
        <w:t>实现绿色、低碳的美好未来贡献力量。</w:t>
      </w:r>
    </w:p>
    <w:p>
      <w:pPr>
        <w:pStyle w:val="2"/>
        <w:ind w:firstLine="677" w:firstLineChars="242"/>
        <w:rPr>
          <w:rFonts w:hint="eastAsia" w:ascii="宋体" w:hAnsi="宋体" w:eastAsia="宋体"/>
          <w:color w:val="252525"/>
          <w:sz w:val="28"/>
          <w:szCs w:val="28"/>
        </w:rPr>
      </w:pPr>
      <w:r>
        <w:rPr>
          <w:rFonts w:hint="eastAsia" w:ascii="宋体" w:hAnsi="宋体" w:eastAsia="宋体"/>
          <w:color w:val="252525"/>
          <w:sz w:val="28"/>
          <w:szCs w:val="28"/>
        </w:rPr>
        <w:t>长虹技佳连续</w:t>
      </w:r>
      <w:r>
        <w:rPr>
          <w:rFonts w:ascii="宋体" w:hAnsi="宋体" w:eastAsia="宋体"/>
          <w:color w:val="252525"/>
          <w:sz w:val="28"/>
          <w:szCs w:val="28"/>
        </w:rPr>
        <w:t>7年获得四川省级“环保诚信企</w:t>
      </w:r>
      <w:r>
        <w:rPr>
          <w:rFonts w:hint="eastAsia" w:ascii="宋体" w:hAnsi="宋体" w:eastAsia="宋体"/>
          <w:color w:val="252525"/>
          <w:sz w:val="28"/>
          <w:szCs w:val="28"/>
        </w:rPr>
        <w:t>业”。</w:t>
      </w:r>
      <w:r>
        <w:rPr>
          <w:rFonts w:ascii="宋体" w:hAnsi="宋体" w:eastAsia="宋体"/>
          <w:color w:val="252525"/>
          <w:sz w:val="28"/>
          <w:szCs w:val="28"/>
        </w:rPr>
        <w:t>2023年，其子公司虹佳科技首次获绵阳市级</w:t>
      </w:r>
      <w:r>
        <w:rPr>
          <w:rFonts w:hint="eastAsia" w:ascii="宋体" w:hAnsi="宋体" w:eastAsia="宋体"/>
          <w:color w:val="252525"/>
          <w:sz w:val="28"/>
          <w:szCs w:val="28"/>
        </w:rPr>
        <w:t>“环保诚信企业”；长虹技佳以实际行动践行绿色发展理念，为建设生态绿色家园增绿添彩。</w:t>
      </w:r>
    </w:p>
    <w:p>
      <w:pPr>
        <w:pStyle w:val="2"/>
        <w:ind w:firstLine="677" w:firstLineChars="242"/>
        <w:rPr>
          <w:rFonts w:hint="eastAsia" w:ascii="宋体" w:hAnsi="宋体" w:eastAsia="宋体"/>
          <w:color w:val="252525"/>
          <w:sz w:val="28"/>
          <w:szCs w:val="28"/>
        </w:rPr>
      </w:pPr>
      <w:r>
        <w:rPr>
          <w:rFonts w:hint="eastAsia" w:ascii="宋体" w:hAnsi="宋体" w:eastAsia="宋体"/>
          <w:color w:val="252525"/>
          <w:sz w:val="28"/>
          <w:szCs w:val="28"/>
        </w:rPr>
        <w:t>长虹模塑被评为省级</w:t>
      </w:r>
      <w:r>
        <w:rPr>
          <w:rFonts w:hint="eastAsia" w:ascii="宋体" w:hAnsi="宋体" w:eastAsia="宋体"/>
          <w:color w:val="252525"/>
          <w:sz w:val="28"/>
          <w:szCs w:val="28"/>
          <w:lang w:eastAsia="zh-CN"/>
        </w:rPr>
        <w:t>“</w:t>
      </w:r>
      <w:r>
        <w:rPr>
          <w:rFonts w:hint="eastAsia" w:ascii="宋体" w:hAnsi="宋体" w:eastAsia="宋体"/>
          <w:color w:val="252525"/>
          <w:sz w:val="28"/>
          <w:szCs w:val="28"/>
        </w:rPr>
        <w:t>绿色工厂</w:t>
      </w:r>
      <w:r>
        <w:rPr>
          <w:rFonts w:hint="eastAsia" w:ascii="宋体" w:hAnsi="宋体" w:eastAsia="宋体"/>
          <w:color w:val="252525"/>
          <w:sz w:val="28"/>
          <w:szCs w:val="28"/>
          <w:lang w:eastAsia="zh-CN"/>
        </w:rPr>
        <w:t>”</w:t>
      </w:r>
      <w:r>
        <w:rPr>
          <w:rFonts w:hint="eastAsia" w:ascii="宋体" w:hAnsi="宋体" w:eastAsia="宋体"/>
          <w:color w:val="252525"/>
          <w:sz w:val="28"/>
          <w:szCs w:val="28"/>
        </w:rPr>
        <w:t>，公司大力开展节能改造项目，</w:t>
      </w:r>
      <w:r>
        <w:rPr>
          <w:rFonts w:ascii="宋体" w:hAnsi="宋体" w:eastAsia="宋体"/>
          <w:color w:val="252525"/>
          <w:sz w:val="28"/>
          <w:szCs w:val="28"/>
        </w:rPr>
        <w:t>2023年持续完成143台干燥机</w:t>
      </w:r>
      <w:r>
        <w:rPr>
          <w:rFonts w:hint="eastAsia" w:ascii="宋体" w:hAnsi="宋体" w:eastAsia="宋体"/>
          <w:color w:val="252525"/>
          <w:sz w:val="28"/>
          <w:szCs w:val="28"/>
        </w:rPr>
        <w:t>节能改造，对</w:t>
      </w:r>
      <w:r>
        <w:rPr>
          <w:rFonts w:ascii="宋体" w:hAnsi="宋体" w:eastAsia="宋体"/>
          <w:color w:val="252525"/>
          <w:sz w:val="28"/>
          <w:szCs w:val="28"/>
        </w:rPr>
        <w:t>10台注塑机进行储料液压马达技</w:t>
      </w:r>
      <w:r>
        <w:rPr>
          <w:rFonts w:hint="eastAsia" w:ascii="宋体" w:hAnsi="宋体" w:eastAsia="宋体"/>
          <w:color w:val="252525"/>
          <w:sz w:val="28"/>
          <w:szCs w:val="28"/>
        </w:rPr>
        <w:t>术提升，单台用电量节省约</w:t>
      </w:r>
      <w:r>
        <w:rPr>
          <w:rFonts w:ascii="宋体" w:hAnsi="宋体" w:eastAsia="宋体"/>
          <w:color w:val="252525"/>
          <w:sz w:val="28"/>
          <w:szCs w:val="28"/>
        </w:rPr>
        <w:t>11%以上；将62台注</w:t>
      </w:r>
      <w:r>
        <w:rPr>
          <w:rFonts w:hint="eastAsia" w:ascii="宋体" w:hAnsi="宋体" w:eastAsia="宋体"/>
          <w:color w:val="252525"/>
          <w:sz w:val="28"/>
          <w:szCs w:val="28"/>
        </w:rPr>
        <w:t>塑机原有不锈钢铠装或陶瓷加热圈改造为红外纳米保温加热圈，节能率达</w:t>
      </w:r>
      <w:r>
        <w:rPr>
          <w:rFonts w:ascii="宋体" w:hAnsi="宋体" w:eastAsia="宋体"/>
          <w:color w:val="252525"/>
          <w:sz w:val="28"/>
          <w:szCs w:val="28"/>
        </w:rPr>
        <w:t>25%以上。</w:t>
      </w:r>
    </w:p>
    <w:p>
      <w:pPr>
        <w:pStyle w:val="31"/>
        <w:numPr>
          <w:ilvl w:val="1"/>
          <w:numId w:val="2"/>
        </w:numPr>
        <w:spacing w:line="360" w:lineRule="auto"/>
        <w:ind w:left="567" w:firstLineChars="0"/>
        <w:outlineLvl w:val="1"/>
        <w:rPr>
          <w:rFonts w:hint="eastAsia" w:ascii="宋体" w:hAnsi="宋体" w:eastAsia="宋体"/>
          <w:color w:val="252525"/>
          <w:sz w:val="28"/>
          <w:szCs w:val="28"/>
        </w:rPr>
      </w:pPr>
      <w:bookmarkStart w:id="4" w:name="_Toc27938"/>
      <w:bookmarkStart w:id="5" w:name="_Hlk68614065"/>
      <w:r>
        <w:rPr>
          <w:rFonts w:hint="eastAsia" w:ascii="宋体" w:hAnsi="宋体" w:eastAsia="宋体"/>
          <w:color w:val="252525"/>
          <w:sz w:val="28"/>
          <w:szCs w:val="28"/>
        </w:rPr>
        <w:t>战略规划</w:t>
      </w:r>
      <w:bookmarkEnd w:id="4"/>
      <w:bookmarkEnd w:id="5"/>
    </w:p>
    <w:p>
      <w:pPr>
        <w:pStyle w:val="31"/>
        <w:numPr>
          <w:ilvl w:val="255"/>
          <w:numId w:val="0"/>
        </w:numPr>
        <w:spacing w:line="360" w:lineRule="auto"/>
        <w:outlineLvl w:val="1"/>
        <w:rPr>
          <w:rFonts w:hint="eastAsia" w:ascii="宋体" w:hAnsi="宋体" w:eastAsia="宋体"/>
          <w:color w:val="FFFFFF" w:themeColor="background1"/>
          <w:sz w:val="28"/>
          <w:szCs w:val="28"/>
          <w14:textFill>
            <w14:solidFill>
              <w14:schemeClr w14:val="bg1"/>
            </w14:solidFill>
          </w14:textFill>
        </w:rPr>
      </w:pPr>
      <w:r>
        <w:rPr>
          <w:sz w:val="28"/>
        </w:rPr>
        <mc:AlternateContent>
          <mc:Choice Requires="wps">
            <w:drawing>
              <wp:anchor distT="0" distB="0" distL="114935" distR="114935" simplePos="0" relativeHeight="251659264" behindDoc="1" locked="0" layoutInCell="1" allowOverlap="1">
                <wp:simplePos x="0" y="0"/>
                <wp:positionH relativeFrom="column">
                  <wp:posOffset>-13335</wp:posOffset>
                </wp:positionH>
                <wp:positionV relativeFrom="paragraph">
                  <wp:posOffset>-12065</wp:posOffset>
                </wp:positionV>
                <wp:extent cx="5080000" cy="476250"/>
                <wp:effectExtent l="12700" t="12700" r="12700" b="19050"/>
                <wp:wrapNone/>
                <wp:docPr id="47" name="圆角矩形 47"/>
                <wp:cNvGraphicFramePr/>
                <a:graphic xmlns:a="http://schemas.openxmlformats.org/drawingml/2006/main">
                  <a:graphicData uri="http://schemas.microsoft.com/office/word/2010/wordprocessingShape">
                    <wps:wsp>
                      <wps:cNvSpPr/>
                      <wps:spPr>
                        <a:xfrm>
                          <a:off x="0" y="0"/>
                          <a:ext cx="5080000" cy="476250"/>
                        </a:xfrm>
                        <a:prstGeom prst="roundRect">
                          <a:avLst/>
                        </a:prstGeom>
                        <a:solidFill>
                          <a:srgbClr val="92D050"/>
                        </a:solid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5pt;margin-top:-0.95pt;height:37.5pt;width:400pt;z-index:-251657216;v-text-anchor:middle;mso-width-relative:page;mso-height-relative:page;" fillcolor="#92D050" filled="t" stroked="t" coordsize="21600,21600" arcsize="0.166666666666667" o:gfxdata="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D++lLUAAAACAEA&#10;AA8AAAAAAAAAAQAgAAAAIgAAAGRycy9kb3ducmV2LnhtbFBLAQIUABQAAAAIAIdO4kAPbhTEVwIA&#10;AJwEAAAOAAAAAAAAAAEAIAAAACMBAABkcnMvZTJvRG9jLnhtbFBLBQYAAAAABgAGAFkBAADsBQAA&#10;AAA=&#10;">
                <v:fill on="t" focussize="0,0"/>
                <v:stroke weight="2pt" color="#92D050 [3206]" joinstyle="round"/>
                <v:imagedata o:title=""/>
                <o:lock v:ext="edit" aspectratio="f"/>
              </v:roundrect>
            </w:pict>
          </mc:Fallback>
        </mc:AlternateContent>
      </w:r>
      <w:r>
        <w:rPr>
          <w:rFonts w:hint="eastAsia" w:ascii="宋体" w:hAnsi="宋体" w:eastAsia="宋体"/>
          <w:color w:val="FFFFFF" w:themeColor="background1"/>
          <w:sz w:val="28"/>
          <w:szCs w:val="28"/>
          <w14:textFill>
            <w14:solidFill>
              <w14:schemeClr w14:val="bg1"/>
            </w14:solidFill>
          </w14:textFill>
        </w:rPr>
        <w:t>战略定位</w:t>
      </w:r>
    </w:p>
    <w:p>
      <w:pPr>
        <w:pStyle w:val="31"/>
        <w:numPr>
          <w:ilvl w:val="255"/>
          <w:numId w:val="0"/>
        </w:numPr>
        <w:spacing w:line="360" w:lineRule="auto"/>
        <w:outlineLvl w:val="1"/>
        <w:rPr>
          <w:rFonts w:hint="eastAsia" w:ascii="宋体" w:hAnsi="宋体" w:eastAsia="宋体"/>
          <w:sz w:val="28"/>
          <w:szCs w:val="28"/>
        </w:rPr>
      </w:pPr>
      <w:r>
        <w:rPr>
          <w:rFonts w:ascii="宋体" w:hAnsi="宋体" w:eastAsia="宋体"/>
          <w:sz w:val="28"/>
          <w:szCs w:val="28"/>
        </w:rPr>
        <mc:AlternateContent>
          <mc:Choice Requires="wps">
            <w:drawing>
              <wp:anchor distT="0" distB="0" distL="114935" distR="114935" simplePos="0" relativeHeight="251664384" behindDoc="1" locked="0" layoutInCell="1" allowOverlap="1">
                <wp:simplePos x="0" y="0"/>
                <wp:positionH relativeFrom="column">
                  <wp:posOffset>-26035</wp:posOffset>
                </wp:positionH>
                <wp:positionV relativeFrom="paragraph">
                  <wp:posOffset>350520</wp:posOffset>
                </wp:positionV>
                <wp:extent cx="5080000" cy="476250"/>
                <wp:effectExtent l="12700" t="12700" r="12700" b="19050"/>
                <wp:wrapNone/>
                <wp:docPr id="48" name="圆角矩形 48"/>
                <wp:cNvGraphicFramePr/>
                <a:graphic xmlns:a="http://schemas.openxmlformats.org/drawingml/2006/main">
                  <a:graphicData uri="http://schemas.microsoft.com/office/word/2010/wordprocessingShape">
                    <wps:wsp>
                      <wps:cNvSpPr/>
                      <wps:spPr>
                        <a:xfrm>
                          <a:off x="0" y="0"/>
                          <a:ext cx="5080000" cy="476250"/>
                        </a:xfrm>
                        <a:prstGeom prst="roundRect">
                          <a:avLst/>
                        </a:prstGeom>
                        <a:solidFill>
                          <a:srgbClr val="92D050"/>
                        </a:solid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5pt;margin-top:27.6pt;height:37.5pt;width:400pt;z-index:-251652096;v-text-anchor:middle;mso-width-relative:page;mso-height-relative:page;" fillcolor="#92D050" filled="t" stroked="t" coordsize="21600,21600" arcsize="0.166666666666667" o:gfxdata="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ymn1rVAAAACQEA&#10;AA8AAAAAAAAAAQAgAAAAIgAAAGRycy9kb3ducmV2LnhtbFBLAQIUABQAAAAIAIdO4kAHuheqVgIA&#10;AJwEAAAOAAAAAAAAAAEAIAAAACQBAABkcnMvZTJvRG9jLnhtbFBLBQYAAAAABgAGAFkBAADsBQAA&#10;AAA=&#10;">
                <v:fill on="t" focussize="0,0"/>
                <v:stroke weight="2pt" color="#92D050 [3206]" joinstyle="round"/>
                <v:imagedata o:title=""/>
                <o:lock v:ext="edit" aspectratio="f"/>
              </v:roundrect>
            </w:pict>
          </mc:Fallback>
        </mc:AlternateContent>
      </w:r>
      <w:r>
        <w:rPr>
          <w:rFonts w:hint="eastAsia" w:ascii="宋体" w:hAnsi="宋体" w:eastAsia="宋体"/>
          <w:color w:val="252525"/>
          <w:sz w:val="36"/>
          <w:szCs w:val="36"/>
        </w:rPr>
        <w:t>•</w:t>
      </w:r>
      <w:r>
        <w:rPr>
          <w:rFonts w:hint="eastAsia" w:ascii="宋体" w:hAnsi="宋体" w:eastAsia="宋体"/>
          <w:sz w:val="28"/>
          <w:szCs w:val="28"/>
        </w:rPr>
        <w:t>争取3-5年时间，发展成为行业领先的绿色标杆财务公司</w:t>
      </w:r>
    </w:p>
    <w:p>
      <w:pPr>
        <w:pStyle w:val="31"/>
        <w:numPr>
          <w:ilvl w:val="255"/>
          <w:numId w:val="0"/>
        </w:numPr>
        <w:spacing w:line="360" w:lineRule="auto"/>
        <w:outlineLvl w:val="1"/>
        <w:rPr>
          <w:rFonts w:hint="eastAsia" w:ascii="宋体" w:hAnsi="宋体" w:eastAsia="宋体"/>
          <w:color w:val="FFFFFF" w:themeColor="background1"/>
          <w:sz w:val="28"/>
          <w:szCs w:val="28"/>
          <w14:textFill>
            <w14:solidFill>
              <w14:schemeClr w14:val="bg1"/>
            </w14:solidFill>
          </w14:textFill>
        </w:rPr>
      </w:pPr>
      <w:r>
        <w:rPr>
          <w:rFonts w:hint="eastAsia" w:ascii="宋体" w:hAnsi="宋体" w:eastAsia="宋体"/>
          <w:color w:val="FFFFFF" w:themeColor="background1"/>
          <w:sz w:val="28"/>
          <w:szCs w:val="28"/>
          <w14:textFill>
            <w14:solidFill>
              <w14:schemeClr w14:val="bg1"/>
            </w14:solidFill>
          </w14:textFill>
        </w:rPr>
        <w:t>战略实施路径</w:t>
      </w:r>
    </w:p>
    <w:p>
      <w:pPr>
        <w:pStyle w:val="31"/>
        <w:spacing w:line="360" w:lineRule="auto"/>
        <w:ind w:firstLine="0" w:firstLineChars="0"/>
        <w:outlineLvl w:val="1"/>
        <w:rPr>
          <w:rFonts w:hint="eastAsia" w:ascii="宋体" w:hAnsi="宋体" w:eastAsia="宋体"/>
          <w:color w:val="252525"/>
          <w:sz w:val="28"/>
          <w:szCs w:val="28"/>
        </w:rPr>
      </w:pPr>
      <w:r>
        <w:rPr>
          <w:rFonts w:hint="eastAsia" w:ascii="宋体" w:hAnsi="宋体" w:eastAsia="宋体"/>
          <w:color w:val="252525"/>
          <w:sz w:val="36"/>
          <w:szCs w:val="36"/>
        </w:rPr>
        <w:t>•</w:t>
      </w:r>
      <w:r>
        <w:rPr>
          <w:rFonts w:hint="eastAsia" w:ascii="宋体" w:hAnsi="宋体" w:eastAsia="宋体"/>
          <w:color w:val="252525"/>
          <w:sz w:val="28"/>
          <w:szCs w:val="28"/>
        </w:rPr>
        <w:t>持续完善治理架构，立足公司实际，合理制定战略目标</w:t>
      </w:r>
    </w:p>
    <w:p>
      <w:pPr>
        <w:pStyle w:val="31"/>
        <w:spacing w:line="360" w:lineRule="auto"/>
        <w:ind w:firstLine="0" w:firstLineChars="0"/>
        <w:outlineLvl w:val="1"/>
        <w:rPr>
          <w:rFonts w:hint="eastAsia" w:ascii="宋体" w:hAnsi="宋体" w:eastAsia="宋体"/>
          <w:color w:val="252525"/>
          <w:sz w:val="28"/>
          <w:szCs w:val="28"/>
        </w:rPr>
      </w:pPr>
      <w:r>
        <w:rPr>
          <w:rFonts w:hint="eastAsia" w:ascii="宋体" w:hAnsi="宋体" w:eastAsia="宋体"/>
          <w:color w:val="252525"/>
          <w:sz w:val="36"/>
          <w:szCs w:val="36"/>
        </w:rPr>
        <w:t>•</w:t>
      </w:r>
      <w:r>
        <w:rPr>
          <w:rFonts w:hint="eastAsia" w:ascii="宋体" w:hAnsi="宋体" w:eastAsia="宋体"/>
          <w:color w:val="252525"/>
          <w:sz w:val="28"/>
          <w:szCs w:val="28"/>
        </w:rPr>
        <w:t>持续完善金融政策，引导公司业务向绿色发展领域倾斜</w:t>
      </w:r>
    </w:p>
    <w:p>
      <w:pPr>
        <w:pStyle w:val="31"/>
        <w:spacing w:line="360" w:lineRule="auto"/>
        <w:ind w:firstLine="0" w:firstLineChars="0"/>
        <w:outlineLvl w:val="1"/>
        <w:rPr>
          <w:rFonts w:hint="eastAsia" w:ascii="宋体" w:hAnsi="宋体" w:eastAsia="宋体"/>
          <w:color w:val="252525"/>
          <w:sz w:val="28"/>
          <w:szCs w:val="28"/>
        </w:rPr>
      </w:pPr>
      <w:r>
        <w:rPr>
          <w:rFonts w:hint="eastAsia" w:ascii="宋体" w:hAnsi="宋体" w:eastAsia="宋体"/>
          <w:color w:val="252525"/>
          <w:sz w:val="36"/>
          <w:szCs w:val="36"/>
        </w:rPr>
        <w:t>•</w:t>
      </w:r>
      <w:r>
        <w:rPr>
          <w:rFonts w:hint="eastAsia" w:ascii="宋体" w:hAnsi="宋体" w:eastAsia="宋体"/>
          <w:color w:val="252525"/>
          <w:sz w:val="28"/>
          <w:szCs w:val="28"/>
        </w:rPr>
        <w:t>持续完善信贷政策，加大节能环保领域的信贷支持力度</w:t>
      </w:r>
    </w:p>
    <w:p>
      <w:pPr>
        <w:pStyle w:val="31"/>
        <w:spacing w:line="360" w:lineRule="auto"/>
        <w:ind w:firstLine="0" w:firstLineChars="0"/>
        <w:outlineLvl w:val="1"/>
        <w:rPr>
          <w:rFonts w:hint="eastAsia" w:ascii="宋体" w:hAnsi="宋体" w:eastAsia="宋体"/>
          <w:color w:val="252525"/>
          <w:sz w:val="28"/>
          <w:szCs w:val="28"/>
        </w:rPr>
      </w:pPr>
      <w:r>
        <w:rPr>
          <w:rFonts w:hint="eastAsia" w:ascii="宋体" w:hAnsi="宋体" w:eastAsia="宋体"/>
          <w:color w:val="252525"/>
          <w:sz w:val="36"/>
          <w:szCs w:val="36"/>
        </w:rPr>
        <w:t>•</w:t>
      </w:r>
      <w:r>
        <w:rPr>
          <w:rFonts w:hint="eastAsia" w:ascii="宋体" w:hAnsi="宋体" w:eastAsia="宋体"/>
          <w:color w:val="252525"/>
          <w:sz w:val="28"/>
          <w:szCs w:val="28"/>
        </w:rPr>
        <w:t>构建绿色发展文化，形成人人践行绿色理念的文化氛围</w:t>
      </w:r>
    </w:p>
    <w:p>
      <w:pPr>
        <w:pStyle w:val="31"/>
        <w:spacing w:line="360" w:lineRule="auto"/>
        <w:ind w:firstLine="0" w:firstLineChars="0"/>
        <w:outlineLvl w:val="1"/>
        <w:rPr>
          <w:rFonts w:hint="eastAsia" w:ascii="宋体" w:hAnsi="宋体" w:eastAsia="宋体"/>
          <w:color w:val="252525"/>
          <w:sz w:val="28"/>
          <w:szCs w:val="28"/>
        </w:rPr>
      </w:pPr>
      <w:r>
        <w:rPr>
          <w:rFonts w:hint="eastAsia" w:ascii="宋体" w:hAnsi="宋体" w:eastAsia="宋体"/>
          <w:color w:val="252525"/>
          <w:sz w:val="36"/>
          <w:szCs w:val="36"/>
        </w:rPr>
        <w:t>•</w:t>
      </w:r>
      <w:r>
        <w:rPr>
          <w:rFonts w:hint="eastAsia" w:ascii="宋体" w:hAnsi="宋体" w:eastAsia="宋体"/>
          <w:color w:val="252525"/>
          <w:sz w:val="28"/>
          <w:szCs w:val="28"/>
        </w:rPr>
        <w:t>推进低碳办公方式，减少经营活动对各类资源的消耗</w:t>
      </w:r>
    </w:p>
    <w:p>
      <w:pPr>
        <w:pStyle w:val="31"/>
        <w:spacing w:line="360" w:lineRule="auto"/>
        <w:ind w:firstLine="0" w:firstLineChars="0"/>
        <w:outlineLvl w:val="1"/>
        <w:rPr>
          <w:rFonts w:hint="eastAsia" w:ascii="宋体" w:hAnsi="宋体" w:eastAsia="宋体"/>
          <w:color w:val="252525"/>
          <w:sz w:val="28"/>
          <w:szCs w:val="28"/>
        </w:rPr>
      </w:pPr>
      <w:r>
        <w:rPr>
          <w:rFonts w:ascii="宋体" w:hAnsi="宋体" w:eastAsia="宋体"/>
          <w:color w:val="252525"/>
          <w:sz w:val="28"/>
          <w:szCs w:val="28"/>
        </w:rPr>
        <mc:AlternateContent>
          <mc:Choice Requires="wps">
            <w:drawing>
              <wp:anchor distT="0" distB="0" distL="114935" distR="114935" simplePos="0" relativeHeight="251666432" behindDoc="1" locked="0" layoutInCell="1" allowOverlap="1">
                <wp:simplePos x="0" y="0"/>
                <wp:positionH relativeFrom="column">
                  <wp:posOffset>10160</wp:posOffset>
                </wp:positionH>
                <wp:positionV relativeFrom="paragraph">
                  <wp:posOffset>375285</wp:posOffset>
                </wp:positionV>
                <wp:extent cx="5080000" cy="476250"/>
                <wp:effectExtent l="12700" t="12700" r="12700" b="19050"/>
                <wp:wrapNone/>
                <wp:docPr id="49" name="圆角矩形 49"/>
                <wp:cNvGraphicFramePr/>
                <a:graphic xmlns:a="http://schemas.openxmlformats.org/drawingml/2006/main">
                  <a:graphicData uri="http://schemas.microsoft.com/office/word/2010/wordprocessingShape">
                    <wps:wsp>
                      <wps:cNvSpPr/>
                      <wps:spPr>
                        <a:xfrm>
                          <a:off x="0" y="0"/>
                          <a:ext cx="5080000" cy="476250"/>
                        </a:xfrm>
                        <a:prstGeom prst="roundRect">
                          <a:avLst/>
                        </a:prstGeom>
                        <a:solidFill>
                          <a:srgbClr val="92D050"/>
                        </a:solid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8pt;margin-top:29.55pt;height:37.5pt;width:400pt;z-index:-251650048;v-text-anchor:middle;mso-width-relative:page;mso-height-relative:page;" fillcolor="#92D050" filled="t" stroked="t" coordsize="21600,21600" arcsize="0.166666666666667" o:gfxdata="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BhBTrRAAAACAEAAA8A&#10;AAAAAAAAAQAgAAAAIgAAAGRycy9kb3ducmV2LnhtbFBLAQIUABQAAAAIAIdO4kCgnV4XVwIAAJwE&#10;AAAOAAAAAAAAAAEAIAAAACABAABkcnMvZTJvRG9jLnhtbFBLBQYAAAAABgAGAFkBAADpBQAAAAA=&#10;">
                <v:fill on="t" focussize="0,0"/>
                <v:stroke weight="2pt" color="#92D050 [3206]" joinstyle="round"/>
                <v:imagedata o:title=""/>
                <o:lock v:ext="edit" aspectratio="f"/>
              </v:roundrect>
            </w:pict>
          </mc:Fallback>
        </mc:AlternateContent>
      </w:r>
      <w:r>
        <w:rPr>
          <w:rFonts w:hint="eastAsia" w:ascii="宋体" w:hAnsi="宋体" w:eastAsia="宋体"/>
          <w:color w:val="252525"/>
          <w:sz w:val="36"/>
          <w:szCs w:val="36"/>
        </w:rPr>
        <w:t>•</w:t>
      </w:r>
      <w:r>
        <w:rPr>
          <w:rFonts w:hint="eastAsia" w:ascii="宋体" w:hAnsi="宋体" w:eastAsia="宋体"/>
          <w:color w:val="252525"/>
          <w:sz w:val="28"/>
          <w:szCs w:val="28"/>
        </w:rPr>
        <w:t>推进绿色金融创新，借助科技手段实现业务办理无纸化</w:t>
      </w:r>
    </w:p>
    <w:p>
      <w:pPr>
        <w:pStyle w:val="31"/>
        <w:spacing w:line="360" w:lineRule="auto"/>
        <w:ind w:firstLine="0" w:firstLineChars="0"/>
        <w:outlineLvl w:val="1"/>
        <w:rPr>
          <w:rFonts w:hint="eastAsia" w:ascii="宋体" w:hAnsi="宋体" w:eastAsia="宋体"/>
          <w:color w:val="FFFFFF" w:themeColor="background1"/>
          <w:sz w:val="28"/>
          <w:szCs w:val="28"/>
          <w14:textFill>
            <w14:solidFill>
              <w14:schemeClr w14:val="bg1"/>
            </w14:solidFill>
          </w14:textFill>
        </w:rPr>
      </w:pPr>
      <w:r>
        <w:rPr>
          <w:rFonts w:hint="eastAsia" w:ascii="宋体" w:hAnsi="宋体" w:eastAsia="宋体"/>
          <w:color w:val="FFFFFF" w:themeColor="background1"/>
          <w:sz w:val="28"/>
          <w:szCs w:val="28"/>
          <w14:textFill>
            <w14:solidFill>
              <w14:schemeClr w14:val="bg1"/>
            </w14:solidFill>
          </w14:textFill>
        </w:rPr>
        <w:t>战略实施原则</w:t>
      </w:r>
    </w:p>
    <w:p>
      <w:pPr>
        <w:pStyle w:val="31"/>
        <w:spacing w:line="360" w:lineRule="auto"/>
        <w:ind w:firstLine="0" w:firstLineChars="0"/>
        <w:outlineLvl w:val="1"/>
        <w:rPr>
          <w:rFonts w:hint="eastAsia" w:ascii="宋体" w:hAnsi="宋体" w:eastAsia="宋体"/>
          <w:color w:val="252525"/>
          <w:sz w:val="36"/>
          <w:szCs w:val="36"/>
        </w:rPr>
      </w:pPr>
      <w:r>
        <w:rPr>
          <w:rFonts w:hint="eastAsia" w:ascii="宋体" w:hAnsi="宋体" w:eastAsia="宋体"/>
          <w:color w:val="252525"/>
          <w:sz w:val="36"/>
          <w:szCs w:val="36"/>
        </w:rPr>
        <w:t>•</w:t>
      </w:r>
      <w:r>
        <w:rPr>
          <w:rFonts w:hint="eastAsia" w:ascii="宋体" w:hAnsi="宋体" w:eastAsia="宋体"/>
          <w:color w:val="252525"/>
          <w:sz w:val="28"/>
          <w:szCs w:val="28"/>
        </w:rPr>
        <w:t>环境优先原则</w:t>
      </w:r>
    </w:p>
    <w:p>
      <w:pPr>
        <w:pStyle w:val="31"/>
        <w:spacing w:line="360" w:lineRule="auto"/>
        <w:ind w:firstLine="0" w:firstLineChars="0"/>
        <w:outlineLvl w:val="1"/>
        <w:rPr>
          <w:rFonts w:hint="eastAsia" w:ascii="宋体" w:hAnsi="宋体" w:eastAsia="宋体"/>
          <w:color w:val="252525"/>
          <w:sz w:val="28"/>
          <w:szCs w:val="28"/>
        </w:rPr>
      </w:pPr>
      <w:r>
        <w:rPr>
          <w:rFonts w:hint="eastAsia" w:ascii="宋体" w:hAnsi="宋体" w:eastAsia="宋体"/>
          <w:color w:val="252525"/>
          <w:sz w:val="28"/>
          <w:szCs w:val="28"/>
        </w:rPr>
        <w:t>信贷投放应优先支持节能、环保、低碳的企业和项目，限制信贷资金流入高耗能、高污染等行业。</w:t>
      </w:r>
    </w:p>
    <w:p>
      <w:pPr>
        <w:pStyle w:val="31"/>
        <w:spacing w:line="360" w:lineRule="auto"/>
        <w:ind w:firstLine="0" w:firstLineChars="0"/>
        <w:outlineLvl w:val="1"/>
        <w:rPr>
          <w:rFonts w:hint="eastAsia" w:ascii="宋体" w:hAnsi="宋体" w:eastAsia="宋体"/>
          <w:color w:val="252525"/>
          <w:sz w:val="28"/>
          <w:szCs w:val="28"/>
        </w:rPr>
      </w:pPr>
      <w:r>
        <w:rPr>
          <w:rFonts w:hint="eastAsia" w:ascii="宋体" w:hAnsi="宋体" w:eastAsia="宋体"/>
          <w:color w:val="252525"/>
          <w:sz w:val="36"/>
          <w:szCs w:val="36"/>
        </w:rPr>
        <w:t>•</w:t>
      </w:r>
      <w:r>
        <w:rPr>
          <w:rFonts w:hint="eastAsia" w:ascii="宋体" w:hAnsi="宋体" w:eastAsia="宋体"/>
          <w:color w:val="252525"/>
          <w:sz w:val="28"/>
          <w:szCs w:val="28"/>
        </w:rPr>
        <w:t>效益兼顾原则</w:t>
      </w:r>
    </w:p>
    <w:p>
      <w:pPr>
        <w:pStyle w:val="31"/>
        <w:spacing w:line="360" w:lineRule="auto"/>
        <w:ind w:firstLine="0" w:firstLineChars="0"/>
        <w:outlineLvl w:val="1"/>
        <w:rPr>
          <w:rFonts w:hint="eastAsia" w:ascii="宋体" w:hAnsi="宋体" w:eastAsia="宋体"/>
          <w:color w:val="252525"/>
          <w:sz w:val="28"/>
          <w:szCs w:val="28"/>
        </w:rPr>
      </w:pPr>
      <w:r>
        <w:rPr>
          <w:rFonts w:hint="eastAsia" w:ascii="宋体" w:hAnsi="宋体" w:eastAsia="宋体"/>
          <w:color w:val="252525"/>
          <w:sz w:val="28"/>
          <w:szCs w:val="28"/>
        </w:rPr>
        <w:t>绿色发展应充分考虑公司业务结构和实际经营情况，实现经营效益与绿色发展“两手抓、两不误”。</w:t>
      </w:r>
    </w:p>
    <w:p>
      <w:pPr>
        <w:pStyle w:val="31"/>
        <w:spacing w:line="360" w:lineRule="auto"/>
        <w:ind w:firstLine="0" w:firstLineChars="0"/>
        <w:outlineLvl w:val="1"/>
        <w:rPr>
          <w:rFonts w:hint="eastAsia" w:ascii="宋体" w:hAnsi="宋体" w:eastAsia="宋体"/>
          <w:color w:val="252525"/>
          <w:sz w:val="28"/>
          <w:szCs w:val="28"/>
        </w:rPr>
      </w:pPr>
      <w:r>
        <w:rPr>
          <w:rFonts w:hint="eastAsia" w:ascii="宋体" w:hAnsi="宋体" w:eastAsia="宋体"/>
          <w:color w:val="252525"/>
          <w:sz w:val="36"/>
          <w:szCs w:val="36"/>
        </w:rPr>
        <w:t>•</w:t>
      </w:r>
      <w:r>
        <w:rPr>
          <w:rFonts w:hint="eastAsia" w:ascii="宋体" w:hAnsi="宋体" w:eastAsia="宋体"/>
          <w:color w:val="252525"/>
          <w:sz w:val="28"/>
          <w:szCs w:val="28"/>
        </w:rPr>
        <w:t>创新引领原则</w:t>
      </w:r>
    </w:p>
    <w:p>
      <w:pPr>
        <w:pStyle w:val="31"/>
        <w:spacing w:line="360" w:lineRule="auto"/>
        <w:ind w:firstLine="0" w:firstLineChars="0"/>
        <w:outlineLvl w:val="1"/>
        <w:rPr>
          <w:rFonts w:hint="eastAsia" w:ascii="宋体" w:hAnsi="宋体" w:eastAsia="宋体"/>
          <w:color w:val="252525"/>
          <w:sz w:val="28"/>
          <w:szCs w:val="28"/>
        </w:rPr>
      </w:pPr>
      <w:r>
        <w:rPr>
          <w:rFonts w:ascii="宋体" w:hAnsi="宋体" w:eastAsia="宋体"/>
          <w:color w:val="252525"/>
          <w:sz w:val="28"/>
          <w:szCs w:val="28"/>
        </w:rPr>
        <mc:AlternateContent>
          <mc:Choice Requires="wps">
            <w:drawing>
              <wp:anchor distT="0" distB="0" distL="114935" distR="114935" simplePos="0" relativeHeight="251667456" behindDoc="1" locked="0" layoutInCell="1" allowOverlap="1">
                <wp:simplePos x="0" y="0"/>
                <wp:positionH relativeFrom="column">
                  <wp:posOffset>3810</wp:posOffset>
                </wp:positionH>
                <wp:positionV relativeFrom="paragraph">
                  <wp:posOffset>761365</wp:posOffset>
                </wp:positionV>
                <wp:extent cx="5080000" cy="476250"/>
                <wp:effectExtent l="12700" t="12700" r="12700" b="19050"/>
                <wp:wrapNone/>
                <wp:docPr id="50" name="圆角矩形 50"/>
                <wp:cNvGraphicFramePr/>
                <a:graphic xmlns:a="http://schemas.openxmlformats.org/drawingml/2006/main">
                  <a:graphicData uri="http://schemas.microsoft.com/office/word/2010/wordprocessingShape">
                    <wps:wsp>
                      <wps:cNvSpPr/>
                      <wps:spPr>
                        <a:xfrm>
                          <a:off x="0" y="0"/>
                          <a:ext cx="5080000" cy="476250"/>
                        </a:xfrm>
                        <a:prstGeom prst="roundRect">
                          <a:avLst/>
                        </a:prstGeom>
                        <a:solidFill>
                          <a:srgbClr val="92D050"/>
                        </a:solid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3pt;margin-top:59.95pt;height:37.5pt;width:400pt;z-index:-251649024;v-text-anchor:middle;mso-width-relative:page;mso-height-relative:page;" fillcolor="#92D050" filled="t" stroked="t" coordsize="21600,21600" arcsize="0.166666666666667" o:gfxdata="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cqsZbTAAAACAEAAA8A&#10;AAAAAAAAAQAgAAAAIgAAAGRycy9kb3ducmV2LnhtbFBLAQIUABQAAAAIAIdO4kCU6wYIVQIAAJwE&#10;AAAOAAAAAAAAAAEAIAAAACIBAABkcnMvZTJvRG9jLnhtbFBLBQYAAAAABgAGAFkBAADpBQAAAAA=&#10;">
                <v:fill on="t" focussize="0,0"/>
                <v:stroke weight="2pt" color="#92D050 [3206]" joinstyle="round"/>
                <v:imagedata o:title=""/>
                <o:lock v:ext="edit" aspectratio="f"/>
              </v:roundrect>
            </w:pict>
          </mc:Fallback>
        </mc:AlternateContent>
      </w:r>
      <w:r>
        <w:rPr>
          <w:rFonts w:hint="eastAsia" w:ascii="宋体" w:hAnsi="宋体" w:eastAsia="宋体"/>
          <w:color w:val="252525"/>
          <w:sz w:val="28"/>
          <w:szCs w:val="28"/>
        </w:rPr>
        <w:t>业务和管理创新应立足绿色发展战略，优先采用低碳环保的技术手段，实现资源消耗逐步下降。</w:t>
      </w:r>
    </w:p>
    <w:p>
      <w:pPr>
        <w:pStyle w:val="31"/>
        <w:spacing w:line="360" w:lineRule="auto"/>
        <w:ind w:firstLine="0" w:firstLineChars="0"/>
        <w:outlineLvl w:val="1"/>
        <w:rPr>
          <w:rFonts w:hint="eastAsia" w:ascii="宋体" w:hAnsi="宋体" w:eastAsia="宋体"/>
          <w:color w:val="FFFFFF" w:themeColor="background1"/>
          <w:sz w:val="28"/>
          <w:szCs w:val="28"/>
          <w14:textFill>
            <w14:solidFill>
              <w14:schemeClr w14:val="bg1"/>
            </w14:solidFill>
          </w14:textFill>
        </w:rPr>
      </w:pPr>
      <w:r>
        <w:rPr>
          <w:rFonts w:hint="eastAsia" w:ascii="宋体" w:hAnsi="宋体" w:eastAsia="宋体"/>
          <w:color w:val="FFFFFF" w:themeColor="background1"/>
          <w:sz w:val="28"/>
          <w:szCs w:val="28"/>
          <w14:textFill>
            <w14:solidFill>
              <w14:schemeClr w14:val="bg1"/>
            </w14:solidFill>
          </w14:textFill>
        </w:rPr>
        <w:t>战略工作目标</w:t>
      </w:r>
    </w:p>
    <w:p>
      <w:pPr>
        <w:pStyle w:val="31"/>
        <w:spacing w:line="360" w:lineRule="auto"/>
        <w:ind w:firstLine="0" w:firstLineChars="0"/>
        <w:outlineLvl w:val="1"/>
        <w:rPr>
          <w:rFonts w:hint="eastAsia" w:ascii="宋体" w:hAnsi="宋体" w:eastAsia="宋体"/>
          <w:color w:val="252525"/>
          <w:sz w:val="28"/>
          <w:szCs w:val="28"/>
        </w:rPr>
      </w:pPr>
      <w:r>
        <w:rPr>
          <w:rFonts w:hint="eastAsia" w:ascii="宋体" w:hAnsi="宋体" w:eastAsia="宋体"/>
          <w:color w:val="252525"/>
          <w:sz w:val="36"/>
          <w:szCs w:val="36"/>
        </w:rPr>
        <w:t>•</w:t>
      </w:r>
      <w:r>
        <w:rPr>
          <w:rFonts w:hint="eastAsia" w:ascii="宋体" w:hAnsi="宋体" w:eastAsia="宋体"/>
          <w:color w:val="252525"/>
          <w:sz w:val="28"/>
          <w:szCs w:val="28"/>
        </w:rPr>
        <w:t>稳步加大绿色信贷的投放力度</w:t>
      </w:r>
    </w:p>
    <w:p>
      <w:pPr>
        <w:pStyle w:val="31"/>
        <w:spacing w:line="360" w:lineRule="auto"/>
        <w:ind w:firstLine="0" w:firstLineChars="0"/>
        <w:outlineLvl w:val="1"/>
        <w:rPr>
          <w:rFonts w:hint="eastAsia" w:ascii="宋体" w:hAnsi="宋体" w:eastAsia="宋体"/>
          <w:color w:val="252525"/>
          <w:sz w:val="28"/>
          <w:szCs w:val="28"/>
        </w:rPr>
      </w:pPr>
      <w:r>
        <w:rPr>
          <w:rFonts w:hint="eastAsia" w:ascii="宋体" w:hAnsi="宋体" w:eastAsia="宋体"/>
          <w:color w:val="252525"/>
          <w:sz w:val="36"/>
          <w:szCs w:val="36"/>
        </w:rPr>
        <w:t>•</w:t>
      </w:r>
      <w:r>
        <w:rPr>
          <w:rFonts w:hint="eastAsia" w:ascii="宋体" w:hAnsi="宋体" w:eastAsia="宋体"/>
          <w:color w:val="252525"/>
          <w:sz w:val="28"/>
          <w:szCs w:val="28"/>
        </w:rPr>
        <w:t>绿色信贷规模总量不低于上年同期</w:t>
      </w:r>
    </w:p>
    <w:p>
      <w:pPr>
        <w:pStyle w:val="31"/>
        <w:spacing w:line="360" w:lineRule="auto"/>
        <w:ind w:firstLine="0" w:firstLineChars="0"/>
        <w:outlineLvl w:val="1"/>
        <w:rPr>
          <w:rFonts w:hint="eastAsia" w:ascii="宋体" w:hAnsi="宋体" w:eastAsia="宋体"/>
          <w:color w:val="252525"/>
          <w:sz w:val="28"/>
          <w:szCs w:val="28"/>
        </w:rPr>
      </w:pPr>
      <w:r>
        <w:rPr>
          <w:rFonts w:hint="eastAsia" w:ascii="宋体" w:hAnsi="宋体" w:eastAsia="宋体"/>
          <w:color w:val="252525"/>
          <w:sz w:val="36"/>
          <w:szCs w:val="36"/>
        </w:rPr>
        <w:t>•</w:t>
      </w:r>
      <w:r>
        <w:rPr>
          <w:rFonts w:hint="eastAsia" w:ascii="宋体" w:hAnsi="宋体" w:eastAsia="宋体"/>
          <w:color w:val="252525"/>
          <w:sz w:val="28"/>
          <w:szCs w:val="28"/>
        </w:rPr>
        <w:t>绿色信贷增速不低于各项贷款增速</w:t>
      </w:r>
    </w:p>
    <w:p>
      <w:pPr>
        <w:pStyle w:val="31"/>
        <w:spacing w:line="360" w:lineRule="auto"/>
        <w:ind w:firstLine="0" w:firstLineChars="0"/>
        <w:outlineLvl w:val="1"/>
        <w:rPr>
          <w:rFonts w:hint="eastAsia" w:ascii="宋体" w:hAnsi="宋体" w:eastAsia="宋体"/>
          <w:color w:val="252525"/>
          <w:sz w:val="28"/>
          <w:szCs w:val="28"/>
        </w:rPr>
      </w:pPr>
      <w:r>
        <w:rPr>
          <w:rFonts w:hint="eastAsia" w:ascii="宋体" w:hAnsi="宋体" w:eastAsia="宋体"/>
          <w:color w:val="252525"/>
          <w:sz w:val="36"/>
          <w:szCs w:val="36"/>
        </w:rPr>
        <w:t>•</w:t>
      </w:r>
      <w:r>
        <w:rPr>
          <w:rFonts w:hint="eastAsia" w:ascii="宋体" w:hAnsi="宋体" w:eastAsia="宋体"/>
          <w:color w:val="252525"/>
          <w:sz w:val="28"/>
          <w:szCs w:val="28"/>
        </w:rPr>
        <w:t>逐步降低资源消耗，推行无纸化办公，纸张用量减半</w:t>
      </w:r>
    </w:p>
    <w:p>
      <w:pPr>
        <w:pStyle w:val="31"/>
        <w:spacing w:line="360" w:lineRule="auto"/>
        <w:ind w:firstLine="0" w:firstLineChars="0"/>
        <w:outlineLvl w:val="1"/>
        <w:rPr>
          <w:rFonts w:hint="eastAsia" w:ascii="宋体" w:hAnsi="宋体" w:eastAsia="宋体"/>
          <w:color w:val="252525"/>
          <w:sz w:val="28"/>
          <w:szCs w:val="28"/>
        </w:rPr>
      </w:pPr>
      <w:r>
        <w:rPr>
          <w:rFonts w:hint="eastAsia" w:ascii="宋体" w:hAnsi="宋体" w:eastAsia="宋体"/>
          <w:color w:val="252525"/>
          <w:sz w:val="36"/>
          <w:szCs w:val="36"/>
        </w:rPr>
        <w:t>•</w:t>
      </w:r>
      <w:r>
        <w:rPr>
          <w:rFonts w:hint="eastAsia" w:ascii="宋体" w:hAnsi="宋体" w:eastAsia="宋体"/>
          <w:color w:val="252525"/>
          <w:sz w:val="28"/>
          <w:szCs w:val="28"/>
        </w:rPr>
        <w:t>深入理解和树立绿色信念</w:t>
      </w:r>
    </w:p>
    <w:p>
      <w:pPr>
        <w:pStyle w:val="31"/>
        <w:spacing w:line="360" w:lineRule="auto"/>
        <w:ind w:firstLine="0" w:firstLineChars="0"/>
        <w:outlineLvl w:val="1"/>
        <w:rPr>
          <w:rFonts w:hint="eastAsia" w:ascii="宋体" w:hAnsi="宋体" w:eastAsia="宋体"/>
          <w:color w:val="252525"/>
          <w:sz w:val="28"/>
          <w:szCs w:val="28"/>
        </w:rPr>
      </w:pPr>
      <w:r>
        <w:rPr>
          <w:rFonts w:hint="eastAsia" w:ascii="宋体" w:hAnsi="宋体" w:eastAsia="宋体"/>
          <w:color w:val="252525"/>
          <w:sz w:val="36"/>
          <w:szCs w:val="36"/>
        </w:rPr>
        <w:t>•</w:t>
      </w:r>
      <w:r>
        <w:rPr>
          <w:rFonts w:hint="eastAsia" w:ascii="宋体" w:hAnsi="宋体" w:eastAsia="宋体"/>
          <w:color w:val="252525"/>
          <w:sz w:val="28"/>
          <w:szCs w:val="28"/>
        </w:rPr>
        <w:t>持续开展绿色文化建设活动</w:t>
      </w:r>
    </w:p>
    <w:p>
      <w:pPr>
        <w:pStyle w:val="31"/>
        <w:spacing w:line="360" w:lineRule="auto"/>
        <w:ind w:firstLine="0" w:firstLineChars="0"/>
        <w:outlineLvl w:val="1"/>
        <w:rPr>
          <w:rFonts w:hint="eastAsia" w:ascii="宋体" w:hAnsi="宋体" w:eastAsia="宋体"/>
          <w:color w:val="252525"/>
          <w:sz w:val="28"/>
          <w:szCs w:val="28"/>
        </w:rPr>
      </w:pPr>
      <w:r>
        <w:rPr>
          <w:rFonts w:hint="eastAsia" w:ascii="宋体" w:hAnsi="宋体" w:eastAsia="宋体"/>
          <w:color w:val="252525"/>
          <w:sz w:val="36"/>
          <w:szCs w:val="36"/>
        </w:rPr>
        <w:t>•</w:t>
      </w:r>
      <w:r>
        <w:rPr>
          <w:rFonts w:hint="eastAsia" w:ascii="宋体" w:hAnsi="宋体" w:eastAsia="宋体"/>
          <w:color w:val="252525"/>
          <w:sz w:val="28"/>
          <w:szCs w:val="28"/>
        </w:rPr>
        <w:t>鼓励员工绿色出行，践行低碳生活</w:t>
      </w:r>
    </w:p>
    <w:p>
      <w:pPr>
        <w:pStyle w:val="31"/>
        <w:numPr>
          <w:ilvl w:val="0"/>
          <w:numId w:val="1"/>
        </w:numPr>
        <w:spacing w:line="360" w:lineRule="auto"/>
        <w:ind w:left="357" w:hanging="357" w:firstLineChars="0"/>
        <w:outlineLvl w:val="0"/>
        <w:rPr>
          <w:rFonts w:hint="eastAsia" w:ascii="宋体" w:hAnsi="宋体" w:eastAsia="宋体"/>
          <w:b/>
          <w:bCs/>
          <w:color w:val="FF0000"/>
          <w:sz w:val="30"/>
          <w:szCs w:val="30"/>
        </w:rPr>
      </w:pPr>
      <w:bookmarkStart w:id="6" w:name="_Toc30182"/>
      <w:r>
        <w:rPr>
          <w:rFonts w:hint="eastAsia" w:ascii="宋体" w:hAnsi="宋体" w:eastAsia="宋体"/>
          <w:b/>
          <w:bCs/>
          <w:sz w:val="30"/>
          <w:szCs w:val="30"/>
        </w:rPr>
        <w:t>环境相关治理结构</w:t>
      </w:r>
      <w:bookmarkEnd w:id="6"/>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 xml:space="preserve">董事会层面：董事会负责制定公司战略规划，明确公司绿色金融发展的方向和目标。董事会下设有绿色发展委员会和风险管理委员会，前者主要负责研究并制定符合国家政策导向与公司发展的绿色发展战略，配合企业集团的布局制定绿色金融支持政策，提升公司在节能降耗等方面的绿色表现；后者主要负责研究公司发展战略、风险管理体系，评估绿色金融发展情况，提出动态的风险控制建议等。 </w:t>
      </w:r>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高管层层面：公司成立绿色金融领导小组和信贷审查委员会，绿色金融领导小组由公司总经理任组长，副总经理任副组长，各部门负责人为小组成员，负责领导绿色金融相关工作，保障绿色金融建设工作的有序推进。信贷审查委员会是是公司授信政策、授信产品、授信流程、调查标准和评审标准的审查机构，是财务公司经营性资产质量的重要监督和指导机构，负责对公司绿色信贷产品、业务、流程等的审查指导工作。</w:t>
      </w:r>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专业部门层面：公司信贷业务部是绿色信贷业务的具体承办部门，部门内部设立有绿色金融业务小组，主要负责绿色金融业务的具体执行，由业务主管担任组长，配备4名成员。</w:t>
      </w:r>
    </w:p>
    <w:p>
      <w:pPr>
        <w:pStyle w:val="2"/>
        <w:rPr>
          <w:rFonts w:hint="eastAsia" w:ascii="宋体" w:hAnsi="宋体" w:eastAsia="宋体"/>
          <w:color w:val="252525"/>
          <w:sz w:val="28"/>
          <w:szCs w:val="28"/>
        </w:rPr>
      </w:pPr>
      <w:r>
        <w:rPr>
          <w:rFonts w:hint="eastAsia"/>
        </w:rPr>
        <w:drawing>
          <wp:anchor distT="0" distB="0" distL="114300" distR="114300" simplePos="0" relativeHeight="251663360" behindDoc="0" locked="0" layoutInCell="1" allowOverlap="1">
            <wp:simplePos x="0" y="0"/>
            <wp:positionH relativeFrom="column">
              <wp:posOffset>21590</wp:posOffset>
            </wp:positionH>
            <wp:positionV relativeFrom="paragraph">
              <wp:posOffset>-29210</wp:posOffset>
            </wp:positionV>
            <wp:extent cx="5262245" cy="3689985"/>
            <wp:effectExtent l="0" t="0" r="8255" b="5715"/>
            <wp:wrapNone/>
            <wp:docPr id="44" name="图片 44" descr="473d4ec476d95c335cd4ae68418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73d4ec476d95c335cd4ae684185706"/>
                    <pic:cNvPicPr>
                      <a:picLocks noChangeAspect="1"/>
                    </pic:cNvPicPr>
                  </pic:nvPicPr>
                  <pic:blipFill>
                    <a:blip r:embed="rId8"/>
                    <a:srcRect r="2655" b="1241"/>
                    <a:stretch>
                      <a:fillRect/>
                    </a:stretch>
                  </pic:blipFill>
                  <pic:spPr>
                    <a:xfrm>
                      <a:off x="0" y="0"/>
                      <a:ext cx="5262245" cy="3689985"/>
                    </a:xfrm>
                    <a:prstGeom prst="rect">
                      <a:avLst/>
                    </a:prstGeom>
                  </pic:spPr>
                </pic:pic>
              </a:graphicData>
            </a:graphic>
          </wp:anchor>
        </w:drawing>
      </w:r>
    </w:p>
    <w:p>
      <w:pPr>
        <w:pStyle w:val="2"/>
        <w:rPr>
          <w:rFonts w:hint="eastAsia" w:ascii="宋体" w:hAnsi="宋体" w:eastAsia="宋体"/>
          <w:color w:val="252525"/>
          <w:sz w:val="28"/>
          <w:szCs w:val="28"/>
        </w:rPr>
      </w:pPr>
    </w:p>
    <w:p>
      <w:pPr>
        <w:pStyle w:val="2"/>
        <w:rPr>
          <w:rFonts w:hint="eastAsia" w:ascii="宋体" w:hAnsi="宋体" w:eastAsia="宋体"/>
          <w:color w:val="252525"/>
          <w:sz w:val="28"/>
          <w:szCs w:val="28"/>
        </w:rPr>
      </w:pPr>
    </w:p>
    <w:p>
      <w:pPr>
        <w:pStyle w:val="2"/>
        <w:rPr>
          <w:rFonts w:hint="eastAsia" w:ascii="宋体" w:hAnsi="宋体" w:eastAsia="宋体"/>
          <w:color w:val="252525"/>
          <w:sz w:val="28"/>
          <w:szCs w:val="28"/>
        </w:rPr>
      </w:pPr>
    </w:p>
    <w:p>
      <w:pPr>
        <w:pStyle w:val="2"/>
        <w:rPr>
          <w:rFonts w:hint="eastAsia" w:ascii="宋体" w:hAnsi="宋体" w:eastAsia="宋体"/>
          <w:color w:val="252525"/>
          <w:sz w:val="28"/>
          <w:szCs w:val="28"/>
        </w:rPr>
      </w:pPr>
    </w:p>
    <w:p>
      <w:pPr>
        <w:pStyle w:val="2"/>
        <w:rPr>
          <w:rFonts w:hint="eastAsia" w:ascii="宋体" w:hAnsi="宋体" w:eastAsia="宋体"/>
          <w:color w:val="252525"/>
          <w:sz w:val="28"/>
          <w:szCs w:val="28"/>
        </w:rPr>
      </w:pPr>
    </w:p>
    <w:p>
      <w:pPr>
        <w:jc w:val="center"/>
        <w:rPr>
          <w:rFonts w:hint="eastAsia"/>
        </w:rPr>
      </w:pPr>
    </w:p>
    <w:p>
      <w:pPr>
        <w:jc w:val="center"/>
        <w:rPr>
          <w:rFonts w:hint="eastAsia" w:ascii="宋体" w:hAnsi="宋体" w:eastAsia="宋体" w:cs="宋体"/>
          <w:b/>
          <w:bCs/>
          <w:szCs w:val="21"/>
        </w:rPr>
      </w:pPr>
    </w:p>
    <w:p>
      <w:pPr>
        <w:jc w:val="center"/>
        <w:rPr>
          <w:rFonts w:hint="eastAsia" w:ascii="宋体" w:hAnsi="宋体" w:eastAsia="宋体" w:cs="宋体"/>
          <w:b/>
          <w:bCs/>
          <w:szCs w:val="21"/>
        </w:rPr>
      </w:pPr>
    </w:p>
    <w:p>
      <w:pPr>
        <w:jc w:val="center"/>
        <w:rPr>
          <w:rFonts w:hint="eastAsia" w:ascii="宋体" w:hAnsi="宋体" w:eastAsia="宋体" w:cs="宋体"/>
          <w:b/>
          <w:bCs/>
          <w:szCs w:val="21"/>
        </w:rPr>
      </w:pPr>
    </w:p>
    <w:p>
      <w:pPr>
        <w:jc w:val="center"/>
        <w:rPr>
          <w:rFonts w:hint="eastAsia" w:ascii="宋体" w:hAnsi="宋体" w:eastAsia="宋体" w:cs="宋体"/>
          <w:b/>
          <w:bCs/>
          <w:szCs w:val="21"/>
        </w:rPr>
      </w:pPr>
    </w:p>
    <w:p>
      <w:pPr>
        <w:jc w:val="center"/>
        <w:rPr>
          <w:rFonts w:hint="eastAsia" w:ascii="宋体" w:hAnsi="宋体" w:eastAsia="宋体" w:cs="宋体"/>
          <w:b/>
          <w:bCs/>
          <w:szCs w:val="21"/>
        </w:rPr>
      </w:pPr>
    </w:p>
    <w:p>
      <w:pPr>
        <w:jc w:val="center"/>
        <w:rPr>
          <w:rFonts w:hint="eastAsia" w:ascii="宋体" w:hAnsi="宋体" w:eastAsia="宋体" w:cs="宋体"/>
          <w:b/>
          <w:bCs/>
          <w:szCs w:val="21"/>
        </w:rPr>
      </w:pPr>
    </w:p>
    <w:p>
      <w:pPr>
        <w:jc w:val="center"/>
        <w:rPr>
          <w:rFonts w:hint="eastAsia" w:ascii="宋体" w:hAnsi="宋体" w:eastAsia="宋体"/>
          <w:color w:val="252525"/>
          <w:sz w:val="28"/>
          <w:szCs w:val="28"/>
        </w:rPr>
      </w:pPr>
      <w:r>
        <w:rPr>
          <w:rFonts w:hint="eastAsia" w:ascii="宋体" w:hAnsi="宋体" w:eastAsia="宋体" w:cs="宋体"/>
          <w:b/>
          <w:bCs/>
          <w:szCs w:val="21"/>
        </w:rPr>
        <w:t>图</w:t>
      </w:r>
      <w:r>
        <w:rPr>
          <w:rFonts w:ascii="宋体" w:hAnsi="宋体" w:eastAsia="宋体" w:cs="宋体"/>
          <w:b/>
          <w:bCs/>
          <w:szCs w:val="21"/>
        </w:rPr>
        <w:t>1</w:t>
      </w:r>
      <w:r>
        <w:rPr>
          <w:rFonts w:hint="eastAsia" w:ascii="宋体" w:hAnsi="宋体" w:eastAsia="宋体" w:cs="宋体"/>
          <w:b/>
          <w:bCs/>
          <w:szCs w:val="21"/>
        </w:rPr>
        <w:t>：绿色金融治理结构图</w:t>
      </w:r>
      <w:r>
        <w:rPr>
          <w:rFonts w:ascii="宋体" w:hAnsi="宋体" w:eastAsia="宋体" w:cs="宋体"/>
          <w:b/>
          <w:bCs/>
          <w:szCs w:val="21"/>
        </w:rPr>
        <w:t xml:space="preserve"> </w:t>
      </w:r>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本公司不断加强组织体系建设，实行绿色金融“一把手负责制”，指定牵头部门负责绿色金融业务。同时强化绿色金融专业团队建设，坚持内培和外引相结合，打造集环境和社会风险管理、产品研发和推广等功能于一体的专业化团队，提高绿色金融服务能力。</w:t>
      </w:r>
    </w:p>
    <w:p>
      <w:pPr>
        <w:pStyle w:val="31"/>
        <w:numPr>
          <w:ilvl w:val="0"/>
          <w:numId w:val="1"/>
        </w:numPr>
        <w:spacing w:line="360" w:lineRule="auto"/>
        <w:ind w:left="357" w:hanging="357" w:firstLineChars="0"/>
        <w:outlineLvl w:val="0"/>
        <w:rPr>
          <w:rFonts w:hint="eastAsia" w:ascii="宋体" w:hAnsi="宋体" w:eastAsia="宋体"/>
          <w:b/>
          <w:bCs/>
          <w:color w:val="FF0000"/>
          <w:sz w:val="30"/>
          <w:szCs w:val="30"/>
        </w:rPr>
      </w:pPr>
      <w:bookmarkStart w:id="7" w:name="_Toc30318"/>
      <w:r>
        <w:rPr>
          <w:rFonts w:hint="eastAsia" w:ascii="宋体" w:hAnsi="宋体" w:eastAsia="宋体"/>
          <w:b/>
          <w:bCs/>
          <w:sz w:val="30"/>
          <w:szCs w:val="30"/>
        </w:rPr>
        <w:t>环境相关政策制度</w:t>
      </w:r>
      <w:bookmarkEnd w:id="7"/>
    </w:p>
    <w:p>
      <w:pPr>
        <w:rPr>
          <w:rFonts w:hint="eastAsia" w:ascii="宋体" w:hAnsi="宋体" w:eastAsia="宋体" w:cs="宋体"/>
          <w:sz w:val="28"/>
          <w:szCs w:val="28"/>
        </w:rPr>
      </w:pPr>
      <w:bookmarkStart w:id="8" w:name="_Toc82434772"/>
      <w:bookmarkEnd w:id="8"/>
      <w:bookmarkStart w:id="9" w:name="_Toc83300034"/>
      <w:bookmarkEnd w:id="9"/>
      <w:bookmarkStart w:id="10" w:name="_Toc83300036"/>
      <w:bookmarkEnd w:id="10"/>
      <w:bookmarkStart w:id="11" w:name="_Toc82434774"/>
      <w:bookmarkEnd w:id="11"/>
      <w:r>
        <w:rPr>
          <w:rFonts w:hint="eastAsia" w:ascii="宋体" w:hAnsi="宋体" w:eastAsia="宋体" w:cs="宋体"/>
          <w:sz w:val="28"/>
          <w:szCs w:val="28"/>
        </w:rPr>
        <w:t>3.1内部政策制度：</w:t>
      </w:r>
    </w:p>
    <w:tbl>
      <w:tblPr>
        <w:tblStyle w:val="27"/>
        <w:tblW w:w="85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7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2" w:type="dxa"/>
          </w:tcPr>
          <w:p>
            <w:pPr>
              <w:rPr>
                <w:rFonts w:hint="eastAsia" w:ascii="宋体" w:hAnsi="宋体" w:eastAsia="宋体" w:cs="宋体"/>
                <w:sz w:val="28"/>
                <w:szCs w:val="28"/>
              </w:rPr>
            </w:pPr>
            <w:r>
              <w:rPr>
                <w:rFonts w:hint="eastAsia" w:ascii="宋体" w:hAnsi="宋体" w:eastAsia="宋体" w:cs="宋体"/>
                <w:sz w:val="28"/>
                <w:szCs w:val="28"/>
              </w:rPr>
              <w:t>序号</w:t>
            </w:r>
          </w:p>
        </w:tc>
        <w:tc>
          <w:tcPr>
            <w:tcW w:w="7701" w:type="dxa"/>
          </w:tcPr>
          <w:p>
            <w:pPr>
              <w:rPr>
                <w:rFonts w:hint="eastAsia" w:ascii="宋体" w:hAnsi="宋体" w:eastAsia="宋体" w:cs="宋体"/>
                <w:sz w:val="28"/>
                <w:szCs w:val="28"/>
              </w:rPr>
            </w:pPr>
            <w:r>
              <w:rPr>
                <w:rFonts w:hint="eastAsia" w:ascii="宋体" w:hAnsi="宋体" w:eastAsia="宋体" w:cs="宋体"/>
                <w:sz w:val="28"/>
                <w:szCs w:val="28"/>
              </w:rPr>
              <w:t>内部制度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2"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1</w:t>
            </w:r>
          </w:p>
        </w:tc>
        <w:tc>
          <w:tcPr>
            <w:tcW w:w="7701" w:type="dxa"/>
          </w:tcPr>
          <w:p>
            <w:pPr>
              <w:rPr>
                <w:rFonts w:hint="eastAsia" w:ascii="宋体" w:hAnsi="宋体" w:eastAsia="宋体" w:cs="宋体"/>
                <w:sz w:val="28"/>
                <w:szCs w:val="28"/>
              </w:rPr>
            </w:pPr>
            <w:r>
              <w:rPr>
                <w:rFonts w:hint="eastAsia" w:ascii="宋体" w:hAnsi="宋体" w:eastAsia="宋体" w:cs="宋体"/>
                <w:sz w:val="28"/>
                <w:szCs w:val="28"/>
              </w:rPr>
              <w:t>本公司制定《四川长虹集团财务有限公司绿色信贷建设实施办法》，该办法对绿色信贷业务的组织架构、操作流程和业绩评价作出明确规定。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2"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2</w:t>
            </w:r>
          </w:p>
        </w:tc>
        <w:tc>
          <w:tcPr>
            <w:tcW w:w="7701" w:type="dxa"/>
          </w:tcPr>
          <w:p>
            <w:pPr>
              <w:rPr>
                <w:rFonts w:hint="eastAsia" w:ascii="宋体" w:hAnsi="宋体" w:eastAsia="宋体" w:cs="宋体"/>
                <w:sz w:val="28"/>
                <w:szCs w:val="28"/>
              </w:rPr>
            </w:pPr>
            <w:r>
              <w:rPr>
                <w:rFonts w:hint="eastAsia" w:ascii="宋体" w:hAnsi="宋体" w:eastAsia="宋体" w:cs="宋体"/>
                <w:sz w:val="28"/>
                <w:szCs w:val="28"/>
              </w:rPr>
              <w:t>为保障绿色金融工作的有序、有组织地开展，本公司印发了《关于成立绿色金融小组》的通知，分别在高管层和专业部门层设置绿色金融领导小组和绿色金融业务小组。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trPr>
        <w:tc>
          <w:tcPr>
            <w:tcW w:w="882" w:type="dxa"/>
          </w:tcPr>
          <w:p>
            <w:pPr>
              <w:rPr>
                <w:rFonts w:hint="eastAsia" w:ascii="宋体" w:hAnsi="宋体" w:eastAsia="宋体" w:cs="宋体"/>
                <w:sz w:val="28"/>
                <w:szCs w:val="28"/>
              </w:rPr>
            </w:pPr>
          </w:p>
          <w:p>
            <w:pPr>
              <w:rPr>
                <w:rFonts w:hint="eastAsia" w:ascii="宋体" w:hAnsi="宋体" w:eastAsia="宋体" w:cs="宋体"/>
                <w:sz w:val="28"/>
                <w:szCs w:val="28"/>
              </w:rPr>
            </w:pPr>
            <w:r>
              <w:rPr>
                <w:rFonts w:ascii="宋体" w:hAnsi="宋体" w:eastAsia="宋体" w:cs="宋体"/>
                <w:sz w:val="28"/>
                <w:szCs w:val="28"/>
              </w:rPr>
              <w:t>3</w:t>
            </w:r>
          </w:p>
        </w:tc>
        <w:tc>
          <w:tcPr>
            <w:tcW w:w="7701" w:type="dxa"/>
          </w:tcPr>
          <w:p>
            <w:pPr>
              <w:rPr>
                <w:rFonts w:hint="eastAsia" w:ascii="宋体" w:hAnsi="宋体" w:eastAsia="宋体" w:cs="宋体"/>
                <w:color w:val="0000FF"/>
                <w:sz w:val="28"/>
                <w:szCs w:val="28"/>
              </w:rPr>
            </w:pPr>
            <w:r>
              <w:rPr>
                <w:rFonts w:hint="eastAsia" w:ascii="宋体" w:hAnsi="宋体" w:eastAsia="宋体" w:cs="宋体"/>
                <w:sz w:val="28"/>
                <w:szCs w:val="28"/>
              </w:rPr>
              <w:t>为了贯彻新发展理念，落实四川省碳减排票据再贴现专项支持计划工作方案，规范碳减排商业汇票业务操作，本公司制定有《四川长虹集团财务有限公司碳减排商业汇票业务管理办法》,面向具有碳减排效应的绿色企业签发、收受商业汇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2" w:type="dxa"/>
          </w:tcPr>
          <w:p>
            <w:pPr>
              <w:rPr>
                <w:rFonts w:hint="eastAsia" w:ascii="宋体" w:hAnsi="宋体" w:eastAsia="宋体" w:cs="宋体"/>
                <w:sz w:val="28"/>
                <w:szCs w:val="28"/>
              </w:rPr>
            </w:pPr>
            <w:r>
              <w:rPr>
                <w:rFonts w:hint="eastAsia" w:ascii="宋体" w:hAnsi="宋体" w:eastAsia="宋体" w:cs="宋体"/>
                <w:sz w:val="28"/>
                <w:szCs w:val="28"/>
              </w:rPr>
              <w:t>4</w:t>
            </w:r>
          </w:p>
        </w:tc>
        <w:tc>
          <w:tcPr>
            <w:tcW w:w="7701" w:type="dxa"/>
          </w:tcPr>
          <w:p>
            <w:pPr>
              <w:rPr>
                <w:rFonts w:hint="eastAsia" w:ascii="宋体" w:hAnsi="宋体" w:eastAsia="宋体" w:cs="宋体"/>
                <w:sz w:val="28"/>
                <w:szCs w:val="28"/>
              </w:rPr>
            </w:pPr>
            <w:r>
              <w:rPr>
                <w:rFonts w:hint="eastAsia" w:ascii="宋体" w:hAnsi="宋体" w:eastAsia="宋体" w:cs="宋体"/>
                <w:sz w:val="28"/>
                <w:szCs w:val="28"/>
              </w:rPr>
              <w:t>本公司制定有《信贷类客户综合授信管理办法》，该办法规定了专项授信需根据项目具体情况核查环境影响情况。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2" w:type="dxa"/>
          </w:tcPr>
          <w:p>
            <w:pPr>
              <w:rPr>
                <w:rFonts w:hint="eastAsia" w:ascii="宋体" w:hAnsi="宋体" w:eastAsia="宋体" w:cs="宋体"/>
                <w:sz w:val="28"/>
                <w:szCs w:val="28"/>
              </w:rPr>
            </w:pPr>
            <w:r>
              <w:rPr>
                <w:rFonts w:hint="eastAsia" w:ascii="宋体" w:hAnsi="宋体" w:eastAsia="宋体" w:cs="宋体"/>
                <w:sz w:val="28"/>
                <w:szCs w:val="28"/>
              </w:rPr>
              <w:t>5</w:t>
            </w:r>
          </w:p>
        </w:tc>
        <w:tc>
          <w:tcPr>
            <w:tcW w:w="7701" w:type="dxa"/>
          </w:tcPr>
          <w:p>
            <w:pPr>
              <w:rPr>
                <w:rFonts w:hint="eastAsia" w:ascii="宋体" w:hAnsi="宋体" w:eastAsia="宋体" w:cs="宋体"/>
                <w:sz w:val="28"/>
                <w:szCs w:val="28"/>
              </w:rPr>
            </w:pPr>
            <w:r>
              <w:rPr>
                <w:rFonts w:hint="eastAsia" w:ascii="宋体" w:hAnsi="宋体" w:eastAsia="宋体" w:cs="宋体"/>
                <w:sz w:val="28"/>
                <w:szCs w:val="28"/>
              </w:rPr>
              <w:t>本公司制定有《贷款管理办法》，该办法规定申请固定资产贷款项目需核查环境影响情况。</w:t>
            </w:r>
          </w:p>
        </w:tc>
      </w:tr>
    </w:tbl>
    <w:p>
      <w:pPr>
        <w:rPr>
          <w:rFonts w:hint="eastAsia" w:ascii="宋体" w:hAnsi="宋体" w:eastAsia="宋体" w:cs="宋体"/>
          <w:sz w:val="28"/>
          <w:szCs w:val="28"/>
        </w:rPr>
      </w:pPr>
      <w:r>
        <w:rPr>
          <w:rFonts w:hint="eastAsia" w:ascii="宋体" w:hAnsi="宋体" w:eastAsia="宋体" w:cs="宋体"/>
          <w:sz w:val="28"/>
          <w:szCs w:val="28"/>
        </w:rPr>
        <w:t>3.2 国内政策制度：</w:t>
      </w:r>
    </w:p>
    <w:tbl>
      <w:tblPr>
        <w:tblStyle w:val="27"/>
        <w:tblW w:w="86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3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rPr>
                <w:rFonts w:hint="eastAsia" w:ascii="宋体" w:hAnsi="宋体" w:eastAsia="宋体" w:cs="宋体"/>
                <w:sz w:val="28"/>
                <w:szCs w:val="28"/>
              </w:rPr>
            </w:pPr>
            <w:r>
              <w:rPr>
                <w:rFonts w:hint="eastAsia" w:ascii="宋体" w:hAnsi="宋体" w:eastAsia="宋体" w:cs="宋体"/>
                <w:sz w:val="28"/>
                <w:szCs w:val="28"/>
              </w:rPr>
              <w:t>时间</w:t>
            </w:r>
          </w:p>
        </w:tc>
        <w:tc>
          <w:tcPr>
            <w:tcW w:w="1704" w:type="dxa"/>
          </w:tcPr>
          <w:p>
            <w:pPr>
              <w:rPr>
                <w:rFonts w:hint="eastAsia" w:ascii="宋体" w:hAnsi="宋体" w:eastAsia="宋体" w:cs="宋体"/>
                <w:sz w:val="28"/>
                <w:szCs w:val="28"/>
              </w:rPr>
            </w:pPr>
            <w:r>
              <w:rPr>
                <w:rFonts w:hint="eastAsia" w:ascii="宋体" w:hAnsi="宋体" w:eastAsia="宋体" w:cs="宋体"/>
                <w:sz w:val="28"/>
                <w:szCs w:val="28"/>
              </w:rPr>
              <w:t>主体</w:t>
            </w:r>
          </w:p>
        </w:tc>
        <w:tc>
          <w:tcPr>
            <w:tcW w:w="1704" w:type="dxa"/>
          </w:tcPr>
          <w:p>
            <w:pPr>
              <w:rPr>
                <w:rFonts w:hint="eastAsia" w:ascii="宋体" w:hAnsi="宋体" w:eastAsia="宋体" w:cs="宋体"/>
                <w:sz w:val="28"/>
                <w:szCs w:val="28"/>
              </w:rPr>
            </w:pPr>
            <w:r>
              <w:rPr>
                <w:rFonts w:hint="eastAsia" w:ascii="宋体" w:hAnsi="宋体" w:eastAsia="宋体" w:cs="宋体"/>
                <w:sz w:val="28"/>
                <w:szCs w:val="28"/>
              </w:rPr>
              <w:t>文件名称</w:t>
            </w:r>
          </w:p>
        </w:tc>
        <w:tc>
          <w:tcPr>
            <w:tcW w:w="3502" w:type="dxa"/>
          </w:tcPr>
          <w:p>
            <w:pPr>
              <w:rPr>
                <w:rFonts w:hint="eastAsia" w:ascii="宋体" w:hAnsi="宋体" w:eastAsia="宋体" w:cs="宋体"/>
                <w:sz w:val="28"/>
                <w:szCs w:val="28"/>
              </w:rPr>
            </w:pPr>
            <w:r>
              <w:rPr>
                <w:rFonts w:hint="eastAsia" w:ascii="宋体" w:hAnsi="宋体" w:eastAsia="宋体" w:cs="宋体"/>
                <w:sz w:val="28"/>
                <w:szCs w:val="28"/>
              </w:rPr>
              <w:t>绿色金融要点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2016年8月</w:t>
            </w:r>
          </w:p>
        </w:tc>
        <w:tc>
          <w:tcPr>
            <w:tcW w:w="1704" w:type="dxa"/>
          </w:tcPr>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人民银行等七部委</w:t>
            </w:r>
          </w:p>
        </w:tc>
        <w:tc>
          <w:tcPr>
            <w:tcW w:w="1704" w:type="dxa"/>
          </w:tcPr>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《关于构建绿色金融体系的指导意见》（银发〔2016〕228号）</w:t>
            </w:r>
          </w:p>
        </w:tc>
        <w:tc>
          <w:tcPr>
            <w:tcW w:w="3502" w:type="dxa"/>
          </w:tcPr>
          <w:p>
            <w:pPr>
              <w:rPr>
                <w:rFonts w:hint="eastAsia" w:ascii="宋体" w:hAnsi="宋体" w:eastAsia="宋体" w:cs="宋体"/>
                <w:sz w:val="28"/>
                <w:szCs w:val="28"/>
              </w:rPr>
            </w:pPr>
            <w:r>
              <w:rPr>
                <w:rFonts w:hint="eastAsia" w:ascii="宋体" w:hAnsi="宋体" w:eastAsia="宋体" w:cs="宋体"/>
                <w:sz w:val="28"/>
                <w:szCs w:val="28"/>
              </w:rPr>
              <w:t>强调绿色金融意义，提出了支持和鼓励绿色投融资的一系列激励措施，要通过创新性金融制度安排，引导和激励更多社会资本投入绿色产业，同时有效抑制污染性投资；要利用绿色信贷、绿色债券、绿色股票指数和相关产品、绿色发展基金、绿色保险、碳金融等金融工具和相关政策为绿色发展服务；要加强对绿色金融业务和产品的监管协调，完善有关监管规则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2019年2月</w:t>
            </w:r>
          </w:p>
        </w:tc>
        <w:tc>
          <w:tcPr>
            <w:tcW w:w="1704"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国家发展改革委等七部委</w:t>
            </w:r>
          </w:p>
        </w:tc>
        <w:tc>
          <w:tcPr>
            <w:tcW w:w="1704"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《绿色产业指导目录（2019年版）》</w:t>
            </w:r>
          </w:p>
        </w:tc>
        <w:tc>
          <w:tcPr>
            <w:tcW w:w="3502" w:type="dxa"/>
          </w:tcPr>
          <w:p>
            <w:pPr>
              <w:rPr>
                <w:rFonts w:hint="eastAsia" w:ascii="宋体" w:hAnsi="宋体" w:eastAsia="宋体" w:cs="宋体"/>
                <w:sz w:val="28"/>
                <w:szCs w:val="28"/>
              </w:rPr>
            </w:pPr>
            <w:r>
              <w:rPr>
                <w:rFonts w:hint="eastAsia" w:ascii="宋体" w:hAnsi="宋体" w:eastAsia="宋体" w:cs="宋体"/>
                <w:sz w:val="28"/>
                <w:szCs w:val="28"/>
              </w:rPr>
              <w:t>重点支持节能环保产业、清洁生产产业、清洁能源产业、生态环境产业、基础设施绿色升级、绿色服务等六大产业。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04"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2021年2月</w:t>
            </w:r>
          </w:p>
        </w:tc>
        <w:tc>
          <w:tcPr>
            <w:tcW w:w="1704"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国务院</w:t>
            </w:r>
          </w:p>
        </w:tc>
        <w:tc>
          <w:tcPr>
            <w:tcW w:w="1704" w:type="dxa"/>
          </w:tcPr>
          <w:p>
            <w:pPr>
              <w:rPr>
                <w:rFonts w:hint="eastAsia" w:ascii="宋体" w:hAnsi="宋体" w:eastAsia="宋体" w:cs="宋体"/>
                <w:sz w:val="28"/>
                <w:szCs w:val="28"/>
              </w:rPr>
            </w:pPr>
            <w:r>
              <w:rPr>
                <w:rFonts w:hint="eastAsia" w:ascii="宋体" w:hAnsi="宋体" w:eastAsia="宋体" w:cs="宋体"/>
                <w:sz w:val="28"/>
                <w:szCs w:val="28"/>
              </w:rPr>
              <w:t>《国务院关于加快建立健全绿色低碳循环发展经济体系的指导意见》</w:t>
            </w:r>
          </w:p>
        </w:tc>
        <w:tc>
          <w:tcPr>
            <w:tcW w:w="3502" w:type="dxa"/>
          </w:tcPr>
          <w:p>
            <w:pPr>
              <w:rPr>
                <w:rFonts w:hint="eastAsia" w:ascii="宋体" w:hAnsi="宋体" w:eastAsia="宋体" w:cs="宋体"/>
                <w:sz w:val="28"/>
                <w:szCs w:val="28"/>
              </w:rPr>
            </w:pPr>
            <w:r>
              <w:rPr>
                <w:rFonts w:hint="eastAsia" w:ascii="宋体" w:hAnsi="宋体" w:eastAsia="宋体" w:cs="宋体"/>
                <w:sz w:val="28"/>
                <w:szCs w:val="28"/>
              </w:rPr>
              <w:t>推动建立健全绿色低碳循环发展经济体系，促进经济社会发展全面绿色转型。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2021年5月</w:t>
            </w:r>
          </w:p>
        </w:tc>
        <w:tc>
          <w:tcPr>
            <w:tcW w:w="1704"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中国人民银行</w:t>
            </w:r>
          </w:p>
        </w:tc>
        <w:tc>
          <w:tcPr>
            <w:tcW w:w="1704" w:type="dxa"/>
          </w:tcPr>
          <w:p>
            <w:pPr>
              <w:rPr>
                <w:rFonts w:hint="eastAsia" w:ascii="宋体" w:hAnsi="宋体" w:eastAsia="宋体" w:cs="宋体"/>
                <w:sz w:val="28"/>
                <w:szCs w:val="28"/>
              </w:rPr>
            </w:pPr>
            <w:r>
              <w:rPr>
                <w:rFonts w:hint="eastAsia" w:ascii="宋体" w:hAnsi="宋体" w:eastAsia="宋体" w:cs="宋体"/>
                <w:sz w:val="28"/>
                <w:szCs w:val="28"/>
              </w:rPr>
              <w:t>《银行业金融机构绿色金融评价方案》</w:t>
            </w:r>
          </w:p>
        </w:tc>
        <w:tc>
          <w:tcPr>
            <w:tcW w:w="3502" w:type="dxa"/>
          </w:tcPr>
          <w:p>
            <w:pPr>
              <w:rPr>
                <w:rFonts w:hint="eastAsia" w:ascii="宋体" w:hAnsi="宋体" w:eastAsia="宋体" w:cs="宋体"/>
                <w:sz w:val="28"/>
                <w:szCs w:val="28"/>
              </w:rPr>
            </w:pPr>
            <w:r>
              <w:rPr>
                <w:rFonts w:hint="eastAsia" w:ascii="宋体" w:hAnsi="宋体" w:eastAsia="宋体" w:cs="宋体"/>
                <w:sz w:val="28"/>
                <w:szCs w:val="28"/>
              </w:rPr>
              <w:t>提升金融支持绿色低碳高质量发展的能力，优化绿色金融激励约束机制。</w:t>
            </w:r>
          </w:p>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widowControl/>
              <w:jc w:val="left"/>
              <w:rPr>
                <w:rFonts w:hint="eastAsia" w:ascii="宋体" w:hAnsi="宋体" w:eastAsia="宋体" w:cs="宋体"/>
                <w:sz w:val="28"/>
                <w:szCs w:val="28"/>
                <w:lang w:bidi="ar"/>
              </w:rPr>
            </w:pPr>
          </w:p>
          <w:p>
            <w:pPr>
              <w:widowControl/>
              <w:jc w:val="left"/>
              <w:rPr>
                <w:rFonts w:hint="eastAsia" w:ascii="宋体" w:hAnsi="宋体" w:eastAsia="宋体" w:cs="宋体"/>
                <w:sz w:val="28"/>
                <w:szCs w:val="28"/>
                <w:lang w:bidi="ar"/>
              </w:rPr>
            </w:pPr>
          </w:p>
          <w:p>
            <w:pPr>
              <w:widowControl/>
              <w:jc w:val="left"/>
              <w:rPr>
                <w:rFonts w:hint="eastAsia" w:ascii="宋体" w:hAnsi="宋体" w:eastAsia="宋体" w:cs="宋体"/>
                <w:sz w:val="28"/>
                <w:szCs w:val="28"/>
                <w:lang w:bidi="ar"/>
              </w:rPr>
            </w:pPr>
          </w:p>
          <w:p>
            <w:pPr>
              <w:widowControl/>
              <w:jc w:val="left"/>
              <w:rPr>
                <w:rFonts w:hint="eastAsia" w:ascii="宋体" w:hAnsi="宋体" w:eastAsia="宋体" w:cs="宋体"/>
                <w:sz w:val="28"/>
                <w:szCs w:val="28"/>
                <w:lang w:bidi="ar"/>
              </w:rPr>
            </w:pPr>
          </w:p>
          <w:p>
            <w:pPr>
              <w:widowControl/>
              <w:jc w:val="left"/>
              <w:rPr>
                <w:rFonts w:hint="eastAsia" w:ascii="宋体" w:hAnsi="宋体" w:eastAsia="宋体" w:cs="宋体"/>
                <w:sz w:val="28"/>
                <w:szCs w:val="28"/>
                <w:lang w:bidi="ar"/>
              </w:rPr>
            </w:pPr>
          </w:p>
          <w:p>
            <w:pPr>
              <w:widowControl/>
              <w:jc w:val="left"/>
              <w:rPr>
                <w:rFonts w:hint="eastAsia" w:ascii="宋体" w:hAnsi="宋体" w:eastAsia="宋体" w:cs="宋体"/>
                <w:sz w:val="28"/>
                <w:szCs w:val="28"/>
              </w:rPr>
            </w:pPr>
            <w:r>
              <w:rPr>
                <w:rFonts w:hint="eastAsia" w:ascii="宋体" w:hAnsi="宋体" w:eastAsia="宋体" w:cs="宋体"/>
                <w:sz w:val="28"/>
                <w:szCs w:val="28"/>
                <w:lang w:bidi="ar"/>
              </w:rPr>
              <w:t>2022年6月</w:t>
            </w:r>
          </w:p>
        </w:tc>
        <w:tc>
          <w:tcPr>
            <w:tcW w:w="1704" w:type="dxa"/>
          </w:tcPr>
          <w:p>
            <w:pPr>
              <w:rPr>
                <w:rFonts w:hint="eastAsia" w:ascii="宋体" w:hAnsi="宋体" w:eastAsia="宋体" w:cs="宋体"/>
                <w:sz w:val="28"/>
                <w:szCs w:val="28"/>
                <w:lang w:bidi="ar"/>
              </w:rPr>
            </w:pPr>
          </w:p>
          <w:p>
            <w:pPr>
              <w:rPr>
                <w:rFonts w:hint="eastAsia" w:ascii="宋体" w:hAnsi="宋体" w:eastAsia="宋体" w:cs="宋体"/>
                <w:sz w:val="28"/>
                <w:szCs w:val="28"/>
                <w:lang w:bidi="ar"/>
              </w:rPr>
            </w:pPr>
          </w:p>
          <w:p>
            <w:pPr>
              <w:rPr>
                <w:rFonts w:hint="eastAsia" w:ascii="宋体" w:hAnsi="宋体" w:eastAsia="宋体" w:cs="宋体"/>
                <w:sz w:val="28"/>
                <w:szCs w:val="28"/>
                <w:lang w:bidi="ar"/>
              </w:rPr>
            </w:pPr>
          </w:p>
          <w:p>
            <w:pPr>
              <w:rPr>
                <w:rFonts w:hint="eastAsia" w:ascii="宋体" w:hAnsi="宋体" w:eastAsia="宋体" w:cs="宋体"/>
                <w:sz w:val="28"/>
                <w:szCs w:val="28"/>
                <w:lang w:bidi="ar"/>
              </w:rPr>
            </w:pPr>
          </w:p>
          <w:p>
            <w:pPr>
              <w:rPr>
                <w:rFonts w:hint="eastAsia" w:ascii="宋体" w:hAnsi="宋体" w:eastAsia="宋体" w:cs="宋体"/>
                <w:sz w:val="28"/>
                <w:szCs w:val="28"/>
                <w:lang w:bidi="ar"/>
              </w:rPr>
            </w:pPr>
          </w:p>
          <w:p>
            <w:pPr>
              <w:rPr>
                <w:rFonts w:hint="eastAsia" w:ascii="宋体" w:hAnsi="宋体" w:eastAsia="宋体" w:cs="宋体"/>
                <w:sz w:val="28"/>
                <w:szCs w:val="28"/>
              </w:rPr>
            </w:pPr>
            <w:r>
              <w:rPr>
                <w:rFonts w:hint="eastAsia" w:ascii="宋体" w:hAnsi="宋体" w:eastAsia="宋体" w:cs="宋体"/>
                <w:sz w:val="28"/>
                <w:szCs w:val="28"/>
                <w:lang w:bidi="ar"/>
              </w:rPr>
              <w:t>中国银保监会</w:t>
            </w:r>
          </w:p>
        </w:tc>
        <w:tc>
          <w:tcPr>
            <w:tcW w:w="1704" w:type="dxa"/>
          </w:tcPr>
          <w:p>
            <w:pPr>
              <w:widowControl/>
              <w:jc w:val="left"/>
              <w:rPr>
                <w:rFonts w:hint="eastAsia" w:ascii="宋体" w:hAnsi="宋体" w:eastAsia="宋体" w:cs="宋体"/>
                <w:sz w:val="28"/>
                <w:szCs w:val="28"/>
                <w:lang w:bidi="ar"/>
              </w:rPr>
            </w:pPr>
          </w:p>
          <w:p>
            <w:pPr>
              <w:widowControl/>
              <w:jc w:val="left"/>
              <w:rPr>
                <w:rFonts w:hint="eastAsia" w:ascii="宋体" w:hAnsi="宋体" w:eastAsia="宋体" w:cs="宋体"/>
                <w:sz w:val="28"/>
                <w:szCs w:val="28"/>
                <w:lang w:bidi="ar"/>
              </w:rPr>
            </w:pPr>
          </w:p>
          <w:p>
            <w:pPr>
              <w:widowControl/>
              <w:jc w:val="left"/>
              <w:rPr>
                <w:rFonts w:hint="eastAsia" w:ascii="宋体" w:hAnsi="宋体" w:eastAsia="宋体" w:cs="宋体"/>
                <w:sz w:val="28"/>
                <w:szCs w:val="28"/>
                <w:lang w:bidi="ar"/>
              </w:rPr>
            </w:pPr>
          </w:p>
          <w:p>
            <w:pPr>
              <w:widowControl/>
              <w:jc w:val="left"/>
              <w:rPr>
                <w:rFonts w:hint="eastAsia" w:ascii="宋体" w:hAnsi="宋体" w:eastAsia="宋体" w:cs="宋体"/>
                <w:sz w:val="28"/>
                <w:szCs w:val="28"/>
                <w:lang w:bidi="ar"/>
              </w:rPr>
            </w:pPr>
          </w:p>
          <w:p>
            <w:pPr>
              <w:widowControl/>
              <w:jc w:val="left"/>
              <w:rPr>
                <w:rFonts w:hint="eastAsia" w:ascii="宋体" w:hAnsi="宋体" w:eastAsia="宋体" w:cs="宋体"/>
                <w:sz w:val="28"/>
                <w:szCs w:val="28"/>
                <w:lang w:bidi="ar"/>
              </w:rPr>
            </w:pPr>
          </w:p>
          <w:p>
            <w:pPr>
              <w:widowControl/>
              <w:jc w:val="left"/>
              <w:rPr>
                <w:rFonts w:hint="eastAsia" w:ascii="宋体" w:hAnsi="宋体" w:eastAsia="宋体" w:cs="宋体"/>
                <w:sz w:val="28"/>
                <w:szCs w:val="28"/>
              </w:rPr>
            </w:pPr>
            <w:r>
              <w:rPr>
                <w:rFonts w:hint="eastAsia" w:ascii="宋体" w:hAnsi="宋体" w:eastAsia="宋体" w:cs="宋体"/>
                <w:sz w:val="28"/>
                <w:szCs w:val="28"/>
                <w:lang w:bidi="ar"/>
              </w:rPr>
              <w:t>《银行业保险业绿色金融指引》</w:t>
            </w:r>
          </w:p>
        </w:tc>
        <w:tc>
          <w:tcPr>
            <w:tcW w:w="3502" w:type="dxa"/>
          </w:tcPr>
          <w:p>
            <w:pPr>
              <w:rPr>
                <w:rFonts w:hint="eastAsia" w:ascii="宋体" w:hAnsi="宋体" w:eastAsia="微软雅黑" w:cs="宋体"/>
                <w:sz w:val="28"/>
                <w:szCs w:val="28"/>
              </w:rPr>
            </w:pPr>
            <w:r>
              <w:rPr>
                <w:rFonts w:hint="eastAsia" w:ascii="宋体" w:hAnsi="宋体" w:eastAsia="宋体" w:cs="宋体"/>
                <w:sz w:val="28"/>
                <w:szCs w:val="28"/>
              </w:rPr>
              <w:t>要求银行保险机构深入贯彻落实新发展理念，从战略高度推进绿色金融；明确银行保险机构董事会或理事会承担绿色金融主体责任；引导银行保险机构积极支持“一带一路”绿色低碳建设；要求银行保险机构加强内控管理和信息披露，建立绿色金融考核评价体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widowControl/>
              <w:jc w:val="left"/>
              <w:rPr>
                <w:rFonts w:hint="eastAsia" w:ascii="宋体" w:hAnsi="宋体" w:eastAsia="宋体" w:cs="宋体"/>
                <w:sz w:val="28"/>
                <w:szCs w:val="28"/>
                <w:lang w:bidi="ar"/>
              </w:rPr>
            </w:pPr>
            <w:r>
              <w:rPr>
                <w:rFonts w:ascii="宋体" w:hAnsi="宋体" w:eastAsia="宋体" w:cs="宋体"/>
                <w:sz w:val="24"/>
                <w:szCs w:val="24"/>
                <w:lang w:bidi="ar"/>
              </w:rPr>
              <w:t>2024年3月</w:t>
            </w:r>
          </w:p>
        </w:tc>
        <w:tc>
          <w:tcPr>
            <w:tcW w:w="1704" w:type="dxa"/>
            <w:vAlign w:val="center"/>
          </w:tcPr>
          <w:p>
            <w:pPr>
              <w:rPr>
                <w:rFonts w:hint="eastAsia" w:ascii="宋体" w:hAnsi="宋体" w:eastAsia="宋体" w:cs="宋体"/>
                <w:sz w:val="28"/>
                <w:szCs w:val="28"/>
                <w:lang w:bidi="ar"/>
              </w:rPr>
            </w:pPr>
            <w:r>
              <w:rPr>
                <w:rFonts w:hint="eastAsia" w:ascii="宋体" w:hAnsi="宋体" w:eastAsia="宋体" w:cs="宋体"/>
                <w:sz w:val="24"/>
                <w:szCs w:val="24"/>
                <w:lang w:bidi="ar"/>
              </w:rPr>
              <w:t>人民银行等</w:t>
            </w:r>
            <w:r>
              <w:rPr>
                <w:rFonts w:ascii="宋体" w:hAnsi="宋体" w:eastAsia="宋体" w:cs="宋体"/>
                <w:sz w:val="24"/>
                <w:szCs w:val="24"/>
                <w:lang w:bidi="ar"/>
              </w:rPr>
              <w:t>7部委</w:t>
            </w:r>
          </w:p>
        </w:tc>
        <w:tc>
          <w:tcPr>
            <w:tcW w:w="1704" w:type="dxa"/>
            <w:vAlign w:val="center"/>
          </w:tcPr>
          <w:p>
            <w:pPr>
              <w:widowControl/>
              <w:jc w:val="left"/>
              <w:rPr>
                <w:rFonts w:hint="eastAsia" w:ascii="宋体" w:hAnsi="宋体" w:eastAsia="宋体" w:cs="宋体"/>
                <w:sz w:val="28"/>
                <w:szCs w:val="28"/>
                <w:lang w:bidi="ar"/>
              </w:rPr>
            </w:pPr>
            <w:r>
              <w:rPr>
                <w:rFonts w:hint="eastAsia" w:ascii="宋体" w:hAnsi="宋体" w:eastAsia="宋体" w:cs="宋体"/>
                <w:sz w:val="24"/>
                <w:szCs w:val="24"/>
                <w:lang w:bidi="ar"/>
              </w:rPr>
              <w:t>《关于进一步强化金融支持绿色低碳发展的指导意见》</w:t>
            </w:r>
          </w:p>
        </w:tc>
        <w:tc>
          <w:tcPr>
            <w:tcW w:w="3502" w:type="dxa"/>
            <w:vAlign w:val="center"/>
          </w:tcPr>
          <w:p>
            <w:pPr>
              <w:rPr>
                <w:rFonts w:hint="eastAsia" w:ascii="宋体" w:hAnsi="宋体" w:eastAsia="宋体" w:cs="宋体"/>
                <w:sz w:val="28"/>
                <w:szCs w:val="28"/>
              </w:rPr>
            </w:pPr>
            <w:r>
              <w:rPr>
                <w:rFonts w:ascii="宋体" w:hAnsi="宋体" w:eastAsia="宋体" w:cs="宋体"/>
                <w:sz w:val="24"/>
                <w:szCs w:val="24"/>
              </w:rPr>
              <w:t>推动金融系统逐步开展碳核算，制定出台统一的金融机构和金融业务碳核算标准</w:t>
            </w:r>
            <w:r>
              <w:rPr>
                <w:rFonts w:hint="eastAsia" w:ascii="宋体" w:hAnsi="宋体" w:eastAsia="宋体" w:cs="宋体"/>
                <w:sz w:val="24"/>
                <w:szCs w:val="24"/>
              </w:rPr>
              <w:t>；</w:t>
            </w:r>
            <w:r>
              <w:rPr>
                <w:rFonts w:ascii="宋体" w:hAnsi="宋体" w:eastAsia="宋体" w:cs="宋体"/>
                <w:sz w:val="24"/>
                <w:szCs w:val="24"/>
              </w:rPr>
              <w:t>持续完善绿色金融标准体系</w:t>
            </w:r>
            <w:r>
              <w:rPr>
                <w:rFonts w:hint="eastAsia" w:ascii="宋体" w:hAnsi="宋体" w:eastAsia="宋体" w:cs="宋体"/>
                <w:sz w:val="24"/>
                <w:szCs w:val="24"/>
              </w:rPr>
              <w:t>；</w:t>
            </w:r>
            <w:r>
              <w:rPr>
                <w:rFonts w:ascii="宋体" w:hAnsi="宋体" w:eastAsia="宋体" w:cs="宋体"/>
                <w:sz w:val="24"/>
                <w:szCs w:val="24"/>
              </w:rPr>
              <w:t>制定统一的绿色金融标准</w:t>
            </w:r>
            <w:r>
              <w:rPr>
                <w:rFonts w:hint="eastAsia" w:ascii="宋体" w:hAnsi="宋体" w:eastAsia="宋体" w:cs="宋体"/>
                <w:sz w:val="24"/>
                <w:szCs w:val="24"/>
              </w:rPr>
              <w:t>；</w:t>
            </w:r>
            <w:r>
              <w:rPr>
                <w:rFonts w:ascii="宋体" w:hAnsi="宋体" w:eastAsia="宋体" w:cs="宋体"/>
                <w:sz w:val="24"/>
                <w:szCs w:val="24"/>
              </w:rPr>
              <w:t>加快研究制定转型金融标准</w:t>
            </w:r>
            <w:r>
              <w:rPr>
                <w:rFonts w:hint="eastAsia" w:ascii="宋体" w:hAnsi="宋体" w:eastAsia="宋体" w:cs="宋体"/>
                <w:sz w:val="24"/>
                <w:szCs w:val="24"/>
              </w:rPr>
              <w:t>；</w:t>
            </w:r>
            <w:r>
              <w:rPr>
                <w:rFonts w:ascii="宋体" w:hAnsi="宋体" w:eastAsia="宋体" w:cs="宋体"/>
                <w:sz w:val="24"/>
                <w:szCs w:val="24"/>
              </w:rPr>
              <w:t>推动金融机构和融资主体开展环境信息披露，不断提高环境信息披露和评估质量</w:t>
            </w:r>
            <w:r>
              <w:rPr>
                <w:rFonts w:hint="eastAsia" w:ascii="宋体" w:hAnsi="宋体" w:eastAsia="宋体" w:cs="宋体"/>
                <w:sz w:val="24"/>
                <w:szCs w:val="24"/>
              </w:rPr>
              <w:t>；推动金融机构将气候变化相关风险纳入风险控制体系及公司治理框架等。</w:t>
            </w:r>
          </w:p>
        </w:tc>
      </w:tr>
    </w:tbl>
    <w:p>
      <w:pPr>
        <w:rPr>
          <w:rFonts w:hint="eastAsia" w:ascii="宋体" w:hAnsi="宋体" w:eastAsia="宋体" w:cs="宋体"/>
          <w:sz w:val="28"/>
          <w:szCs w:val="28"/>
        </w:rPr>
      </w:pPr>
      <w:r>
        <w:rPr>
          <w:rFonts w:hint="eastAsia" w:ascii="宋体" w:hAnsi="宋体" w:eastAsia="宋体" w:cs="宋体"/>
          <w:sz w:val="28"/>
          <w:szCs w:val="28"/>
        </w:rPr>
        <w:t>3.3四川省政策制度：</w:t>
      </w:r>
    </w:p>
    <w:tbl>
      <w:tblPr>
        <w:tblStyle w:val="27"/>
        <w:tblW w:w="8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1750"/>
        <w:gridCol w:w="1713"/>
        <w:gridCol w:w="3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4" w:type="dxa"/>
          </w:tcPr>
          <w:p>
            <w:pPr>
              <w:rPr>
                <w:rFonts w:hint="eastAsia" w:ascii="宋体" w:hAnsi="宋体" w:eastAsia="宋体" w:cs="宋体"/>
                <w:sz w:val="28"/>
                <w:szCs w:val="28"/>
              </w:rPr>
            </w:pPr>
            <w:r>
              <w:rPr>
                <w:rFonts w:hint="eastAsia" w:ascii="宋体" w:hAnsi="宋体" w:eastAsia="宋体" w:cs="宋体"/>
                <w:sz w:val="28"/>
                <w:szCs w:val="28"/>
              </w:rPr>
              <w:t>时间</w:t>
            </w:r>
          </w:p>
        </w:tc>
        <w:tc>
          <w:tcPr>
            <w:tcW w:w="1750" w:type="dxa"/>
          </w:tcPr>
          <w:p>
            <w:pPr>
              <w:rPr>
                <w:rFonts w:hint="eastAsia" w:ascii="宋体" w:hAnsi="宋体" w:eastAsia="宋体" w:cs="宋体"/>
                <w:sz w:val="28"/>
                <w:szCs w:val="28"/>
              </w:rPr>
            </w:pPr>
            <w:r>
              <w:rPr>
                <w:rFonts w:hint="eastAsia" w:ascii="宋体" w:hAnsi="宋体" w:eastAsia="宋体" w:cs="宋体"/>
                <w:sz w:val="28"/>
                <w:szCs w:val="28"/>
              </w:rPr>
              <w:t>主体</w:t>
            </w:r>
          </w:p>
        </w:tc>
        <w:tc>
          <w:tcPr>
            <w:tcW w:w="1713" w:type="dxa"/>
          </w:tcPr>
          <w:p>
            <w:pPr>
              <w:rPr>
                <w:rFonts w:hint="eastAsia" w:ascii="宋体" w:hAnsi="宋体" w:eastAsia="宋体" w:cs="宋体"/>
                <w:sz w:val="28"/>
                <w:szCs w:val="28"/>
              </w:rPr>
            </w:pPr>
            <w:r>
              <w:rPr>
                <w:rFonts w:hint="eastAsia" w:ascii="宋体" w:hAnsi="宋体" w:eastAsia="宋体" w:cs="宋体"/>
                <w:sz w:val="28"/>
                <w:szCs w:val="28"/>
              </w:rPr>
              <w:t>文件名称</w:t>
            </w:r>
          </w:p>
        </w:tc>
        <w:tc>
          <w:tcPr>
            <w:tcW w:w="3501" w:type="dxa"/>
          </w:tcPr>
          <w:p>
            <w:pPr>
              <w:rPr>
                <w:rFonts w:hint="eastAsia" w:ascii="宋体" w:hAnsi="宋体" w:eastAsia="宋体" w:cs="宋体"/>
                <w:sz w:val="28"/>
                <w:szCs w:val="28"/>
              </w:rPr>
            </w:pPr>
            <w:r>
              <w:rPr>
                <w:rFonts w:hint="eastAsia" w:ascii="宋体" w:hAnsi="宋体" w:eastAsia="宋体" w:cs="宋体"/>
                <w:sz w:val="28"/>
                <w:szCs w:val="28"/>
              </w:rPr>
              <w:t>绿色金融要点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4"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2018年1月</w:t>
            </w:r>
          </w:p>
        </w:tc>
        <w:tc>
          <w:tcPr>
            <w:tcW w:w="1750"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四川省人民政府办公厅</w:t>
            </w:r>
          </w:p>
        </w:tc>
        <w:tc>
          <w:tcPr>
            <w:tcW w:w="1713" w:type="dxa"/>
          </w:tcPr>
          <w:p>
            <w:pPr>
              <w:rPr>
                <w:rFonts w:hint="eastAsia" w:ascii="宋体" w:hAnsi="宋体" w:eastAsia="宋体" w:cs="宋体"/>
                <w:sz w:val="28"/>
                <w:szCs w:val="28"/>
              </w:rPr>
            </w:pPr>
            <w:r>
              <w:rPr>
                <w:rFonts w:hint="eastAsia" w:ascii="宋体" w:hAnsi="宋体" w:eastAsia="宋体" w:cs="宋体"/>
                <w:sz w:val="28"/>
                <w:szCs w:val="28"/>
              </w:rPr>
              <w:t>《关于印发四川省绿色金融发展规划的通知》</w:t>
            </w:r>
          </w:p>
        </w:tc>
        <w:tc>
          <w:tcPr>
            <w:tcW w:w="3501" w:type="dxa"/>
          </w:tcPr>
          <w:p>
            <w:pPr>
              <w:rPr>
                <w:rFonts w:hint="eastAsia" w:ascii="宋体" w:hAnsi="宋体" w:eastAsia="宋体" w:cs="宋体"/>
                <w:sz w:val="28"/>
                <w:szCs w:val="28"/>
              </w:rPr>
            </w:pPr>
            <w:r>
              <w:rPr>
                <w:rFonts w:hint="eastAsia" w:ascii="宋体" w:hAnsi="宋体" w:eastAsia="宋体" w:cs="宋体"/>
                <w:sz w:val="28"/>
                <w:szCs w:val="28"/>
              </w:rPr>
              <w:t>积极构建四川省绿色金融体系，创新绿色金融服务，支持绿色产业发展，推进生态文明建设。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4"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2018年10月</w:t>
            </w:r>
          </w:p>
        </w:tc>
        <w:tc>
          <w:tcPr>
            <w:tcW w:w="1750" w:type="dxa"/>
          </w:tcPr>
          <w:p>
            <w:pPr>
              <w:rPr>
                <w:rFonts w:hint="eastAsia" w:ascii="宋体" w:hAnsi="宋体" w:eastAsia="宋体" w:cs="宋体"/>
                <w:sz w:val="28"/>
                <w:szCs w:val="28"/>
              </w:rPr>
            </w:pPr>
            <w:r>
              <w:rPr>
                <w:rFonts w:hint="eastAsia" w:ascii="宋体" w:hAnsi="宋体" w:eastAsia="宋体" w:cs="宋体"/>
                <w:sz w:val="28"/>
                <w:szCs w:val="28"/>
              </w:rPr>
              <w:t>人民银行成都分行等七部门</w:t>
            </w:r>
          </w:p>
        </w:tc>
        <w:tc>
          <w:tcPr>
            <w:tcW w:w="1713" w:type="dxa"/>
          </w:tcPr>
          <w:p>
            <w:pPr>
              <w:rPr>
                <w:rFonts w:hint="eastAsia" w:ascii="宋体" w:hAnsi="宋体" w:eastAsia="宋体" w:cs="宋体"/>
                <w:sz w:val="28"/>
                <w:szCs w:val="28"/>
              </w:rPr>
            </w:pPr>
            <w:r>
              <w:rPr>
                <w:rFonts w:hint="eastAsia" w:ascii="宋体" w:hAnsi="宋体" w:eastAsia="宋体" w:cs="宋体"/>
                <w:sz w:val="28"/>
                <w:szCs w:val="28"/>
              </w:rPr>
              <w:t>《关于开展绿色金融创新试点的通知》</w:t>
            </w:r>
          </w:p>
        </w:tc>
        <w:tc>
          <w:tcPr>
            <w:tcW w:w="3501" w:type="dxa"/>
          </w:tcPr>
          <w:p>
            <w:pPr>
              <w:rPr>
                <w:rFonts w:hint="eastAsia" w:ascii="宋体" w:hAnsi="宋体" w:eastAsia="宋体" w:cs="宋体"/>
                <w:sz w:val="28"/>
                <w:szCs w:val="28"/>
              </w:rPr>
            </w:pPr>
            <w:r>
              <w:rPr>
                <w:rFonts w:hint="eastAsia" w:ascii="宋体" w:hAnsi="宋体" w:eastAsia="宋体" w:cs="宋体"/>
                <w:sz w:val="28"/>
                <w:szCs w:val="28"/>
              </w:rPr>
              <w:t>确定绿色金融创新试点地区。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664"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2021年3月</w:t>
            </w:r>
          </w:p>
        </w:tc>
        <w:tc>
          <w:tcPr>
            <w:tcW w:w="1750"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四川省生态环境厅等五部门</w:t>
            </w:r>
          </w:p>
        </w:tc>
        <w:tc>
          <w:tcPr>
            <w:tcW w:w="1713"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《四川省积极有序推广和规范碳中和方案》</w:t>
            </w:r>
          </w:p>
        </w:tc>
        <w:tc>
          <w:tcPr>
            <w:tcW w:w="3501" w:type="dxa"/>
          </w:tcPr>
          <w:p>
            <w:pPr>
              <w:rPr>
                <w:rFonts w:hint="eastAsia" w:ascii="宋体" w:hAnsi="宋体" w:eastAsia="宋体" w:cs="宋体"/>
                <w:sz w:val="28"/>
                <w:szCs w:val="28"/>
              </w:rPr>
            </w:pPr>
            <w:r>
              <w:rPr>
                <w:rFonts w:hint="eastAsia" w:ascii="宋体" w:hAnsi="宋体" w:eastAsia="宋体" w:cs="宋体"/>
                <w:sz w:val="28"/>
                <w:szCs w:val="28"/>
              </w:rPr>
              <w:t>贯彻国家二氧化碳排放达峰目标和碳中和愿景，落实省委省政府积极应对气候变化决策部署，践行绿色低碳发展新理念，弘扬以低碳为荣的社会新风尚，有序推广和规范各类活动碳中和。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4"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2021年6月</w:t>
            </w:r>
          </w:p>
        </w:tc>
        <w:tc>
          <w:tcPr>
            <w:tcW w:w="1750"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四川省国资委</w:t>
            </w:r>
          </w:p>
        </w:tc>
        <w:tc>
          <w:tcPr>
            <w:tcW w:w="1713" w:type="dxa"/>
          </w:tcPr>
          <w:p>
            <w:pPr>
              <w:rPr>
                <w:rFonts w:hint="eastAsia" w:ascii="宋体" w:hAnsi="宋体" w:eastAsia="宋体" w:cs="宋体"/>
                <w:sz w:val="28"/>
                <w:szCs w:val="28"/>
              </w:rPr>
            </w:pPr>
            <w:r>
              <w:rPr>
                <w:rFonts w:hint="eastAsia" w:ascii="宋体" w:hAnsi="宋体" w:eastAsia="宋体" w:cs="宋体"/>
                <w:sz w:val="28"/>
                <w:szCs w:val="28"/>
              </w:rPr>
              <w:t>《关于省属企业碳达峰碳中和的指导意见》</w:t>
            </w:r>
          </w:p>
        </w:tc>
        <w:tc>
          <w:tcPr>
            <w:tcW w:w="3501" w:type="dxa"/>
          </w:tcPr>
          <w:p>
            <w:pPr>
              <w:rPr>
                <w:rFonts w:hint="eastAsia" w:ascii="宋体" w:hAnsi="宋体" w:eastAsia="宋体" w:cs="宋体"/>
                <w:sz w:val="28"/>
                <w:szCs w:val="28"/>
              </w:rPr>
            </w:pPr>
            <w:r>
              <w:rPr>
                <w:rFonts w:hint="eastAsia" w:ascii="宋体" w:hAnsi="宋体" w:eastAsia="宋体" w:cs="宋体"/>
                <w:sz w:val="28"/>
                <w:szCs w:val="28"/>
              </w:rPr>
              <w:t>明确提出推动国有资本向绿色低碳领域聚集等7项重点任务。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4" w:type="dxa"/>
          </w:tcPr>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2022年4月</w:t>
            </w:r>
          </w:p>
        </w:tc>
        <w:tc>
          <w:tcPr>
            <w:tcW w:w="1750" w:type="dxa"/>
          </w:tcPr>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中国人民银行成都分行</w:t>
            </w:r>
          </w:p>
        </w:tc>
        <w:tc>
          <w:tcPr>
            <w:tcW w:w="1713" w:type="dxa"/>
          </w:tcPr>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《四川省绿色金融专项行动方案》</w:t>
            </w:r>
          </w:p>
          <w:p>
            <w:pPr>
              <w:rPr>
                <w:rFonts w:hint="eastAsia" w:ascii="宋体" w:hAnsi="宋体" w:eastAsia="宋体" w:cs="宋体"/>
                <w:sz w:val="28"/>
                <w:szCs w:val="28"/>
              </w:rPr>
            </w:pPr>
          </w:p>
        </w:tc>
        <w:tc>
          <w:tcPr>
            <w:tcW w:w="3501" w:type="dxa"/>
          </w:tcPr>
          <w:p>
            <w:pPr>
              <w:rPr>
                <w:rFonts w:hint="eastAsia" w:ascii="宋体" w:hAnsi="宋体" w:eastAsia="宋体" w:cs="宋体"/>
                <w:sz w:val="28"/>
                <w:szCs w:val="28"/>
              </w:rPr>
            </w:pPr>
            <w:r>
              <w:rPr>
                <w:rFonts w:hint="eastAsia" w:ascii="宋体" w:hAnsi="宋体" w:eastAsia="宋体" w:cs="宋体"/>
                <w:sz w:val="28"/>
                <w:szCs w:val="28"/>
              </w:rPr>
              <w:t>指导各市州人民银行分支机构和金融机构聚焦绿色贷款、绿色工具、绿色债券“三大领域”,紧盯绿色金融工作“三项目标”,扎实推动四川省绿色金融工作加快发展。</w:t>
            </w:r>
          </w:p>
        </w:tc>
      </w:tr>
    </w:tbl>
    <w:p>
      <w:pPr>
        <w:rPr>
          <w:rFonts w:hint="eastAsia" w:ascii="宋体" w:hAnsi="宋体" w:eastAsia="宋体" w:cs="宋体"/>
          <w:sz w:val="28"/>
          <w:szCs w:val="28"/>
        </w:rPr>
      </w:pPr>
      <w:r>
        <w:rPr>
          <w:rFonts w:hint="eastAsia" w:ascii="宋体" w:hAnsi="宋体" w:eastAsia="宋体" w:cs="宋体"/>
          <w:sz w:val="28"/>
          <w:szCs w:val="28"/>
        </w:rPr>
        <w:t>3.4 国际公约：</w:t>
      </w:r>
    </w:p>
    <w:tbl>
      <w:tblPr>
        <w:tblStyle w:val="27"/>
        <w:tblW w:w="8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750"/>
        <w:gridCol w:w="1737"/>
        <w:gridCol w:w="3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2" w:type="dxa"/>
          </w:tcPr>
          <w:p>
            <w:pPr>
              <w:rPr>
                <w:rFonts w:hint="eastAsia" w:ascii="宋体" w:hAnsi="宋体" w:eastAsia="宋体" w:cs="宋体"/>
                <w:sz w:val="28"/>
                <w:szCs w:val="28"/>
              </w:rPr>
            </w:pPr>
            <w:r>
              <w:rPr>
                <w:rFonts w:hint="eastAsia" w:ascii="宋体" w:hAnsi="宋体" w:eastAsia="宋体" w:cs="宋体"/>
                <w:sz w:val="28"/>
                <w:szCs w:val="28"/>
              </w:rPr>
              <w:t>时间</w:t>
            </w:r>
          </w:p>
        </w:tc>
        <w:tc>
          <w:tcPr>
            <w:tcW w:w="1750" w:type="dxa"/>
          </w:tcPr>
          <w:p>
            <w:pPr>
              <w:rPr>
                <w:rFonts w:hint="eastAsia" w:ascii="宋体" w:hAnsi="宋体" w:eastAsia="宋体" w:cs="宋体"/>
                <w:sz w:val="28"/>
                <w:szCs w:val="28"/>
              </w:rPr>
            </w:pPr>
            <w:r>
              <w:rPr>
                <w:rFonts w:hint="eastAsia" w:ascii="宋体" w:hAnsi="宋体" w:eastAsia="宋体" w:cs="宋体"/>
                <w:sz w:val="28"/>
                <w:szCs w:val="28"/>
              </w:rPr>
              <w:t>主体</w:t>
            </w:r>
          </w:p>
        </w:tc>
        <w:tc>
          <w:tcPr>
            <w:tcW w:w="1737" w:type="dxa"/>
          </w:tcPr>
          <w:p>
            <w:pPr>
              <w:rPr>
                <w:rFonts w:hint="eastAsia" w:ascii="宋体" w:hAnsi="宋体" w:eastAsia="宋体" w:cs="宋体"/>
                <w:sz w:val="28"/>
                <w:szCs w:val="28"/>
              </w:rPr>
            </w:pPr>
            <w:r>
              <w:rPr>
                <w:rFonts w:hint="eastAsia" w:ascii="宋体" w:hAnsi="宋体" w:eastAsia="宋体" w:cs="宋体"/>
                <w:sz w:val="28"/>
                <w:szCs w:val="28"/>
              </w:rPr>
              <w:t>文件名称</w:t>
            </w:r>
          </w:p>
        </w:tc>
        <w:tc>
          <w:tcPr>
            <w:tcW w:w="3489" w:type="dxa"/>
          </w:tcPr>
          <w:p>
            <w:pPr>
              <w:rPr>
                <w:rFonts w:hint="eastAsia" w:ascii="宋体" w:hAnsi="宋体" w:eastAsia="宋体" w:cs="宋体"/>
                <w:sz w:val="28"/>
                <w:szCs w:val="28"/>
              </w:rPr>
            </w:pPr>
            <w:r>
              <w:rPr>
                <w:rFonts w:hint="eastAsia" w:ascii="宋体" w:hAnsi="宋体" w:eastAsia="宋体" w:cs="宋体"/>
                <w:sz w:val="28"/>
                <w:szCs w:val="28"/>
              </w:rPr>
              <w:t>绿色金融要点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2"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2003年6月</w:t>
            </w:r>
          </w:p>
        </w:tc>
        <w:tc>
          <w:tcPr>
            <w:tcW w:w="1750"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国际金融公司和荷兰银行</w:t>
            </w:r>
          </w:p>
        </w:tc>
        <w:tc>
          <w:tcPr>
            <w:tcW w:w="1737"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《赤道原则》</w:t>
            </w:r>
          </w:p>
        </w:tc>
        <w:tc>
          <w:tcPr>
            <w:tcW w:w="3489" w:type="dxa"/>
          </w:tcPr>
          <w:p>
            <w:pPr>
              <w:rPr>
                <w:rFonts w:hint="eastAsia" w:ascii="宋体" w:hAnsi="宋体" w:eastAsia="宋体" w:cs="宋体"/>
                <w:sz w:val="28"/>
                <w:szCs w:val="28"/>
              </w:rPr>
            </w:pPr>
            <w:r>
              <w:rPr>
                <w:rFonts w:hint="eastAsia" w:ascii="宋体" w:hAnsi="宋体" w:eastAsia="宋体" w:cs="宋体"/>
                <w:sz w:val="28"/>
                <w:szCs w:val="28"/>
              </w:rPr>
              <w:t>采用世界银行的环境保护标准与国际金融公司的社会责任方针，协助银行及投资者了解应该如何加入世界上主要的发展计划，对它们进行融资；本公司积极研究赤道原则，对照相关标准，进行业务流程的全面梳理和完善，践行社会责任，有效防范环境和社会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2"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2019年9月</w:t>
            </w:r>
          </w:p>
        </w:tc>
        <w:tc>
          <w:tcPr>
            <w:tcW w:w="1750"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联合国环境规划署金融倡议牵头多家银行共同制定</w:t>
            </w:r>
          </w:p>
        </w:tc>
        <w:tc>
          <w:tcPr>
            <w:tcW w:w="1737"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《负责任银行原则》</w:t>
            </w:r>
          </w:p>
        </w:tc>
        <w:tc>
          <w:tcPr>
            <w:tcW w:w="3489" w:type="dxa"/>
          </w:tcPr>
          <w:p>
            <w:pPr>
              <w:rPr>
                <w:rFonts w:hint="eastAsia" w:ascii="宋体" w:hAnsi="宋体" w:eastAsia="宋体" w:cs="宋体"/>
                <w:sz w:val="28"/>
                <w:szCs w:val="28"/>
              </w:rPr>
            </w:pPr>
            <w:r>
              <w:rPr>
                <w:rFonts w:hint="eastAsia" w:ascii="宋体" w:hAnsi="宋体" w:eastAsia="宋体" w:cs="宋体"/>
                <w:sz w:val="28"/>
                <w:szCs w:val="28"/>
              </w:rPr>
              <w:t>为银行建设可持续发展体系提供了一致的框架，鼓励银行在最重要、最具实质性的领域设定目标，在战略、投资组合和交易层面以及所有业务领域融入可持续发展元素；本公司积极研究并借鉴负责任银行原则，遵循国际可持续金融标准。</w:t>
            </w:r>
          </w:p>
        </w:tc>
      </w:tr>
    </w:tbl>
    <w:p>
      <w:pPr>
        <w:pStyle w:val="31"/>
        <w:numPr>
          <w:ilvl w:val="0"/>
          <w:numId w:val="1"/>
        </w:numPr>
        <w:spacing w:line="360" w:lineRule="auto"/>
        <w:ind w:left="357" w:hanging="357" w:firstLineChars="0"/>
        <w:outlineLvl w:val="0"/>
        <w:rPr>
          <w:rFonts w:hint="eastAsia" w:ascii="宋体" w:hAnsi="宋体" w:eastAsia="宋体"/>
          <w:b/>
          <w:bCs/>
          <w:sz w:val="30"/>
          <w:szCs w:val="30"/>
        </w:rPr>
      </w:pPr>
      <w:bookmarkStart w:id="12" w:name="_Toc19084"/>
      <w:r>
        <w:rPr>
          <w:rFonts w:hint="eastAsia" w:ascii="宋体" w:hAnsi="宋体" w:eastAsia="宋体"/>
          <w:b/>
          <w:bCs/>
          <w:sz w:val="30"/>
          <w:szCs w:val="30"/>
        </w:rPr>
        <w:t>环境相关产品与服务创新</w:t>
      </w:r>
      <w:bookmarkEnd w:id="12"/>
    </w:p>
    <w:p>
      <w:pPr>
        <w:spacing w:line="360" w:lineRule="auto"/>
        <w:ind w:firstLine="560" w:firstLineChars="200"/>
        <w:rPr>
          <w:rFonts w:hint="eastAsia" w:ascii="宋体" w:hAnsi="宋体" w:eastAsia="宋体" w:cs="宋体"/>
          <w:sz w:val="28"/>
          <w:szCs w:val="28"/>
        </w:rPr>
      </w:pPr>
      <w:bookmarkStart w:id="13" w:name="_Toc83300041"/>
      <w:bookmarkEnd w:id="13"/>
      <w:bookmarkStart w:id="14" w:name="_Toc82434779"/>
      <w:bookmarkEnd w:id="14"/>
      <w:r>
        <w:rPr>
          <w:rFonts w:hint="eastAsia" w:ascii="宋体" w:hAnsi="宋体" w:eastAsia="宋体" w:cs="宋体"/>
          <w:sz w:val="28"/>
          <w:szCs w:val="28"/>
        </w:rPr>
        <w:t>长虹财务公司坚持以“绿色”发展为引领，推动产业链协同共赢与高质量发展，整合和配置各项优质资源，促进绿色信贷管理从被动的“反应性”向主动适应性转变。</w:t>
      </w:r>
    </w:p>
    <w:p>
      <w:pPr>
        <w:numPr>
          <w:ilvl w:val="0"/>
          <w:numId w:val="4"/>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升级服务搭平台，释放绿色金融合力。</w:t>
      </w:r>
    </w:p>
    <w:p>
      <w:pPr>
        <w:numPr>
          <w:ilvl w:val="255"/>
          <w:numId w:val="0"/>
        </w:numPr>
        <w:spacing w:line="360" w:lineRule="auto"/>
        <w:ind w:firstLine="560" w:firstLineChars="200"/>
        <w:rPr>
          <w:rFonts w:hint="eastAsia" w:eastAsia="宋体"/>
        </w:rPr>
      </w:pPr>
      <w:r>
        <w:rPr>
          <w:rFonts w:hint="eastAsia" w:ascii="宋体" w:hAnsi="宋体" w:eastAsia="宋体" w:cs="宋体"/>
          <w:sz w:val="28"/>
          <w:szCs w:val="28"/>
        </w:rPr>
        <w:t>在当前全球环境问题日益严峻的背景下，绿色信贷作为推动绿色经济发展的重要金融工具，长虹财务公司对绿色企业的支持，没有简单停留在信贷服务层面，而是发挥自身的综合优势，围绕客户体验，升级金融服务新模式，不断丰富服务内涵。长虹财务公司通过打造专业化营销团队、审批队伍，全面整合流程，实现全流程优化，提高业务效率；加快建立“客户批量获取、客户精心培育、客户体验提升、客户价值创造”四大体系；对于绿色企业客户，按照“一户一策一团队一考核”的模式，提供综合金融服务方案的整体企划和落地，满足客户多元化金融需求，提升客户粘度，争做细分市场的隐形冠军，助力客户实现绿色转型。</w:t>
      </w:r>
    </w:p>
    <w:p>
      <w:pPr>
        <w:numPr>
          <w:ilvl w:val="0"/>
          <w:numId w:val="4"/>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聚焦实体经济，精准滴灌绿色企业。</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长虹财务公司通过对绿色企业进行再走访，深入了解其融资需求，对基础设施绿色升级、生态环境产业、清洁能源产业、节能环保产业、清洁生产产业等行业倾斜资源支持，一事一议，指派专人对接，优先安排审查审批，提升沟通反馈效率，以受理快、调查快、审批快、放款快的服务优势，及时满足企业资金需求。</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长虹某企业系集团在能源板块布局中专业负责动力锂电池梯级利用、回收再利用的子公司，专业从事动力锂电池梯级利用研发、设计、生产、销售、节能环保技术及产品的研发、咨询、转让、服务，运输、储存、处置及综合利用的高科技企业，目前拥有年生产梯级利用电池</w:t>
      </w:r>
      <w:r>
        <w:rPr>
          <w:rFonts w:ascii="宋体" w:hAnsi="宋体" w:eastAsia="宋体" w:cs="宋体"/>
          <w:sz w:val="28"/>
          <w:szCs w:val="28"/>
        </w:rPr>
        <w:t>200MW</w:t>
      </w:r>
      <w:r>
        <w:rPr>
          <w:rFonts w:hint="eastAsia" w:ascii="宋体" w:hAnsi="宋体" w:eastAsia="宋体" w:cs="宋体"/>
          <w:sz w:val="28"/>
          <w:szCs w:val="28"/>
        </w:rPr>
        <w:t>h的</w:t>
      </w:r>
      <w:r>
        <w:rPr>
          <w:rFonts w:ascii="宋体" w:hAnsi="宋体" w:eastAsia="宋体" w:cs="宋体"/>
          <w:sz w:val="28"/>
          <w:szCs w:val="28"/>
        </w:rPr>
        <w:t>能力。</w:t>
      </w:r>
    </w:p>
    <w:p>
      <w:pPr>
        <w:pStyle w:val="31"/>
        <w:spacing w:line="360" w:lineRule="auto"/>
        <w:outlineLvl w:val="0"/>
        <w:rPr>
          <w:rFonts w:hint="eastAsia" w:ascii="宋体" w:hAnsi="宋体" w:eastAsia="宋体"/>
          <w:b/>
          <w:bCs/>
          <w:sz w:val="30"/>
          <w:szCs w:val="30"/>
        </w:rPr>
      </w:pPr>
      <w:r>
        <w:rPr>
          <w:rFonts w:ascii="宋体" w:hAnsi="宋体" w:eastAsia="宋体" w:cs="宋体"/>
          <w:sz w:val="28"/>
          <w:szCs w:val="28"/>
        </w:rPr>
        <w:t>因该企业在转型升级发展过程中，资金需求量较大，在了解到该情况后，长虹财务公司在综合评定的基础上，于2023年12月18日向其投放了一笔700万元的流动资金贷款，从调研、授信、审批到放款仅用了短短一个月时间，该笔资金协同注册资本以及先进管理理念的融合有效地促成了其技术革新、产能增长。</w:t>
      </w:r>
      <w:bookmarkStart w:id="15" w:name="_Toc6786"/>
    </w:p>
    <w:p>
      <w:pPr>
        <w:pStyle w:val="31"/>
        <w:numPr>
          <w:ilvl w:val="0"/>
          <w:numId w:val="1"/>
        </w:numPr>
        <w:spacing w:line="360" w:lineRule="auto"/>
        <w:ind w:firstLineChars="0"/>
        <w:outlineLvl w:val="0"/>
        <w:rPr>
          <w:rFonts w:hint="eastAsia" w:ascii="宋体" w:hAnsi="宋体" w:eastAsia="宋体"/>
          <w:b/>
          <w:bCs/>
          <w:sz w:val="30"/>
          <w:szCs w:val="30"/>
        </w:rPr>
      </w:pPr>
      <w:r>
        <w:rPr>
          <w:rFonts w:hint="eastAsia" w:ascii="宋体" w:hAnsi="宋体" w:eastAsia="宋体"/>
          <w:b/>
          <w:bCs/>
          <w:sz w:val="30"/>
          <w:szCs w:val="30"/>
        </w:rPr>
        <w:t>环境风险管理流程</w:t>
      </w:r>
      <w:bookmarkEnd w:id="15"/>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长虹财务公司建立有差别化的绿色授信管理机制，高度关注</w:t>
      </w:r>
      <w:r>
        <w:rPr>
          <w:rFonts w:ascii="宋体" w:hAnsi="宋体" w:eastAsia="宋体"/>
          <w:color w:val="252525"/>
          <w:sz w:val="28"/>
          <w:szCs w:val="28"/>
        </w:rPr>
        <w:t>客户或项目的环境风险情况，在开展授信业务的过程中，将环境风险识别和评估纳入授信业务的全流程管理，严格进行贷前</w:t>
      </w:r>
      <w:r>
        <w:rPr>
          <w:rFonts w:hint="eastAsia" w:ascii="宋体" w:hAnsi="宋体" w:eastAsia="宋体"/>
          <w:color w:val="252525"/>
          <w:sz w:val="28"/>
          <w:szCs w:val="28"/>
        </w:rPr>
        <w:t>、</w:t>
      </w:r>
      <w:r>
        <w:rPr>
          <w:rFonts w:ascii="宋体" w:hAnsi="宋体" w:eastAsia="宋体"/>
          <w:color w:val="252525"/>
          <w:sz w:val="28"/>
          <w:szCs w:val="28"/>
        </w:rPr>
        <w:t>贷中</w:t>
      </w:r>
      <w:r>
        <w:rPr>
          <w:rFonts w:hint="eastAsia" w:ascii="宋体" w:hAnsi="宋体" w:eastAsia="宋体"/>
          <w:color w:val="252525"/>
          <w:sz w:val="28"/>
          <w:szCs w:val="28"/>
        </w:rPr>
        <w:t>、</w:t>
      </w:r>
      <w:r>
        <w:rPr>
          <w:rFonts w:ascii="宋体" w:hAnsi="宋体" w:eastAsia="宋体"/>
          <w:color w:val="252525"/>
          <w:sz w:val="28"/>
          <w:szCs w:val="28"/>
        </w:rPr>
        <w:t>贷后</w:t>
      </w:r>
      <w:r>
        <w:rPr>
          <w:rFonts w:hint="eastAsia" w:ascii="宋体" w:hAnsi="宋体" w:eastAsia="宋体"/>
          <w:color w:val="252525"/>
          <w:sz w:val="28"/>
          <w:szCs w:val="28"/>
        </w:rPr>
        <w:t>的</w:t>
      </w:r>
      <w:r>
        <w:rPr>
          <w:rFonts w:ascii="宋体" w:hAnsi="宋体" w:eastAsia="宋体"/>
          <w:color w:val="252525"/>
          <w:sz w:val="28"/>
          <w:szCs w:val="28"/>
        </w:rPr>
        <w:t>全流程审查</w:t>
      </w:r>
      <w:r>
        <w:rPr>
          <w:rFonts w:hint="eastAsia" w:ascii="宋体" w:hAnsi="宋体" w:eastAsia="宋体"/>
          <w:color w:val="252525"/>
          <w:sz w:val="28"/>
          <w:szCs w:val="28"/>
        </w:rPr>
        <w:t>。</w:t>
      </w:r>
      <w:r>
        <w:rPr>
          <w:rFonts w:ascii="宋体" w:hAnsi="宋体" w:eastAsia="宋体"/>
          <w:color w:val="252525"/>
          <w:sz w:val="28"/>
          <w:szCs w:val="28"/>
        </w:rPr>
        <w:t>持续引导信贷资金投向绿色环保领域，加大对绿色经济、低碳经济、循环经济的支持，助力资源节约型、环境友好型社会建设</w:t>
      </w:r>
      <w:r>
        <w:rPr>
          <w:rFonts w:hint="eastAsia" w:ascii="宋体" w:hAnsi="宋体" w:eastAsia="宋体"/>
          <w:color w:val="252525"/>
          <w:sz w:val="28"/>
          <w:szCs w:val="28"/>
        </w:rPr>
        <w:t>；此外，建立了绿色审批通道，有效甄别绿色信贷，开辟</w:t>
      </w:r>
      <w:r>
        <w:rPr>
          <w:rFonts w:ascii="宋体" w:hAnsi="宋体" w:eastAsia="宋体"/>
          <w:color w:val="252525"/>
          <w:sz w:val="28"/>
          <w:szCs w:val="28"/>
        </w:rPr>
        <w:t>绿色通道</w:t>
      </w:r>
      <w:r>
        <w:rPr>
          <w:rFonts w:hint="eastAsia" w:ascii="宋体" w:hAnsi="宋体" w:eastAsia="宋体"/>
          <w:color w:val="252525"/>
          <w:sz w:val="28"/>
          <w:szCs w:val="28"/>
        </w:rPr>
        <w:t>优先</w:t>
      </w:r>
      <w:r>
        <w:rPr>
          <w:rFonts w:ascii="宋体" w:hAnsi="宋体" w:eastAsia="宋体"/>
          <w:color w:val="252525"/>
          <w:sz w:val="28"/>
          <w:szCs w:val="28"/>
        </w:rPr>
        <w:t>办理</w:t>
      </w:r>
      <w:r>
        <w:rPr>
          <w:rFonts w:hint="eastAsia" w:ascii="宋体" w:hAnsi="宋体" w:eastAsia="宋体"/>
          <w:color w:val="252525"/>
          <w:sz w:val="28"/>
          <w:szCs w:val="28"/>
        </w:rPr>
        <w:t>绿色</w:t>
      </w:r>
      <w:r>
        <w:rPr>
          <w:rFonts w:ascii="宋体" w:hAnsi="宋体" w:eastAsia="宋体"/>
          <w:color w:val="252525"/>
          <w:sz w:val="28"/>
          <w:szCs w:val="28"/>
        </w:rPr>
        <w:t>企业</w:t>
      </w:r>
      <w:r>
        <w:rPr>
          <w:rFonts w:hint="eastAsia" w:ascii="宋体" w:hAnsi="宋体" w:eastAsia="宋体"/>
          <w:color w:val="252525"/>
          <w:sz w:val="28"/>
          <w:szCs w:val="28"/>
        </w:rPr>
        <w:t>相应</w:t>
      </w:r>
      <w:r>
        <w:rPr>
          <w:rFonts w:ascii="宋体" w:hAnsi="宋体" w:eastAsia="宋体"/>
          <w:color w:val="252525"/>
          <w:sz w:val="28"/>
          <w:szCs w:val="28"/>
        </w:rPr>
        <w:t>业务，</w:t>
      </w:r>
      <w:r>
        <w:rPr>
          <w:rFonts w:hint="eastAsia" w:ascii="宋体" w:hAnsi="宋体" w:eastAsia="宋体"/>
          <w:color w:val="252525"/>
          <w:sz w:val="28"/>
          <w:szCs w:val="28"/>
        </w:rPr>
        <w:t>并降低业务办理的时间成本。</w:t>
      </w:r>
    </w:p>
    <w:p>
      <w:pPr>
        <w:spacing w:line="360" w:lineRule="auto"/>
        <w:ind w:firstLine="562" w:firstLineChars="200"/>
        <w:rPr>
          <w:rFonts w:hint="eastAsia" w:ascii="宋体" w:hAnsi="宋体" w:eastAsia="宋体"/>
          <w:color w:val="252525"/>
          <w:sz w:val="28"/>
          <w:szCs w:val="28"/>
        </w:rPr>
      </w:pPr>
      <w:r>
        <w:rPr>
          <w:rFonts w:hint="eastAsia" w:ascii="宋体" w:hAnsi="宋体" w:eastAsia="宋体"/>
          <w:b/>
          <w:bCs/>
          <w:color w:val="252525"/>
          <w:sz w:val="28"/>
          <w:szCs w:val="28"/>
        </w:rPr>
        <w:t>贷前调查：</w:t>
      </w:r>
      <w:r>
        <w:rPr>
          <w:rFonts w:hint="eastAsia" w:ascii="宋体" w:hAnsi="宋体" w:eastAsia="宋体"/>
          <w:color w:val="252525"/>
          <w:sz w:val="28"/>
          <w:szCs w:val="28"/>
        </w:rPr>
        <w:t>贷前调查中，深入调查了解</w:t>
      </w:r>
      <w:r>
        <w:rPr>
          <w:rFonts w:ascii="宋体" w:hAnsi="宋体" w:eastAsia="宋体"/>
          <w:color w:val="252525"/>
          <w:sz w:val="28"/>
          <w:szCs w:val="28"/>
        </w:rPr>
        <w:t>客户或项目的环境、社会和治理风险状况</w:t>
      </w:r>
      <w:r>
        <w:rPr>
          <w:rFonts w:hint="eastAsia" w:ascii="宋体" w:hAnsi="宋体" w:eastAsia="宋体"/>
          <w:color w:val="252525"/>
          <w:sz w:val="28"/>
          <w:szCs w:val="28"/>
        </w:rPr>
        <w:t>，如在项目施工阶段产生的施工垃圾、扬尘、噪音等环境负面影响、</w:t>
      </w:r>
      <w:r>
        <w:rPr>
          <w:rFonts w:ascii="宋体" w:hAnsi="宋体" w:eastAsia="宋体"/>
          <w:color w:val="252525"/>
          <w:sz w:val="28"/>
          <w:szCs w:val="28"/>
        </w:rPr>
        <w:t>制造业污水废</w:t>
      </w:r>
      <w:r>
        <w:rPr>
          <w:rFonts w:hint="eastAsia" w:ascii="宋体" w:hAnsi="宋体" w:eastAsia="宋体"/>
          <w:color w:val="252525"/>
          <w:sz w:val="28"/>
          <w:szCs w:val="28"/>
        </w:rPr>
        <w:t>气排放造成</w:t>
      </w:r>
      <w:r>
        <w:rPr>
          <w:rFonts w:ascii="宋体" w:hAnsi="宋体" w:eastAsia="宋体"/>
          <w:color w:val="252525"/>
          <w:sz w:val="28"/>
          <w:szCs w:val="28"/>
        </w:rPr>
        <w:t>环境污染</w:t>
      </w:r>
      <w:r>
        <w:rPr>
          <w:rFonts w:hint="eastAsia" w:ascii="宋体" w:hAnsi="宋体" w:eastAsia="宋体"/>
          <w:color w:val="252525"/>
          <w:sz w:val="28"/>
          <w:szCs w:val="28"/>
        </w:rPr>
        <w:t>。对于涉及国际贸易的企业增加对出口国家气候政策的预判，防范跨境交易因境外环境政策对企业生产经营带来负面影响。本公司按照行业类别设置评级授信模型，对客户评分高度关注环境因素，对国家政策倾斜的绿色环保行业赋予战略性地位，充分支持绿色环保行业发展；对高污染、高能耗等与环保背离的行业实现“一票否决制”；</w:t>
      </w:r>
      <w:r>
        <w:rPr>
          <w:rFonts w:ascii="宋体" w:hAnsi="宋体" w:eastAsia="宋体"/>
          <w:color w:val="252525"/>
          <w:sz w:val="28"/>
          <w:szCs w:val="28"/>
        </w:rPr>
        <w:t>对违反国家产业政策、环保政策、安全政策，或受环境和社会事故影响其持续经营的客户或项目，不予授信</w:t>
      </w:r>
      <w:r>
        <w:rPr>
          <w:rFonts w:hint="eastAsia" w:ascii="宋体" w:hAnsi="宋体" w:eastAsia="宋体"/>
          <w:color w:val="252525"/>
          <w:sz w:val="28"/>
          <w:szCs w:val="28"/>
        </w:rPr>
        <w:t>。</w:t>
      </w:r>
    </w:p>
    <w:p>
      <w:pPr>
        <w:spacing w:line="360" w:lineRule="auto"/>
        <w:ind w:firstLine="562" w:firstLineChars="200"/>
        <w:rPr>
          <w:rFonts w:hint="eastAsia" w:ascii="宋体" w:hAnsi="宋体" w:eastAsia="宋体"/>
          <w:color w:val="252525"/>
          <w:sz w:val="28"/>
          <w:szCs w:val="28"/>
        </w:rPr>
      </w:pPr>
      <w:r>
        <w:rPr>
          <w:rFonts w:hint="eastAsia" w:ascii="宋体" w:hAnsi="宋体" w:eastAsia="宋体"/>
          <w:b/>
          <w:bCs/>
          <w:color w:val="252525"/>
          <w:sz w:val="28"/>
          <w:szCs w:val="28"/>
        </w:rPr>
        <w:t>审查审批：</w:t>
      </w:r>
      <w:r>
        <w:rPr>
          <w:rFonts w:hint="eastAsia" w:ascii="宋体" w:hAnsi="宋体" w:eastAsia="宋体"/>
          <w:color w:val="252525"/>
          <w:sz w:val="28"/>
          <w:szCs w:val="28"/>
        </w:rPr>
        <w:t>充分关注行业类型及主体资质，严格审查授信额度合理性、主体资质可靠性，保证</w:t>
      </w:r>
      <w:r>
        <w:rPr>
          <w:rFonts w:ascii="宋体" w:hAnsi="宋体" w:eastAsia="宋体"/>
          <w:color w:val="252525"/>
          <w:sz w:val="28"/>
          <w:szCs w:val="28"/>
        </w:rPr>
        <w:t>客户所提交的文件和相关手续的合规性、有效性和完整性，</w:t>
      </w:r>
      <w:r>
        <w:rPr>
          <w:rFonts w:hint="eastAsia" w:ascii="宋体" w:hAnsi="宋体" w:eastAsia="宋体"/>
          <w:color w:val="252525"/>
          <w:sz w:val="28"/>
          <w:szCs w:val="28"/>
        </w:rPr>
        <w:t>持续了解客户经营情况或项目进展情况，</w:t>
      </w:r>
      <w:r>
        <w:rPr>
          <w:rFonts w:ascii="宋体" w:hAnsi="宋体" w:eastAsia="宋体"/>
          <w:color w:val="252525"/>
          <w:sz w:val="28"/>
          <w:szCs w:val="28"/>
        </w:rPr>
        <w:t>分析可能存在的环境、社会和治理方面</w:t>
      </w:r>
      <w:r>
        <w:rPr>
          <w:rFonts w:hint="eastAsia" w:ascii="宋体" w:hAnsi="宋体" w:eastAsia="宋体"/>
          <w:color w:val="252525"/>
          <w:sz w:val="28"/>
          <w:szCs w:val="28"/>
        </w:rPr>
        <w:t>风险</w:t>
      </w:r>
      <w:r>
        <w:rPr>
          <w:rFonts w:ascii="宋体" w:hAnsi="宋体" w:eastAsia="宋体"/>
          <w:color w:val="252525"/>
          <w:sz w:val="28"/>
          <w:szCs w:val="28"/>
        </w:rPr>
        <w:t>，以及采取的防控措施</w:t>
      </w:r>
      <w:r>
        <w:rPr>
          <w:rFonts w:hint="eastAsia" w:ascii="宋体" w:hAnsi="宋体" w:eastAsia="宋体"/>
          <w:color w:val="252525"/>
          <w:sz w:val="28"/>
          <w:szCs w:val="28"/>
        </w:rPr>
        <w:t xml:space="preserve">。 </w:t>
      </w:r>
    </w:p>
    <w:p>
      <w:pPr>
        <w:spacing w:line="360" w:lineRule="auto"/>
        <w:ind w:firstLine="562" w:firstLineChars="200"/>
        <w:rPr>
          <w:rFonts w:hint="eastAsia" w:ascii="宋体" w:hAnsi="宋体" w:eastAsia="宋体"/>
          <w:color w:val="252525"/>
          <w:sz w:val="28"/>
          <w:szCs w:val="28"/>
        </w:rPr>
      </w:pPr>
      <w:r>
        <w:rPr>
          <w:rFonts w:hint="eastAsia" w:ascii="宋体" w:hAnsi="宋体" w:eastAsia="宋体"/>
          <w:b/>
          <w:bCs/>
          <w:color w:val="252525"/>
          <w:sz w:val="28"/>
          <w:szCs w:val="28"/>
        </w:rPr>
        <w:t>贷后管理：</w:t>
      </w:r>
      <w:r>
        <w:rPr>
          <w:rFonts w:hint="eastAsia" w:ascii="宋体" w:hAnsi="宋体" w:eastAsia="宋体"/>
          <w:color w:val="252525"/>
          <w:sz w:val="28"/>
          <w:szCs w:val="28"/>
        </w:rPr>
        <w:t>密</w:t>
      </w:r>
      <w:r>
        <w:rPr>
          <w:rFonts w:ascii="宋体" w:hAnsi="宋体" w:eastAsia="宋体"/>
          <w:color w:val="252525"/>
          <w:sz w:val="28"/>
          <w:szCs w:val="28"/>
        </w:rPr>
        <w:t>切关注国家产业结构</w:t>
      </w:r>
      <w:r>
        <w:rPr>
          <w:rFonts w:hint="eastAsia" w:ascii="宋体" w:hAnsi="宋体" w:eastAsia="宋体"/>
          <w:color w:val="252525"/>
          <w:sz w:val="28"/>
          <w:szCs w:val="28"/>
        </w:rPr>
        <w:t>调整、行业政策及气候政策的变化</w:t>
      </w:r>
      <w:r>
        <w:rPr>
          <w:rFonts w:ascii="宋体" w:hAnsi="宋体" w:eastAsia="宋体"/>
          <w:color w:val="252525"/>
          <w:sz w:val="28"/>
          <w:szCs w:val="28"/>
        </w:rPr>
        <w:t>等</w:t>
      </w:r>
      <w:r>
        <w:rPr>
          <w:rFonts w:hint="eastAsia" w:ascii="宋体" w:hAnsi="宋体" w:eastAsia="宋体"/>
          <w:color w:val="252525"/>
          <w:sz w:val="28"/>
          <w:szCs w:val="28"/>
        </w:rPr>
        <w:t>方面</w:t>
      </w:r>
      <w:r>
        <w:rPr>
          <w:rFonts w:ascii="宋体" w:hAnsi="宋体" w:eastAsia="宋体"/>
          <w:color w:val="252525"/>
          <w:sz w:val="28"/>
          <w:szCs w:val="28"/>
        </w:rPr>
        <w:t>对授信客户或项目的生产经营、财务状况的影响，对存在环境、社会和治理风险隐患的客户，加强定期、不定期监控力度。通过查询环保部门记录及</w:t>
      </w:r>
      <w:r>
        <w:rPr>
          <w:rFonts w:hint="eastAsia" w:ascii="宋体" w:hAnsi="宋体" w:eastAsia="宋体"/>
          <w:color w:val="252525"/>
          <w:sz w:val="28"/>
          <w:szCs w:val="28"/>
        </w:rPr>
        <w:t>监管部门</w:t>
      </w:r>
      <w:r>
        <w:rPr>
          <w:rFonts w:ascii="宋体" w:hAnsi="宋体" w:eastAsia="宋体"/>
          <w:color w:val="252525"/>
          <w:sz w:val="28"/>
          <w:szCs w:val="28"/>
        </w:rPr>
        <w:t>披露的环保信息等，及时发现客户可能存在的不良环保记录</w:t>
      </w:r>
      <w:r>
        <w:rPr>
          <w:rFonts w:hint="eastAsia" w:ascii="宋体" w:hAnsi="宋体" w:eastAsia="宋体"/>
          <w:color w:val="252525"/>
          <w:sz w:val="28"/>
          <w:szCs w:val="28"/>
        </w:rPr>
        <w:t>，一旦发现异常情况及时做出压缩</w:t>
      </w:r>
      <w:r>
        <w:rPr>
          <w:rFonts w:ascii="宋体" w:hAnsi="宋体" w:eastAsia="宋体"/>
          <w:color w:val="252525"/>
          <w:sz w:val="28"/>
          <w:szCs w:val="28"/>
        </w:rPr>
        <w:t>授信额度、增加担保、</w:t>
      </w:r>
      <w:r>
        <w:rPr>
          <w:rFonts w:hint="eastAsia" w:ascii="宋体" w:hAnsi="宋体" w:eastAsia="宋体"/>
          <w:color w:val="252525"/>
          <w:sz w:val="28"/>
          <w:szCs w:val="28"/>
        </w:rPr>
        <w:t>提前收回贷款等处理。</w:t>
      </w:r>
    </w:p>
    <w:p>
      <w:pPr>
        <w:pStyle w:val="31"/>
        <w:spacing w:line="360" w:lineRule="auto"/>
        <w:ind w:firstLine="0" w:firstLineChars="0"/>
        <w:outlineLvl w:val="0"/>
        <w:rPr>
          <w:rFonts w:hint="eastAsia" w:ascii="宋体" w:hAnsi="宋体" w:eastAsia="宋体"/>
          <w:b/>
          <w:bCs/>
          <w:sz w:val="30"/>
          <w:szCs w:val="30"/>
        </w:rPr>
      </w:pPr>
      <w:bookmarkStart w:id="16" w:name="_Toc82434783"/>
      <w:bookmarkEnd w:id="16"/>
      <w:bookmarkStart w:id="17" w:name="_Toc83300045"/>
      <w:bookmarkEnd w:id="17"/>
      <w:bookmarkStart w:id="18" w:name="_Toc7514"/>
      <w:r>
        <w:rPr>
          <w:rFonts w:hint="eastAsia" w:ascii="宋体" w:hAnsi="宋体" w:eastAsia="宋体"/>
          <w:b/>
          <w:bCs/>
          <w:sz w:val="30"/>
          <w:szCs w:val="30"/>
        </w:rPr>
        <w:t>6.环境因素对金融机构的</w:t>
      </w:r>
      <w:bookmarkEnd w:id="18"/>
      <w:bookmarkStart w:id="19" w:name="_Toc82434787"/>
      <w:bookmarkEnd w:id="19"/>
      <w:bookmarkStart w:id="20" w:name="_Toc83300049"/>
      <w:bookmarkEnd w:id="20"/>
      <w:r>
        <w:rPr>
          <w:rFonts w:hint="eastAsia" w:ascii="宋体" w:hAnsi="宋体" w:eastAsia="宋体"/>
          <w:b/>
          <w:bCs/>
          <w:sz w:val="30"/>
          <w:szCs w:val="30"/>
        </w:rPr>
        <w:t>影响</w:t>
      </w:r>
    </w:p>
    <w:p>
      <w:pPr>
        <w:rPr>
          <w:rFonts w:hint="eastAsia" w:ascii="宋体" w:hAnsi="宋体" w:eastAsia="宋体" w:cs="宋体"/>
          <w:sz w:val="28"/>
          <w:szCs w:val="28"/>
        </w:rPr>
      </w:pPr>
      <w:bookmarkStart w:id="21" w:name="_Toc30103"/>
      <w:r>
        <w:rPr>
          <w:rFonts w:hint="eastAsia" w:ascii="宋体" w:hAnsi="宋体" w:eastAsia="宋体" w:cs="宋体"/>
          <w:sz w:val="28"/>
          <w:szCs w:val="28"/>
        </w:rPr>
        <w:t>6.1 环境风险分析</w:t>
      </w:r>
      <w:bookmarkEnd w:id="21"/>
    </w:p>
    <w:tbl>
      <w:tblPr>
        <w:tblStyle w:val="26"/>
        <w:tblW w:w="8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2691"/>
        <w:gridCol w:w="993"/>
        <w:gridCol w:w="850"/>
        <w:gridCol w:w="2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 w:hRule="atLeast"/>
        </w:trPr>
        <w:tc>
          <w:tcPr>
            <w:tcW w:w="1386" w:type="dxa"/>
            <w:shd w:val="clear" w:color="auto" w:fill="86A795"/>
            <w:vAlign w:val="center"/>
          </w:tcPr>
          <w:p>
            <w:pPr>
              <w:spacing w:line="360" w:lineRule="auto"/>
              <w:jc w:val="center"/>
              <w:rPr>
                <w:rFonts w:hint="eastAsia" w:ascii="宋体" w:hAnsi="宋体" w:eastAsia="宋体"/>
                <w:b/>
                <w:bCs/>
                <w:color w:val="FFFFFF"/>
                <w:szCs w:val="21"/>
              </w:rPr>
            </w:pPr>
            <w:r>
              <w:rPr>
                <w:rFonts w:hint="eastAsia" w:ascii="宋体" w:hAnsi="宋体" w:eastAsia="宋体"/>
                <w:b/>
                <w:bCs/>
                <w:color w:val="FFFFFF"/>
                <w:szCs w:val="21"/>
              </w:rPr>
              <w:t>风险因子</w:t>
            </w:r>
          </w:p>
        </w:tc>
        <w:tc>
          <w:tcPr>
            <w:tcW w:w="2691" w:type="dxa"/>
            <w:shd w:val="clear" w:color="auto" w:fill="86A795"/>
            <w:vAlign w:val="center"/>
          </w:tcPr>
          <w:p>
            <w:pPr>
              <w:spacing w:line="360" w:lineRule="auto"/>
              <w:jc w:val="center"/>
              <w:rPr>
                <w:rFonts w:hint="eastAsia" w:ascii="宋体" w:hAnsi="宋体" w:eastAsia="宋体"/>
                <w:b/>
                <w:bCs/>
                <w:color w:val="FFFFFF"/>
                <w:szCs w:val="21"/>
              </w:rPr>
            </w:pPr>
            <w:r>
              <w:rPr>
                <w:rFonts w:hint="eastAsia" w:ascii="宋体" w:hAnsi="宋体" w:eastAsia="宋体"/>
                <w:b/>
                <w:bCs/>
                <w:color w:val="FFFFFF"/>
                <w:szCs w:val="21"/>
              </w:rPr>
              <w:t>风险描述</w:t>
            </w:r>
          </w:p>
        </w:tc>
        <w:tc>
          <w:tcPr>
            <w:tcW w:w="993" w:type="dxa"/>
            <w:shd w:val="clear" w:color="auto" w:fill="86A795"/>
          </w:tcPr>
          <w:p>
            <w:pPr>
              <w:spacing w:line="360" w:lineRule="auto"/>
              <w:jc w:val="center"/>
              <w:rPr>
                <w:rFonts w:hint="eastAsia" w:ascii="宋体" w:hAnsi="宋体" w:eastAsia="宋体"/>
                <w:b/>
                <w:bCs/>
                <w:color w:val="FFFFFF"/>
                <w:szCs w:val="21"/>
              </w:rPr>
            </w:pPr>
            <w:r>
              <w:rPr>
                <w:rFonts w:hint="eastAsia" w:ascii="宋体" w:hAnsi="宋体" w:eastAsia="宋体"/>
                <w:b/>
                <w:bCs/>
                <w:color w:val="FFFFFF"/>
                <w:szCs w:val="21"/>
              </w:rPr>
              <w:t>风险影响时间</w:t>
            </w:r>
          </w:p>
        </w:tc>
        <w:tc>
          <w:tcPr>
            <w:tcW w:w="850" w:type="dxa"/>
            <w:shd w:val="clear" w:color="auto" w:fill="86A795"/>
            <w:vAlign w:val="center"/>
          </w:tcPr>
          <w:p>
            <w:pPr>
              <w:spacing w:line="360" w:lineRule="auto"/>
              <w:jc w:val="center"/>
              <w:rPr>
                <w:rFonts w:hint="eastAsia" w:ascii="宋体" w:hAnsi="宋体" w:eastAsia="宋体"/>
                <w:b/>
                <w:bCs/>
                <w:color w:val="FFFFFF"/>
                <w:szCs w:val="21"/>
              </w:rPr>
            </w:pPr>
            <w:r>
              <w:rPr>
                <w:rFonts w:hint="eastAsia" w:ascii="宋体" w:hAnsi="宋体" w:eastAsia="宋体"/>
                <w:b/>
                <w:bCs/>
                <w:color w:val="FFFFFF"/>
                <w:szCs w:val="21"/>
              </w:rPr>
              <w:t>风险影响程度</w:t>
            </w:r>
          </w:p>
        </w:tc>
        <w:tc>
          <w:tcPr>
            <w:tcW w:w="2830" w:type="dxa"/>
            <w:shd w:val="clear" w:color="auto" w:fill="86A795"/>
            <w:vAlign w:val="center"/>
          </w:tcPr>
          <w:p>
            <w:pPr>
              <w:spacing w:line="360" w:lineRule="auto"/>
              <w:jc w:val="center"/>
              <w:rPr>
                <w:rFonts w:hint="eastAsia" w:ascii="宋体" w:hAnsi="宋体" w:eastAsia="宋体"/>
                <w:b/>
                <w:bCs/>
                <w:color w:val="FFFFFF"/>
                <w:szCs w:val="21"/>
              </w:rPr>
            </w:pPr>
            <w:r>
              <w:rPr>
                <w:rFonts w:hint="eastAsia" w:ascii="宋体" w:hAnsi="宋体" w:eastAsia="宋体"/>
                <w:b/>
                <w:bCs/>
                <w:color w:val="FFFFFF"/>
                <w:szCs w:val="21"/>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 w:hRule="atLeast"/>
        </w:trPr>
        <w:tc>
          <w:tcPr>
            <w:tcW w:w="1386" w:type="dxa"/>
            <w:vMerge w:val="restart"/>
            <w:vAlign w:val="center"/>
          </w:tcPr>
          <w:p>
            <w:pPr>
              <w:spacing w:line="360" w:lineRule="auto"/>
              <w:rPr>
                <w:rFonts w:hint="eastAsia" w:ascii="宋体" w:hAnsi="宋体" w:eastAsia="宋体"/>
                <w:color w:val="252525"/>
                <w:szCs w:val="21"/>
              </w:rPr>
            </w:pPr>
          </w:p>
          <w:p>
            <w:pPr>
              <w:spacing w:line="360" w:lineRule="auto"/>
              <w:rPr>
                <w:rFonts w:hint="eastAsia" w:ascii="宋体" w:hAnsi="宋体" w:eastAsia="宋体"/>
                <w:color w:val="252525"/>
                <w:szCs w:val="21"/>
              </w:rPr>
            </w:pPr>
          </w:p>
          <w:p>
            <w:pPr>
              <w:spacing w:line="360" w:lineRule="auto"/>
              <w:rPr>
                <w:rFonts w:hint="eastAsia" w:ascii="宋体" w:hAnsi="宋体" w:eastAsia="宋体"/>
                <w:color w:val="252525"/>
                <w:szCs w:val="21"/>
              </w:rPr>
            </w:pPr>
          </w:p>
          <w:p>
            <w:pPr>
              <w:spacing w:line="360" w:lineRule="auto"/>
              <w:rPr>
                <w:rFonts w:hint="eastAsia" w:ascii="宋体" w:hAnsi="宋体" w:eastAsia="宋体"/>
                <w:color w:val="252525"/>
                <w:szCs w:val="21"/>
              </w:rPr>
            </w:pPr>
            <w:r>
              <w:rPr>
                <w:rFonts w:hint="eastAsia" w:ascii="宋体" w:hAnsi="宋体" w:eastAsia="宋体"/>
                <w:color w:val="252525"/>
                <w:szCs w:val="21"/>
              </w:rPr>
              <w:t>物理风险-暴雨、大风、高温等极端天气事件，地震、泥石流等突发地质灾害等</w:t>
            </w:r>
          </w:p>
        </w:tc>
        <w:tc>
          <w:tcPr>
            <w:tcW w:w="2691" w:type="dxa"/>
            <w:vMerge w:val="restart"/>
            <w:vAlign w:val="center"/>
          </w:tcPr>
          <w:p>
            <w:pPr>
              <w:spacing w:line="360" w:lineRule="auto"/>
              <w:rPr>
                <w:rFonts w:hint="eastAsia" w:ascii="宋体" w:hAnsi="宋体" w:eastAsia="宋体"/>
                <w:color w:val="252525"/>
                <w:szCs w:val="21"/>
              </w:rPr>
            </w:pPr>
          </w:p>
          <w:p>
            <w:pPr>
              <w:spacing w:line="360" w:lineRule="auto"/>
              <w:rPr>
                <w:rFonts w:hint="eastAsia" w:ascii="宋体" w:hAnsi="宋体" w:eastAsia="宋体"/>
                <w:color w:val="252525"/>
                <w:szCs w:val="21"/>
              </w:rPr>
            </w:pPr>
          </w:p>
          <w:p>
            <w:pPr>
              <w:spacing w:line="360" w:lineRule="auto"/>
              <w:rPr>
                <w:rFonts w:hint="eastAsia" w:ascii="宋体" w:hAnsi="宋体" w:eastAsia="宋体"/>
                <w:color w:val="252525"/>
                <w:szCs w:val="21"/>
              </w:rPr>
            </w:pPr>
          </w:p>
          <w:p>
            <w:pPr>
              <w:spacing w:line="360" w:lineRule="auto"/>
              <w:rPr>
                <w:rFonts w:hint="eastAsia" w:ascii="宋体" w:hAnsi="宋体" w:eastAsia="宋体"/>
                <w:color w:val="252525"/>
                <w:szCs w:val="21"/>
              </w:rPr>
            </w:pPr>
            <w:r>
              <w:rPr>
                <w:rFonts w:hint="eastAsia" w:ascii="宋体" w:hAnsi="宋体" w:eastAsia="宋体"/>
                <w:color w:val="252525"/>
                <w:szCs w:val="21"/>
              </w:rPr>
              <w:t>本公司客户的产品和项目遍布全国境内，部分涉及进出口。极端天气事件、地质灾害等急性风险可能会降低客户生产设备的性能，损坏生产场所，影响物流和销售，使得生产和销售成本增加，进而影响客户资金回笼和还款的稳定性。</w:t>
            </w:r>
          </w:p>
        </w:tc>
        <w:tc>
          <w:tcPr>
            <w:tcW w:w="993" w:type="dxa"/>
            <w:vAlign w:val="center"/>
          </w:tcPr>
          <w:p>
            <w:pPr>
              <w:spacing w:line="360" w:lineRule="auto"/>
              <w:jc w:val="center"/>
              <w:rPr>
                <w:rFonts w:hint="eastAsia" w:ascii="宋体" w:hAnsi="宋体" w:eastAsia="宋体"/>
                <w:color w:val="252525"/>
                <w:szCs w:val="21"/>
              </w:rPr>
            </w:pPr>
          </w:p>
          <w:p>
            <w:pPr>
              <w:spacing w:line="360" w:lineRule="auto"/>
              <w:jc w:val="center"/>
              <w:rPr>
                <w:rFonts w:hint="eastAsia" w:ascii="宋体" w:hAnsi="宋体" w:eastAsia="宋体"/>
                <w:color w:val="252525"/>
                <w:szCs w:val="21"/>
              </w:rPr>
            </w:pPr>
          </w:p>
          <w:p>
            <w:pPr>
              <w:spacing w:line="360" w:lineRule="auto"/>
              <w:jc w:val="center"/>
              <w:rPr>
                <w:rFonts w:hint="eastAsia" w:ascii="宋体" w:hAnsi="宋体" w:eastAsia="宋体"/>
                <w:color w:val="252525"/>
                <w:szCs w:val="21"/>
              </w:rPr>
            </w:pPr>
          </w:p>
          <w:p>
            <w:pPr>
              <w:spacing w:line="360" w:lineRule="auto"/>
              <w:jc w:val="center"/>
              <w:rPr>
                <w:rFonts w:hint="eastAsia" w:ascii="宋体" w:hAnsi="宋体" w:eastAsia="宋体"/>
                <w:color w:val="252525"/>
                <w:szCs w:val="21"/>
              </w:rPr>
            </w:pPr>
            <w:r>
              <w:rPr>
                <w:rFonts w:hint="eastAsia" w:ascii="宋体" w:hAnsi="宋体" w:eastAsia="宋体"/>
                <w:color w:val="252525"/>
                <w:szCs w:val="21"/>
              </w:rPr>
              <w:t>短期</w:t>
            </w:r>
          </w:p>
        </w:tc>
        <w:tc>
          <w:tcPr>
            <w:tcW w:w="850" w:type="dxa"/>
            <w:vAlign w:val="center"/>
          </w:tcPr>
          <w:p>
            <w:pPr>
              <w:spacing w:line="360" w:lineRule="auto"/>
              <w:jc w:val="center"/>
              <w:rPr>
                <w:rFonts w:hint="eastAsia" w:ascii="宋体" w:hAnsi="宋体" w:eastAsia="宋体"/>
                <w:color w:val="252525"/>
                <w:szCs w:val="21"/>
              </w:rPr>
            </w:pPr>
          </w:p>
          <w:p>
            <w:pPr>
              <w:spacing w:line="360" w:lineRule="auto"/>
              <w:jc w:val="center"/>
              <w:rPr>
                <w:rFonts w:hint="eastAsia" w:ascii="宋体" w:hAnsi="宋体" w:eastAsia="宋体"/>
                <w:color w:val="252525"/>
                <w:szCs w:val="21"/>
              </w:rPr>
            </w:pPr>
          </w:p>
          <w:p>
            <w:pPr>
              <w:spacing w:line="360" w:lineRule="auto"/>
              <w:jc w:val="center"/>
              <w:rPr>
                <w:rFonts w:hint="eastAsia" w:ascii="宋体" w:hAnsi="宋体" w:eastAsia="宋体"/>
                <w:color w:val="252525"/>
                <w:szCs w:val="21"/>
              </w:rPr>
            </w:pPr>
          </w:p>
          <w:p>
            <w:pPr>
              <w:spacing w:line="360" w:lineRule="auto"/>
              <w:jc w:val="center"/>
              <w:rPr>
                <w:rFonts w:hint="eastAsia" w:ascii="宋体" w:hAnsi="宋体" w:eastAsia="宋体"/>
                <w:color w:val="252525"/>
                <w:szCs w:val="21"/>
              </w:rPr>
            </w:pPr>
            <w:r>
              <w:rPr>
                <w:rFonts w:hint="eastAsia" w:ascii="宋体" w:hAnsi="宋体" w:eastAsia="宋体"/>
                <w:color w:val="252525"/>
                <w:szCs w:val="21"/>
              </w:rPr>
              <w:t>低</w:t>
            </w:r>
          </w:p>
        </w:tc>
        <w:tc>
          <w:tcPr>
            <w:tcW w:w="2830"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应对气候灾害：对不同经营地址的成员单位区别对待，若存在气候影响高风险地区不予准入；中风险地区实行日常监测，低风险地区给予绿色通道；不断完善应急预案，加强应急演练，提高应对突发灾害能力。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86" w:type="dxa"/>
            <w:vMerge w:val="continue"/>
            <w:vAlign w:val="center"/>
          </w:tcPr>
          <w:p>
            <w:pPr>
              <w:spacing w:line="360" w:lineRule="auto"/>
              <w:rPr>
                <w:rFonts w:hint="eastAsia" w:ascii="宋体" w:hAnsi="宋体" w:eastAsia="宋体"/>
                <w:color w:val="252525"/>
                <w:szCs w:val="21"/>
              </w:rPr>
            </w:pPr>
          </w:p>
        </w:tc>
        <w:tc>
          <w:tcPr>
            <w:tcW w:w="2691" w:type="dxa"/>
            <w:vMerge w:val="continue"/>
            <w:vAlign w:val="center"/>
          </w:tcPr>
          <w:p>
            <w:pPr>
              <w:spacing w:line="360" w:lineRule="auto"/>
              <w:rPr>
                <w:rFonts w:hint="eastAsia" w:ascii="宋体" w:hAnsi="宋体" w:eastAsia="宋体"/>
                <w:color w:val="252525"/>
                <w:szCs w:val="21"/>
              </w:rPr>
            </w:pPr>
          </w:p>
        </w:tc>
        <w:tc>
          <w:tcPr>
            <w:tcW w:w="993" w:type="dxa"/>
            <w:vAlign w:val="center"/>
          </w:tcPr>
          <w:p>
            <w:pPr>
              <w:spacing w:line="360" w:lineRule="auto"/>
              <w:jc w:val="center"/>
              <w:rPr>
                <w:rFonts w:hint="eastAsia" w:ascii="宋体" w:hAnsi="宋体" w:eastAsia="宋体"/>
                <w:color w:val="252525"/>
                <w:szCs w:val="21"/>
              </w:rPr>
            </w:pPr>
            <w:r>
              <w:rPr>
                <w:rFonts w:hint="eastAsia" w:ascii="宋体" w:hAnsi="宋体" w:eastAsia="宋体"/>
                <w:color w:val="252525"/>
                <w:szCs w:val="21"/>
              </w:rPr>
              <w:t>短期</w:t>
            </w:r>
          </w:p>
        </w:tc>
        <w:tc>
          <w:tcPr>
            <w:tcW w:w="850" w:type="dxa"/>
            <w:vAlign w:val="center"/>
          </w:tcPr>
          <w:p>
            <w:pPr>
              <w:spacing w:line="360" w:lineRule="auto"/>
              <w:jc w:val="center"/>
              <w:rPr>
                <w:rFonts w:hint="eastAsia" w:ascii="宋体" w:hAnsi="宋体" w:eastAsia="宋体"/>
                <w:color w:val="252525"/>
                <w:szCs w:val="21"/>
              </w:rPr>
            </w:pPr>
            <w:r>
              <w:rPr>
                <w:rFonts w:hint="eastAsia" w:ascii="宋体" w:hAnsi="宋体" w:eastAsia="宋体"/>
                <w:color w:val="252525"/>
                <w:szCs w:val="21"/>
              </w:rPr>
              <w:t>中</w:t>
            </w:r>
          </w:p>
        </w:tc>
        <w:tc>
          <w:tcPr>
            <w:tcW w:w="2830"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应对地质灾害：关注客户所处地区是否为地质灾害活跃带，关注客户厂房、经营场地防震等级等；对防震差的不予准入，防震一般的做好日常监测，防震好的适当降低贷后检查频率；不断完善应急预案，加强应急演练，提高应对突发灾害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4" w:hRule="atLeast"/>
        </w:trPr>
        <w:tc>
          <w:tcPr>
            <w:tcW w:w="1386"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转型风险-政策和法律</w:t>
            </w:r>
          </w:p>
        </w:tc>
        <w:tc>
          <w:tcPr>
            <w:tcW w:w="2691"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近年来，</w:t>
            </w:r>
            <w:r>
              <w:rPr>
                <w:rFonts w:ascii="宋体" w:hAnsi="宋体" w:eastAsia="宋体"/>
                <w:color w:val="252525"/>
                <w:szCs w:val="21"/>
              </w:rPr>
              <w:t>特别是在2020年发布</w:t>
            </w:r>
            <w:r>
              <w:rPr>
                <w:rFonts w:hint="eastAsia" w:ascii="宋体" w:hAnsi="宋体" w:eastAsia="宋体"/>
                <w:color w:val="252525"/>
                <w:szCs w:val="21"/>
              </w:rPr>
              <w:t>“</w:t>
            </w:r>
            <w:r>
              <w:rPr>
                <w:rFonts w:ascii="宋体" w:hAnsi="宋体" w:eastAsia="宋体"/>
                <w:color w:val="252525"/>
                <w:szCs w:val="21"/>
              </w:rPr>
              <w:t>双碳</w:t>
            </w:r>
            <w:r>
              <w:rPr>
                <w:rFonts w:hint="eastAsia" w:ascii="宋体" w:hAnsi="宋体" w:eastAsia="宋体"/>
                <w:color w:val="252525"/>
                <w:szCs w:val="21"/>
              </w:rPr>
              <w:t>”</w:t>
            </w:r>
            <w:r>
              <w:rPr>
                <w:rFonts w:ascii="宋体" w:hAnsi="宋体" w:eastAsia="宋体"/>
                <w:color w:val="252525"/>
                <w:szCs w:val="21"/>
              </w:rPr>
              <w:t>目标之后，</w:t>
            </w:r>
            <w:r>
              <w:rPr>
                <w:rFonts w:hint="eastAsia" w:ascii="宋体" w:hAnsi="宋体" w:eastAsia="宋体"/>
                <w:color w:val="252525"/>
                <w:szCs w:val="21"/>
              </w:rPr>
              <w:t>国内环保政策不断趋严，</w:t>
            </w:r>
          </w:p>
          <w:p>
            <w:pPr>
              <w:spacing w:line="360" w:lineRule="auto"/>
              <w:rPr>
                <w:rFonts w:hint="eastAsia" w:ascii="宋体" w:hAnsi="宋体" w:eastAsia="宋体"/>
                <w:color w:val="252525"/>
                <w:szCs w:val="21"/>
              </w:rPr>
            </w:pPr>
            <w:r>
              <w:rPr>
                <w:rFonts w:hint="eastAsia" w:ascii="宋体" w:hAnsi="宋体" w:eastAsia="宋体"/>
                <w:color w:val="252525"/>
                <w:szCs w:val="21"/>
              </w:rPr>
              <w:t>本公司客户以设备制造业为主，易受该类政策和法律的影响。</w:t>
            </w:r>
          </w:p>
        </w:tc>
        <w:tc>
          <w:tcPr>
            <w:tcW w:w="993" w:type="dxa"/>
            <w:vAlign w:val="center"/>
          </w:tcPr>
          <w:p>
            <w:pPr>
              <w:spacing w:line="360" w:lineRule="auto"/>
              <w:jc w:val="center"/>
              <w:rPr>
                <w:rFonts w:hint="eastAsia" w:ascii="宋体" w:hAnsi="宋体" w:eastAsia="宋体"/>
                <w:color w:val="252525"/>
                <w:szCs w:val="21"/>
              </w:rPr>
            </w:pPr>
            <w:r>
              <w:rPr>
                <w:rFonts w:hint="eastAsia" w:ascii="宋体" w:hAnsi="宋体" w:eastAsia="宋体"/>
                <w:color w:val="252525"/>
                <w:szCs w:val="21"/>
              </w:rPr>
              <w:t>长期</w:t>
            </w:r>
          </w:p>
        </w:tc>
        <w:tc>
          <w:tcPr>
            <w:tcW w:w="850" w:type="dxa"/>
            <w:vAlign w:val="center"/>
          </w:tcPr>
          <w:p>
            <w:pPr>
              <w:spacing w:line="360" w:lineRule="auto"/>
              <w:jc w:val="center"/>
              <w:rPr>
                <w:rFonts w:hint="eastAsia" w:ascii="宋体" w:hAnsi="宋体" w:eastAsia="宋体"/>
                <w:color w:val="252525"/>
                <w:szCs w:val="21"/>
              </w:rPr>
            </w:pPr>
            <w:r>
              <w:rPr>
                <w:rFonts w:hint="eastAsia" w:ascii="宋体" w:hAnsi="宋体" w:eastAsia="宋体"/>
                <w:color w:val="252525"/>
                <w:szCs w:val="21"/>
              </w:rPr>
              <w:t>高</w:t>
            </w:r>
          </w:p>
        </w:tc>
        <w:tc>
          <w:tcPr>
            <w:tcW w:w="2830"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积极响应国家政策，持续完善自身绿色金融相关政策；针对环保行业，给予绿色通道和优惠支持；对高耗能、污染严重等限制行业不予准入。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3" w:hRule="atLeast"/>
        </w:trPr>
        <w:tc>
          <w:tcPr>
            <w:tcW w:w="1386"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转型风险-技术</w:t>
            </w:r>
            <w:r>
              <w:rPr>
                <w:rFonts w:ascii="宋体" w:hAnsi="宋体" w:eastAsia="宋体"/>
                <w:color w:val="252525"/>
                <w:szCs w:val="21"/>
              </w:rPr>
              <w:t xml:space="preserve"> </w:t>
            </w:r>
          </w:p>
        </w:tc>
        <w:tc>
          <w:tcPr>
            <w:tcW w:w="2691"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本公司客户多属于制造行业，若客户未能及时对环保、低碳技术进行革新，有被淘汰的风险，从而造成坏账损失。</w:t>
            </w:r>
          </w:p>
          <w:p>
            <w:pPr>
              <w:spacing w:line="360" w:lineRule="auto"/>
              <w:rPr>
                <w:rFonts w:hint="eastAsia" w:ascii="宋体" w:hAnsi="宋体" w:eastAsia="宋体"/>
                <w:color w:val="252525"/>
                <w:szCs w:val="21"/>
              </w:rPr>
            </w:pPr>
            <w:r>
              <w:rPr>
                <w:rFonts w:hint="eastAsia" w:ascii="宋体" w:hAnsi="宋体" w:eastAsia="宋体"/>
                <w:color w:val="252525"/>
                <w:szCs w:val="21"/>
              </w:rPr>
              <w:t>本公司寻求绿色低碳运营服务，可能会增加新型产品和服务的技术投入，如操作系统的部署成本等。</w:t>
            </w:r>
          </w:p>
        </w:tc>
        <w:tc>
          <w:tcPr>
            <w:tcW w:w="993" w:type="dxa"/>
            <w:vAlign w:val="center"/>
          </w:tcPr>
          <w:p>
            <w:pPr>
              <w:spacing w:line="360" w:lineRule="auto"/>
              <w:jc w:val="center"/>
              <w:rPr>
                <w:rFonts w:hint="eastAsia" w:ascii="宋体" w:hAnsi="宋体" w:eastAsia="宋体"/>
                <w:color w:val="252525"/>
                <w:szCs w:val="21"/>
              </w:rPr>
            </w:pPr>
            <w:r>
              <w:rPr>
                <w:rFonts w:hint="eastAsia" w:ascii="宋体" w:hAnsi="宋体" w:eastAsia="宋体"/>
                <w:color w:val="252525"/>
                <w:szCs w:val="21"/>
              </w:rPr>
              <w:t>长期</w:t>
            </w:r>
          </w:p>
        </w:tc>
        <w:tc>
          <w:tcPr>
            <w:tcW w:w="850" w:type="dxa"/>
            <w:vAlign w:val="center"/>
          </w:tcPr>
          <w:p>
            <w:pPr>
              <w:spacing w:line="360" w:lineRule="auto"/>
              <w:jc w:val="center"/>
              <w:rPr>
                <w:rFonts w:hint="eastAsia" w:ascii="宋体" w:hAnsi="宋体" w:eastAsia="宋体"/>
                <w:color w:val="252525"/>
                <w:szCs w:val="21"/>
              </w:rPr>
            </w:pPr>
            <w:r>
              <w:rPr>
                <w:rFonts w:hint="eastAsia" w:ascii="宋体" w:hAnsi="宋体" w:eastAsia="宋体"/>
                <w:color w:val="252525"/>
                <w:szCs w:val="21"/>
              </w:rPr>
              <w:t>高</w:t>
            </w:r>
          </w:p>
        </w:tc>
        <w:tc>
          <w:tcPr>
            <w:tcW w:w="2830"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加强对客户技术革新情况的审查，关注客户专业人员技术水平、研发能力等，为客户提供低碳转型项目的优惠贷款支持；优化公司绿色金融业务系统科技支撑，提升运行效率。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16" w:hRule="atLeast"/>
        </w:trPr>
        <w:tc>
          <w:tcPr>
            <w:tcW w:w="1386" w:type="dxa"/>
            <w:vAlign w:val="center"/>
          </w:tcPr>
          <w:p>
            <w:pPr>
              <w:spacing w:line="360" w:lineRule="auto"/>
              <w:rPr>
                <w:rFonts w:hint="eastAsia" w:ascii="宋体" w:hAnsi="宋体" w:eastAsia="宋体"/>
                <w:color w:val="252525"/>
                <w:szCs w:val="21"/>
              </w:rPr>
            </w:pPr>
          </w:p>
          <w:p>
            <w:pPr>
              <w:spacing w:line="360" w:lineRule="auto"/>
              <w:rPr>
                <w:rFonts w:hint="eastAsia" w:ascii="宋体" w:hAnsi="宋体" w:eastAsia="宋体"/>
                <w:color w:val="252525"/>
                <w:szCs w:val="21"/>
              </w:rPr>
            </w:pPr>
          </w:p>
          <w:p>
            <w:pPr>
              <w:spacing w:line="360" w:lineRule="auto"/>
              <w:rPr>
                <w:rFonts w:hint="eastAsia" w:ascii="宋体" w:hAnsi="宋体" w:eastAsia="宋体"/>
                <w:color w:val="252525"/>
                <w:szCs w:val="21"/>
              </w:rPr>
            </w:pPr>
          </w:p>
          <w:p>
            <w:pPr>
              <w:spacing w:line="360" w:lineRule="auto"/>
              <w:rPr>
                <w:rFonts w:hint="eastAsia" w:ascii="宋体" w:hAnsi="宋体" w:eastAsia="宋体"/>
                <w:color w:val="252525"/>
                <w:szCs w:val="21"/>
              </w:rPr>
            </w:pPr>
            <w:r>
              <w:rPr>
                <w:rFonts w:hint="eastAsia" w:ascii="宋体" w:hAnsi="宋体" w:eastAsia="宋体"/>
                <w:color w:val="252525"/>
                <w:szCs w:val="21"/>
              </w:rPr>
              <w:t>转型风险</w:t>
            </w:r>
            <w:r>
              <w:rPr>
                <w:rFonts w:ascii="宋体" w:hAnsi="宋体" w:eastAsia="宋体"/>
                <w:color w:val="252525"/>
                <w:szCs w:val="21"/>
              </w:rPr>
              <w:t>-市场风险</w:t>
            </w:r>
          </w:p>
        </w:tc>
        <w:tc>
          <w:tcPr>
            <w:tcW w:w="2691"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本公司主要服务于长虹集团的成员单位，业务范围受限，资金主要依靠吸收集团成员单位存款，较银行业金融机构的融资能力偏弱。随着可持续发展理念的深入，</w:t>
            </w:r>
            <w:r>
              <w:rPr>
                <w:rFonts w:ascii="宋体" w:hAnsi="宋体" w:eastAsia="宋体"/>
                <w:color w:val="252525"/>
                <w:szCs w:val="21"/>
              </w:rPr>
              <w:t>ESG表现受到高度关注</w:t>
            </w:r>
            <w:r>
              <w:rPr>
                <w:rFonts w:hint="eastAsia" w:ascii="宋体" w:hAnsi="宋体" w:eastAsia="宋体"/>
                <w:color w:val="252525"/>
                <w:szCs w:val="21"/>
              </w:rPr>
              <w:t>。</w:t>
            </w:r>
            <w:r>
              <w:rPr>
                <w:rFonts w:ascii="宋体" w:hAnsi="宋体" w:eastAsia="宋体"/>
                <w:color w:val="252525"/>
                <w:szCs w:val="21"/>
              </w:rPr>
              <w:t>财务公司的</w:t>
            </w:r>
            <w:r>
              <w:rPr>
                <w:rFonts w:hint="eastAsia" w:ascii="宋体" w:hAnsi="宋体" w:eastAsia="宋体"/>
                <w:color w:val="252525"/>
                <w:szCs w:val="21"/>
              </w:rPr>
              <w:t>经营活动和</w:t>
            </w:r>
            <w:r>
              <w:rPr>
                <w:rFonts w:ascii="宋体" w:hAnsi="宋体" w:eastAsia="宋体"/>
                <w:color w:val="252525"/>
                <w:szCs w:val="21"/>
              </w:rPr>
              <w:t>金融行为受到监管</w:t>
            </w:r>
            <w:r>
              <w:rPr>
                <w:rFonts w:hint="eastAsia" w:ascii="宋体" w:hAnsi="宋体" w:eastAsia="宋体"/>
                <w:color w:val="252525"/>
                <w:szCs w:val="21"/>
              </w:rPr>
              <w:t>约束</w:t>
            </w:r>
            <w:r>
              <w:rPr>
                <w:rFonts w:ascii="宋体" w:hAnsi="宋体" w:eastAsia="宋体"/>
                <w:color w:val="252525"/>
                <w:szCs w:val="21"/>
              </w:rPr>
              <w:t>，ESG表现偏弱的财务公司将很容易失去监管利好。</w:t>
            </w:r>
          </w:p>
        </w:tc>
        <w:tc>
          <w:tcPr>
            <w:tcW w:w="993" w:type="dxa"/>
            <w:vAlign w:val="center"/>
          </w:tcPr>
          <w:p>
            <w:pPr>
              <w:spacing w:line="360" w:lineRule="auto"/>
              <w:jc w:val="center"/>
              <w:rPr>
                <w:rFonts w:hint="eastAsia" w:ascii="宋体" w:hAnsi="宋体" w:eastAsia="宋体"/>
                <w:color w:val="252525"/>
                <w:szCs w:val="21"/>
              </w:rPr>
            </w:pPr>
          </w:p>
          <w:p>
            <w:pPr>
              <w:spacing w:line="360" w:lineRule="auto"/>
              <w:jc w:val="center"/>
              <w:rPr>
                <w:rFonts w:hint="eastAsia" w:ascii="宋体" w:hAnsi="宋体" w:eastAsia="宋体"/>
                <w:color w:val="252525"/>
                <w:szCs w:val="21"/>
              </w:rPr>
            </w:pPr>
          </w:p>
          <w:p>
            <w:pPr>
              <w:spacing w:line="360" w:lineRule="auto"/>
              <w:jc w:val="center"/>
              <w:rPr>
                <w:rFonts w:hint="eastAsia" w:ascii="宋体" w:hAnsi="宋体" w:eastAsia="宋体"/>
                <w:color w:val="252525"/>
                <w:szCs w:val="21"/>
              </w:rPr>
            </w:pPr>
          </w:p>
          <w:p>
            <w:pPr>
              <w:spacing w:line="360" w:lineRule="auto"/>
              <w:jc w:val="center"/>
              <w:rPr>
                <w:rFonts w:hint="eastAsia" w:ascii="宋体" w:hAnsi="宋体" w:eastAsia="宋体"/>
                <w:color w:val="252525"/>
                <w:szCs w:val="21"/>
              </w:rPr>
            </w:pPr>
            <w:r>
              <w:rPr>
                <w:rFonts w:hint="eastAsia" w:ascii="宋体" w:hAnsi="宋体" w:eastAsia="宋体"/>
                <w:color w:val="252525"/>
                <w:szCs w:val="21"/>
              </w:rPr>
              <w:t>中期</w:t>
            </w:r>
          </w:p>
        </w:tc>
        <w:tc>
          <w:tcPr>
            <w:tcW w:w="850" w:type="dxa"/>
            <w:vAlign w:val="center"/>
          </w:tcPr>
          <w:p>
            <w:pPr>
              <w:spacing w:line="360" w:lineRule="auto"/>
              <w:jc w:val="center"/>
              <w:rPr>
                <w:rFonts w:hint="eastAsia" w:ascii="宋体" w:hAnsi="宋体" w:eastAsia="宋体"/>
                <w:color w:val="252525"/>
                <w:szCs w:val="21"/>
              </w:rPr>
            </w:pPr>
          </w:p>
          <w:p>
            <w:pPr>
              <w:spacing w:line="360" w:lineRule="auto"/>
              <w:jc w:val="center"/>
              <w:rPr>
                <w:rFonts w:hint="eastAsia" w:ascii="宋体" w:hAnsi="宋体" w:eastAsia="宋体"/>
                <w:color w:val="252525"/>
                <w:szCs w:val="21"/>
              </w:rPr>
            </w:pPr>
          </w:p>
          <w:p>
            <w:pPr>
              <w:spacing w:line="360" w:lineRule="auto"/>
              <w:jc w:val="center"/>
              <w:rPr>
                <w:rFonts w:hint="eastAsia" w:ascii="宋体" w:hAnsi="宋体" w:eastAsia="宋体"/>
                <w:color w:val="252525"/>
                <w:szCs w:val="21"/>
              </w:rPr>
            </w:pPr>
          </w:p>
          <w:p>
            <w:pPr>
              <w:spacing w:line="360" w:lineRule="auto"/>
              <w:jc w:val="center"/>
              <w:rPr>
                <w:rFonts w:hint="eastAsia" w:ascii="宋体" w:hAnsi="宋体" w:eastAsia="宋体"/>
                <w:color w:val="252525"/>
                <w:szCs w:val="21"/>
              </w:rPr>
            </w:pPr>
            <w:r>
              <w:rPr>
                <w:rFonts w:hint="eastAsia" w:ascii="宋体" w:hAnsi="宋体" w:eastAsia="宋体"/>
                <w:color w:val="252525"/>
                <w:szCs w:val="21"/>
              </w:rPr>
              <w:t>中</w:t>
            </w:r>
          </w:p>
        </w:tc>
        <w:tc>
          <w:tcPr>
            <w:tcW w:w="2830"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加强绿色金融业务能力，提升公司ESG的管理能力和表现水平，增强投资者信心，引入合格的投资者，同时获取到更多的监管资格便利；积极协助集团组建绿色产业基金或寻求发行绿色债券的资格；探索创新绿色融资产品，以扩大公司筹资范围，给予成员单位更好的融资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7" w:hRule="atLeast"/>
        </w:trPr>
        <w:tc>
          <w:tcPr>
            <w:tcW w:w="1386"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转型风险-声誉</w:t>
            </w:r>
          </w:p>
        </w:tc>
        <w:tc>
          <w:tcPr>
            <w:tcW w:w="2691"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随着绿色金融、气候投融资、ESG等议题逐步被公众认知，公司业务成长与运营中所带来的环境正负面影响亦会被利益相关方所关注。若客户发生环境相关的负面舆情会间接影响公司声誉。</w:t>
            </w:r>
          </w:p>
        </w:tc>
        <w:tc>
          <w:tcPr>
            <w:tcW w:w="993" w:type="dxa"/>
            <w:vAlign w:val="center"/>
          </w:tcPr>
          <w:p>
            <w:pPr>
              <w:spacing w:line="360" w:lineRule="auto"/>
              <w:jc w:val="center"/>
              <w:rPr>
                <w:rFonts w:hint="eastAsia" w:ascii="宋体" w:hAnsi="宋体" w:eastAsia="宋体"/>
                <w:color w:val="252525"/>
                <w:szCs w:val="21"/>
              </w:rPr>
            </w:pPr>
            <w:r>
              <w:rPr>
                <w:rFonts w:hint="eastAsia" w:ascii="宋体" w:hAnsi="宋体" w:eastAsia="宋体"/>
                <w:color w:val="252525"/>
                <w:szCs w:val="21"/>
              </w:rPr>
              <w:t>长期</w:t>
            </w:r>
          </w:p>
        </w:tc>
        <w:tc>
          <w:tcPr>
            <w:tcW w:w="850" w:type="dxa"/>
            <w:vAlign w:val="center"/>
          </w:tcPr>
          <w:p>
            <w:pPr>
              <w:spacing w:line="360" w:lineRule="auto"/>
              <w:jc w:val="center"/>
              <w:rPr>
                <w:rFonts w:hint="eastAsia" w:ascii="宋体" w:hAnsi="宋体" w:eastAsia="宋体"/>
                <w:color w:val="252525"/>
                <w:szCs w:val="21"/>
              </w:rPr>
            </w:pPr>
            <w:r>
              <w:rPr>
                <w:rFonts w:hint="eastAsia" w:ascii="宋体" w:hAnsi="宋体" w:eastAsia="宋体"/>
                <w:color w:val="252525"/>
                <w:szCs w:val="21"/>
              </w:rPr>
              <w:t>低</w:t>
            </w:r>
          </w:p>
        </w:tc>
        <w:tc>
          <w:tcPr>
            <w:tcW w:w="2830"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关注绿色金融的动态，积极参与相关的论坛、培训等活动，加强在绿色金融领域与监管的沟通，树立良好的财务公司的形象；并设置声誉风险管理部门，建立管理制度并贯彻执行，负责密切关注、防范及处置环境影响带来的声誉风险。</w:t>
            </w:r>
          </w:p>
        </w:tc>
      </w:tr>
    </w:tbl>
    <w:p>
      <w:pPr>
        <w:rPr>
          <w:rFonts w:hint="eastAsia" w:ascii="宋体" w:hAnsi="宋体" w:eastAsia="宋体" w:cs="宋体"/>
          <w:sz w:val="28"/>
          <w:szCs w:val="28"/>
        </w:rPr>
      </w:pPr>
      <w:r>
        <w:rPr>
          <w:rFonts w:hint="eastAsia" w:ascii="宋体" w:hAnsi="宋体" w:eastAsia="宋体" w:cs="宋体"/>
          <w:sz w:val="28"/>
          <w:szCs w:val="28"/>
        </w:rPr>
        <w:t xml:space="preserve">6.2 </w:t>
      </w:r>
      <w:bookmarkStart w:id="22" w:name="_Toc24516"/>
      <w:r>
        <w:rPr>
          <w:rFonts w:hint="eastAsia" w:ascii="宋体" w:hAnsi="宋体" w:eastAsia="宋体" w:cs="宋体"/>
          <w:sz w:val="28"/>
          <w:szCs w:val="28"/>
        </w:rPr>
        <w:t>环境机遇分析</w:t>
      </w:r>
      <w:bookmarkEnd w:id="22"/>
    </w:p>
    <w:tbl>
      <w:tblPr>
        <w:tblStyle w:val="26"/>
        <w:tblW w:w="8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2691"/>
        <w:gridCol w:w="993"/>
        <w:gridCol w:w="850"/>
        <w:gridCol w:w="2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 w:hRule="atLeast"/>
        </w:trPr>
        <w:tc>
          <w:tcPr>
            <w:tcW w:w="1386" w:type="dxa"/>
            <w:shd w:val="clear" w:color="auto" w:fill="86A795"/>
            <w:vAlign w:val="center"/>
          </w:tcPr>
          <w:p>
            <w:pPr>
              <w:spacing w:line="360" w:lineRule="auto"/>
              <w:jc w:val="center"/>
              <w:rPr>
                <w:rFonts w:hint="eastAsia" w:ascii="宋体" w:hAnsi="宋体" w:eastAsia="宋体"/>
                <w:b/>
                <w:bCs/>
                <w:color w:val="FFFFFF"/>
                <w:szCs w:val="21"/>
              </w:rPr>
            </w:pPr>
            <w:r>
              <w:rPr>
                <w:rFonts w:hint="eastAsia" w:ascii="宋体" w:hAnsi="宋体" w:eastAsia="宋体"/>
                <w:b/>
                <w:bCs/>
                <w:color w:val="FFFFFF"/>
                <w:szCs w:val="21"/>
              </w:rPr>
              <w:t>机遇因子</w:t>
            </w:r>
          </w:p>
        </w:tc>
        <w:tc>
          <w:tcPr>
            <w:tcW w:w="2691" w:type="dxa"/>
            <w:shd w:val="clear" w:color="auto" w:fill="86A795"/>
            <w:vAlign w:val="center"/>
          </w:tcPr>
          <w:p>
            <w:pPr>
              <w:spacing w:line="360" w:lineRule="auto"/>
              <w:jc w:val="center"/>
              <w:rPr>
                <w:rFonts w:hint="eastAsia" w:ascii="宋体" w:hAnsi="宋体" w:eastAsia="宋体"/>
                <w:b/>
                <w:bCs/>
                <w:color w:val="FFFFFF"/>
                <w:szCs w:val="21"/>
              </w:rPr>
            </w:pPr>
            <w:r>
              <w:rPr>
                <w:rFonts w:hint="eastAsia" w:ascii="宋体" w:hAnsi="宋体" w:eastAsia="宋体"/>
                <w:b/>
                <w:bCs/>
                <w:color w:val="FFFFFF"/>
                <w:szCs w:val="21"/>
              </w:rPr>
              <w:t>机遇描述</w:t>
            </w:r>
          </w:p>
        </w:tc>
        <w:tc>
          <w:tcPr>
            <w:tcW w:w="993" w:type="dxa"/>
            <w:shd w:val="clear" w:color="auto" w:fill="86A795"/>
          </w:tcPr>
          <w:p>
            <w:pPr>
              <w:spacing w:line="360" w:lineRule="auto"/>
              <w:jc w:val="center"/>
              <w:rPr>
                <w:rFonts w:hint="eastAsia" w:ascii="宋体" w:hAnsi="宋体" w:eastAsia="宋体"/>
                <w:b/>
                <w:bCs/>
                <w:color w:val="FFFFFF"/>
                <w:szCs w:val="21"/>
              </w:rPr>
            </w:pPr>
            <w:r>
              <w:rPr>
                <w:rFonts w:hint="eastAsia" w:ascii="宋体" w:hAnsi="宋体" w:eastAsia="宋体"/>
                <w:b/>
                <w:bCs/>
                <w:color w:val="FFFFFF"/>
                <w:szCs w:val="21"/>
              </w:rPr>
              <w:t>机遇影响时间</w:t>
            </w:r>
          </w:p>
        </w:tc>
        <w:tc>
          <w:tcPr>
            <w:tcW w:w="850" w:type="dxa"/>
            <w:shd w:val="clear" w:color="auto" w:fill="86A795"/>
            <w:vAlign w:val="center"/>
          </w:tcPr>
          <w:p>
            <w:pPr>
              <w:spacing w:line="360" w:lineRule="auto"/>
              <w:jc w:val="center"/>
              <w:rPr>
                <w:rFonts w:hint="eastAsia" w:ascii="宋体" w:hAnsi="宋体" w:eastAsia="宋体"/>
                <w:b/>
                <w:bCs/>
                <w:color w:val="FFFFFF"/>
                <w:szCs w:val="21"/>
              </w:rPr>
            </w:pPr>
            <w:r>
              <w:rPr>
                <w:rFonts w:hint="eastAsia" w:ascii="宋体" w:hAnsi="宋体" w:eastAsia="宋体"/>
                <w:b/>
                <w:bCs/>
                <w:color w:val="FFFFFF"/>
                <w:szCs w:val="21"/>
              </w:rPr>
              <w:t>机遇影响程度</w:t>
            </w:r>
          </w:p>
        </w:tc>
        <w:tc>
          <w:tcPr>
            <w:tcW w:w="2830" w:type="dxa"/>
            <w:shd w:val="clear" w:color="auto" w:fill="86A795"/>
            <w:vAlign w:val="center"/>
          </w:tcPr>
          <w:p>
            <w:pPr>
              <w:spacing w:line="360" w:lineRule="auto"/>
              <w:jc w:val="center"/>
              <w:rPr>
                <w:rFonts w:hint="eastAsia" w:ascii="宋体" w:hAnsi="宋体" w:eastAsia="宋体"/>
                <w:b/>
                <w:bCs/>
                <w:color w:val="FFFFFF"/>
                <w:szCs w:val="21"/>
              </w:rPr>
            </w:pPr>
            <w:r>
              <w:rPr>
                <w:rFonts w:hint="eastAsia" w:ascii="宋体" w:hAnsi="宋体" w:eastAsia="宋体"/>
                <w:b/>
                <w:bCs/>
                <w:color w:val="FFFFFF"/>
                <w:szCs w:val="21"/>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386"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资源效率及能源来源</w:t>
            </w:r>
          </w:p>
        </w:tc>
        <w:tc>
          <w:tcPr>
            <w:tcW w:w="2691"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通过使用资源循环设备，减少用水；与具有资质的供应商合作，实行绿色采购，推广绿色低碳理念；与具有资质的第三方回收公司合作，促进办公耗材的回收和再利用。</w:t>
            </w:r>
          </w:p>
        </w:tc>
        <w:tc>
          <w:tcPr>
            <w:tcW w:w="993" w:type="dxa"/>
            <w:vAlign w:val="center"/>
          </w:tcPr>
          <w:p>
            <w:pPr>
              <w:spacing w:line="360" w:lineRule="auto"/>
              <w:jc w:val="center"/>
              <w:rPr>
                <w:rFonts w:hint="eastAsia" w:ascii="宋体" w:hAnsi="宋体" w:eastAsia="宋体"/>
                <w:color w:val="252525"/>
                <w:szCs w:val="21"/>
              </w:rPr>
            </w:pPr>
            <w:r>
              <w:rPr>
                <w:rFonts w:hint="eastAsia" w:ascii="宋体" w:hAnsi="宋体" w:eastAsia="宋体"/>
                <w:color w:val="252525"/>
                <w:szCs w:val="21"/>
              </w:rPr>
              <w:t>长期</w:t>
            </w:r>
          </w:p>
        </w:tc>
        <w:tc>
          <w:tcPr>
            <w:tcW w:w="850" w:type="dxa"/>
            <w:vAlign w:val="center"/>
          </w:tcPr>
          <w:p>
            <w:pPr>
              <w:spacing w:line="360" w:lineRule="auto"/>
              <w:jc w:val="center"/>
              <w:rPr>
                <w:rFonts w:hint="eastAsia" w:ascii="宋体" w:hAnsi="宋体" w:eastAsia="宋体"/>
                <w:color w:val="252525"/>
                <w:szCs w:val="21"/>
              </w:rPr>
            </w:pPr>
            <w:r>
              <w:rPr>
                <w:rFonts w:hint="eastAsia" w:ascii="宋体" w:hAnsi="宋体" w:eastAsia="宋体"/>
                <w:color w:val="252525"/>
                <w:szCs w:val="21"/>
              </w:rPr>
              <w:t>低</w:t>
            </w:r>
          </w:p>
        </w:tc>
        <w:tc>
          <w:tcPr>
            <w:tcW w:w="2830"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在日常运营中，注意践行低碳原则，减少温室气体排放，节约用水用能，采用具有环保或节能认证标识的设备，降低办公成本；</w:t>
            </w:r>
            <w:r>
              <w:rPr>
                <w:rFonts w:ascii="宋体" w:hAnsi="宋体" w:eastAsia="宋体"/>
                <w:color w:val="252525"/>
                <w:szCs w:val="21"/>
              </w:rPr>
              <w:t>优先采购和使用</w:t>
            </w:r>
            <w:r>
              <w:rPr>
                <w:rFonts w:hint="eastAsia" w:ascii="宋体" w:hAnsi="宋体" w:eastAsia="宋体"/>
                <w:color w:val="252525"/>
                <w:szCs w:val="21"/>
              </w:rPr>
              <w:t>节能</w:t>
            </w:r>
            <w:r>
              <w:rPr>
                <w:rFonts w:ascii="宋体" w:hAnsi="宋体" w:eastAsia="宋体"/>
                <w:color w:val="252525"/>
                <w:szCs w:val="21"/>
              </w:rPr>
              <w:t>、节水等有利于环境保护的产品和服务</w:t>
            </w:r>
            <w:r>
              <w:rPr>
                <w:rFonts w:hint="eastAsia" w:ascii="宋体" w:hAnsi="宋体" w:eastAsia="宋体"/>
                <w:color w:val="252525"/>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6" w:hRule="atLeast"/>
        </w:trPr>
        <w:tc>
          <w:tcPr>
            <w:tcW w:w="1386"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产品、服务与市场</w:t>
            </w:r>
          </w:p>
        </w:tc>
        <w:tc>
          <w:tcPr>
            <w:tcW w:w="2691"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随着绿色金融的深入发展，碳达峰、碳中和等相关政策的持续推进，气候转型类产品的不断探索，为本公司拓展绿色金融类业务提供新思路。</w:t>
            </w:r>
          </w:p>
        </w:tc>
        <w:tc>
          <w:tcPr>
            <w:tcW w:w="993" w:type="dxa"/>
            <w:vAlign w:val="center"/>
          </w:tcPr>
          <w:p>
            <w:pPr>
              <w:spacing w:line="360" w:lineRule="auto"/>
              <w:jc w:val="center"/>
              <w:rPr>
                <w:rFonts w:hint="eastAsia" w:ascii="宋体" w:hAnsi="宋体" w:eastAsia="宋体"/>
                <w:color w:val="252525"/>
                <w:szCs w:val="21"/>
              </w:rPr>
            </w:pPr>
            <w:r>
              <w:rPr>
                <w:rFonts w:hint="eastAsia" w:ascii="宋体" w:hAnsi="宋体" w:eastAsia="宋体"/>
                <w:color w:val="252525"/>
                <w:szCs w:val="21"/>
              </w:rPr>
              <w:t>中期</w:t>
            </w:r>
          </w:p>
        </w:tc>
        <w:tc>
          <w:tcPr>
            <w:tcW w:w="850" w:type="dxa"/>
            <w:vAlign w:val="center"/>
          </w:tcPr>
          <w:p>
            <w:pPr>
              <w:spacing w:line="360" w:lineRule="auto"/>
              <w:jc w:val="center"/>
              <w:rPr>
                <w:rFonts w:hint="eastAsia" w:ascii="宋体" w:hAnsi="宋体" w:eastAsia="宋体"/>
                <w:color w:val="252525"/>
                <w:szCs w:val="21"/>
              </w:rPr>
            </w:pPr>
            <w:r>
              <w:rPr>
                <w:rFonts w:hint="eastAsia" w:ascii="宋体" w:hAnsi="宋体" w:eastAsia="宋体"/>
                <w:color w:val="252525"/>
                <w:szCs w:val="21"/>
              </w:rPr>
              <w:t>高</w:t>
            </w:r>
          </w:p>
        </w:tc>
        <w:tc>
          <w:tcPr>
            <w:tcW w:w="2830"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加大对绿色经济、低碳经济、循环经济的支持，提升绿色金融服务质效，为企业集团绿色转型提供丰富的信贷产品和服务，为“</w:t>
            </w:r>
            <w:r>
              <w:rPr>
                <w:rFonts w:ascii="宋体" w:hAnsi="宋体" w:eastAsia="宋体"/>
                <w:color w:val="252525"/>
                <w:szCs w:val="21"/>
              </w:rPr>
              <w:t>30·60”目标的实现注入绿色金融动力。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7" w:hRule="atLeast"/>
        </w:trPr>
        <w:tc>
          <w:tcPr>
            <w:tcW w:w="1386"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适应力</w:t>
            </w:r>
          </w:p>
        </w:tc>
        <w:tc>
          <w:tcPr>
            <w:tcW w:w="2691"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优化资源配置，适应绿色金融趋势，提升环境和社会效益。</w:t>
            </w:r>
          </w:p>
        </w:tc>
        <w:tc>
          <w:tcPr>
            <w:tcW w:w="993" w:type="dxa"/>
            <w:vAlign w:val="center"/>
          </w:tcPr>
          <w:p>
            <w:pPr>
              <w:spacing w:line="360" w:lineRule="auto"/>
              <w:jc w:val="center"/>
              <w:rPr>
                <w:rFonts w:hint="eastAsia" w:ascii="宋体" w:hAnsi="宋体" w:eastAsia="宋体"/>
                <w:color w:val="252525"/>
                <w:szCs w:val="21"/>
              </w:rPr>
            </w:pPr>
            <w:r>
              <w:rPr>
                <w:rFonts w:hint="eastAsia" w:ascii="宋体" w:hAnsi="宋体" w:eastAsia="宋体"/>
                <w:color w:val="252525"/>
                <w:szCs w:val="21"/>
              </w:rPr>
              <w:t>中期</w:t>
            </w:r>
          </w:p>
        </w:tc>
        <w:tc>
          <w:tcPr>
            <w:tcW w:w="850" w:type="dxa"/>
            <w:vAlign w:val="center"/>
          </w:tcPr>
          <w:p>
            <w:pPr>
              <w:spacing w:line="360" w:lineRule="auto"/>
              <w:jc w:val="center"/>
              <w:rPr>
                <w:rFonts w:hint="eastAsia" w:ascii="宋体" w:hAnsi="宋体" w:eastAsia="宋体"/>
                <w:color w:val="252525"/>
                <w:szCs w:val="21"/>
              </w:rPr>
            </w:pPr>
            <w:r>
              <w:rPr>
                <w:rFonts w:hint="eastAsia" w:ascii="宋体" w:hAnsi="宋体" w:eastAsia="宋体"/>
                <w:color w:val="252525"/>
                <w:szCs w:val="21"/>
              </w:rPr>
              <w:t>中</w:t>
            </w:r>
          </w:p>
        </w:tc>
        <w:tc>
          <w:tcPr>
            <w:tcW w:w="2830" w:type="dxa"/>
            <w:vAlign w:val="center"/>
          </w:tcPr>
          <w:p>
            <w:pPr>
              <w:spacing w:line="360" w:lineRule="auto"/>
              <w:rPr>
                <w:rFonts w:hint="eastAsia" w:ascii="宋体" w:hAnsi="宋体" w:eastAsia="宋体"/>
                <w:color w:val="252525"/>
                <w:szCs w:val="21"/>
              </w:rPr>
            </w:pPr>
            <w:r>
              <w:rPr>
                <w:rFonts w:hint="eastAsia" w:ascii="宋体" w:hAnsi="宋体" w:eastAsia="宋体"/>
                <w:color w:val="252525"/>
                <w:szCs w:val="21"/>
              </w:rPr>
              <w:t>充分利用财务公司服务实体经济的专业优势，在企业集团内部推进绿色金融的进程，优化集团的资源配置，对符合集团绿色产业发展战略方向的项目开展绿色金融服务，提升公司的经济效益、环境和社会效益。</w:t>
            </w:r>
          </w:p>
        </w:tc>
      </w:tr>
    </w:tbl>
    <w:p>
      <w:pPr>
        <w:pStyle w:val="31"/>
        <w:spacing w:line="360" w:lineRule="auto"/>
        <w:ind w:firstLine="0" w:firstLineChars="0"/>
        <w:outlineLvl w:val="0"/>
        <w:rPr>
          <w:rFonts w:hint="eastAsia" w:ascii="宋体" w:hAnsi="宋体" w:eastAsia="宋体"/>
          <w:b/>
          <w:bCs/>
          <w:sz w:val="30"/>
          <w:szCs w:val="30"/>
        </w:rPr>
      </w:pPr>
      <w:bookmarkStart w:id="23" w:name="_Toc18685"/>
      <w:r>
        <w:rPr>
          <w:rFonts w:ascii="宋体" w:hAnsi="宋体" w:eastAsia="宋体"/>
          <w:b/>
          <w:bCs/>
          <w:sz w:val="30"/>
          <w:szCs w:val="30"/>
        </w:rPr>
        <w:t>6.3</w:t>
      </w:r>
      <w:r>
        <w:rPr>
          <w:rFonts w:hint="eastAsia" w:ascii="宋体" w:hAnsi="宋体" w:eastAsia="宋体"/>
          <w:b/>
          <w:bCs/>
          <w:sz w:val="30"/>
          <w:szCs w:val="30"/>
        </w:rPr>
        <w:t>环境因素定量分析</w:t>
      </w:r>
      <w:r>
        <w:rPr>
          <w:rFonts w:ascii="宋体" w:hAnsi="宋体" w:eastAsia="宋体"/>
          <w:b/>
          <w:bCs/>
          <w:sz w:val="30"/>
          <w:szCs w:val="30"/>
        </w:rPr>
        <w:t>-压力测试</w:t>
      </w:r>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由于</w:t>
      </w:r>
      <w:r>
        <w:rPr>
          <w:rFonts w:ascii="宋体" w:hAnsi="宋体" w:eastAsia="宋体"/>
          <w:color w:val="252525"/>
          <w:sz w:val="28"/>
          <w:szCs w:val="28"/>
        </w:rPr>
        <w:t>本公司</w:t>
      </w:r>
      <w:r>
        <w:rPr>
          <w:rFonts w:hint="eastAsia" w:ascii="宋体" w:hAnsi="宋体" w:eastAsia="宋体"/>
          <w:color w:val="252525"/>
          <w:sz w:val="28"/>
          <w:szCs w:val="28"/>
        </w:rPr>
        <w:t>客户所涉及行业无高耗能、高污染行业，压力测试选取对环境具有一定影响的包装行业进行测试，假定由于环境变化需要采取限制包装行业产能的措施，限制比例暂设为20%、40%、60%，假定产能限制与贷款损失成正比，即贷款损失率依次为10%、20%、30%，测试对本公司不良贷款率及净利润的影响。采用2023年12月末数据，包装行业涉及3家主要客户。</w:t>
      </w:r>
    </w:p>
    <w:tbl>
      <w:tblPr>
        <w:tblStyle w:val="26"/>
        <w:tblW w:w="8318" w:type="dxa"/>
        <w:tblInd w:w="98" w:type="dxa"/>
        <w:tblLayout w:type="fixed"/>
        <w:tblCellMar>
          <w:top w:w="0" w:type="dxa"/>
          <w:left w:w="108" w:type="dxa"/>
          <w:bottom w:w="0" w:type="dxa"/>
          <w:right w:w="108" w:type="dxa"/>
        </w:tblCellMar>
      </w:tblPr>
      <w:tblGrid>
        <w:gridCol w:w="1883"/>
        <w:gridCol w:w="1608"/>
        <w:gridCol w:w="1608"/>
        <w:gridCol w:w="1608"/>
        <w:gridCol w:w="1611"/>
      </w:tblGrid>
      <w:tr>
        <w:tblPrEx>
          <w:tblLayout w:type="fixed"/>
          <w:tblCellMar>
            <w:top w:w="0" w:type="dxa"/>
            <w:left w:w="108" w:type="dxa"/>
            <w:bottom w:w="0" w:type="dxa"/>
            <w:right w:w="108" w:type="dxa"/>
          </w:tblCellMar>
        </w:tblPrEx>
        <w:trPr>
          <w:trHeight w:val="452" w:hRule="atLeast"/>
        </w:trPr>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黑体" w:hAnsi="宋体" w:eastAsia="黑体"/>
                <w:b/>
                <w:bCs/>
                <w:color w:val="000000"/>
                <w:sz w:val="22"/>
              </w:rPr>
            </w:pPr>
            <w:r>
              <w:rPr>
                <w:rFonts w:hint="eastAsia" w:ascii="黑体" w:hAnsi="宋体" w:eastAsia="黑体"/>
                <w:b/>
                <w:bCs/>
                <w:color w:val="000000"/>
                <w:sz w:val="22"/>
              </w:rPr>
              <w:t>假设情景</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黑体" w:hAnsi="宋体" w:eastAsia="黑体"/>
                <w:b/>
                <w:bCs/>
                <w:color w:val="000000"/>
                <w:sz w:val="22"/>
              </w:rPr>
            </w:pPr>
            <w:r>
              <w:rPr>
                <w:rFonts w:hint="eastAsia" w:ascii="黑体" w:hAnsi="宋体" w:eastAsia="黑体"/>
                <w:b/>
                <w:bCs/>
                <w:color w:val="000000"/>
                <w:sz w:val="22"/>
              </w:rPr>
              <w:t>正常</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黑体" w:hAnsi="宋体" w:eastAsia="黑体"/>
                <w:b/>
                <w:bCs/>
                <w:color w:val="000000"/>
                <w:sz w:val="22"/>
              </w:rPr>
            </w:pPr>
            <w:r>
              <w:rPr>
                <w:rFonts w:hint="eastAsia" w:ascii="黑体" w:hAnsi="宋体" w:eastAsia="黑体"/>
                <w:b/>
                <w:bCs/>
                <w:color w:val="000000"/>
                <w:sz w:val="22"/>
              </w:rPr>
              <w:t>轻度</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黑体" w:hAnsi="宋体" w:eastAsia="黑体"/>
                <w:b/>
                <w:bCs/>
                <w:color w:val="000000"/>
                <w:sz w:val="22"/>
              </w:rPr>
            </w:pPr>
            <w:r>
              <w:rPr>
                <w:rFonts w:hint="eastAsia" w:ascii="黑体" w:hAnsi="宋体" w:eastAsia="黑体"/>
                <w:b/>
                <w:bCs/>
                <w:color w:val="000000"/>
                <w:sz w:val="22"/>
              </w:rPr>
              <w:t>中度</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黑体" w:hAnsi="宋体" w:eastAsia="黑体"/>
                <w:b/>
                <w:bCs/>
                <w:color w:val="000000"/>
                <w:sz w:val="22"/>
              </w:rPr>
            </w:pPr>
            <w:r>
              <w:rPr>
                <w:rFonts w:hint="eastAsia" w:ascii="黑体" w:hAnsi="宋体" w:eastAsia="黑体"/>
                <w:b/>
                <w:bCs/>
                <w:color w:val="000000"/>
                <w:sz w:val="22"/>
              </w:rPr>
              <w:t>重度</w:t>
            </w:r>
          </w:p>
        </w:tc>
      </w:tr>
      <w:tr>
        <w:tblPrEx>
          <w:tblLayout w:type="fixed"/>
          <w:tblCellMar>
            <w:top w:w="0" w:type="dxa"/>
            <w:left w:w="108" w:type="dxa"/>
            <w:bottom w:w="0" w:type="dxa"/>
            <w:right w:w="108" w:type="dxa"/>
          </w:tblCellMar>
        </w:tblPrEx>
        <w:trPr>
          <w:trHeight w:val="452" w:hRule="atLeast"/>
        </w:trPr>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黑体" w:hAnsi="宋体" w:eastAsia="黑体"/>
                <w:b/>
                <w:bCs/>
                <w:color w:val="000000"/>
                <w:sz w:val="22"/>
              </w:rPr>
            </w:pPr>
            <w:r>
              <w:rPr>
                <w:rFonts w:hint="eastAsia" w:ascii="黑体" w:hAnsi="宋体" w:eastAsia="黑体"/>
                <w:color w:val="000000"/>
                <w:sz w:val="22"/>
              </w:rPr>
              <w:t>产能限制比例</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黑体" w:hAnsi="宋体" w:eastAsia="黑体"/>
                <w:b/>
                <w:bCs/>
                <w:color w:val="000000"/>
                <w:sz w:val="22"/>
              </w:rPr>
            </w:pPr>
            <w:r>
              <w:rPr>
                <w:rFonts w:hint="eastAsia" w:ascii="黑体" w:hAnsi="宋体" w:eastAsia="黑体"/>
                <w:color w:val="000000"/>
                <w:sz w:val="22"/>
              </w:rPr>
              <w:t>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黑体" w:hAnsi="宋体" w:eastAsia="黑体"/>
                <w:color w:val="000000"/>
                <w:sz w:val="22"/>
              </w:rPr>
            </w:pPr>
            <w:r>
              <w:rPr>
                <w:rFonts w:hint="eastAsia" w:ascii="黑体" w:hAnsi="宋体" w:eastAsia="黑体"/>
                <w:color w:val="000000"/>
                <w:sz w:val="22"/>
              </w:rPr>
              <w:t>20%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黑体" w:hAnsi="宋体" w:eastAsia="黑体"/>
                <w:color w:val="000000"/>
                <w:sz w:val="22"/>
              </w:rPr>
            </w:pPr>
            <w:r>
              <w:rPr>
                <w:rFonts w:hint="eastAsia" w:ascii="黑体" w:hAnsi="宋体" w:eastAsia="黑体"/>
                <w:color w:val="000000"/>
                <w:sz w:val="22"/>
              </w:rPr>
              <w:t>40%</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黑体" w:hAnsi="宋体" w:eastAsia="黑体"/>
                <w:color w:val="000000"/>
                <w:sz w:val="22"/>
              </w:rPr>
            </w:pPr>
            <w:r>
              <w:rPr>
                <w:rFonts w:hint="eastAsia" w:ascii="黑体" w:hAnsi="宋体" w:eastAsia="黑体"/>
                <w:color w:val="000000"/>
                <w:sz w:val="22"/>
              </w:rPr>
              <w:t>60%</w:t>
            </w:r>
          </w:p>
        </w:tc>
      </w:tr>
      <w:tr>
        <w:tblPrEx>
          <w:tblLayout w:type="fixed"/>
          <w:tblCellMar>
            <w:top w:w="0" w:type="dxa"/>
            <w:left w:w="108" w:type="dxa"/>
            <w:bottom w:w="0" w:type="dxa"/>
            <w:right w:w="108" w:type="dxa"/>
          </w:tblCellMar>
        </w:tblPrEx>
        <w:trPr>
          <w:trHeight w:val="452" w:hRule="atLeast"/>
        </w:trPr>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黑体" w:hAnsi="宋体" w:eastAsia="黑体"/>
                <w:color w:val="000000"/>
                <w:sz w:val="22"/>
              </w:rPr>
            </w:pPr>
            <w:r>
              <w:rPr>
                <w:rFonts w:hint="eastAsia" w:ascii="黑体" w:hAnsi="宋体" w:eastAsia="黑体"/>
                <w:color w:val="000000"/>
                <w:sz w:val="22"/>
              </w:rPr>
              <w:t>贷款损失比例</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黑体" w:hAnsi="宋体" w:eastAsia="黑体"/>
                <w:sz w:val="22"/>
              </w:rPr>
            </w:pPr>
            <w:r>
              <w:rPr>
                <w:rFonts w:hint="eastAsia" w:ascii="黑体" w:hAnsi="宋体" w:eastAsia="黑体"/>
                <w:sz w:val="22"/>
              </w:rPr>
              <w:t>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黑体" w:hAnsi="宋体" w:eastAsia="黑体"/>
                <w:sz w:val="22"/>
              </w:rPr>
            </w:pPr>
            <w:r>
              <w:rPr>
                <w:rFonts w:hint="eastAsia" w:ascii="黑体" w:hAnsi="宋体" w:eastAsia="黑体"/>
                <w:sz w:val="22"/>
              </w:rPr>
              <w:t>10%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黑体" w:hAnsi="宋体" w:eastAsia="黑体"/>
                <w:sz w:val="22"/>
              </w:rPr>
            </w:pPr>
            <w:r>
              <w:rPr>
                <w:rFonts w:hint="eastAsia" w:ascii="黑体" w:hAnsi="宋体" w:eastAsia="黑体"/>
                <w:sz w:val="22"/>
              </w:rPr>
              <w:t>20%</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黑体" w:hAnsi="宋体" w:eastAsia="黑体"/>
                <w:sz w:val="22"/>
                <w:lang w:bidi="ar"/>
              </w:rPr>
            </w:pPr>
            <w:r>
              <w:rPr>
                <w:rFonts w:hint="eastAsia" w:ascii="黑体" w:hAnsi="宋体" w:eastAsia="黑体"/>
                <w:sz w:val="22"/>
              </w:rPr>
              <w:t>30%</w:t>
            </w:r>
          </w:p>
        </w:tc>
      </w:tr>
      <w:tr>
        <w:tblPrEx>
          <w:tblLayout w:type="fixed"/>
          <w:tblCellMar>
            <w:top w:w="0" w:type="dxa"/>
            <w:left w:w="108" w:type="dxa"/>
            <w:bottom w:w="0" w:type="dxa"/>
            <w:right w:w="108" w:type="dxa"/>
          </w:tblCellMar>
        </w:tblPrEx>
        <w:trPr>
          <w:trHeight w:val="452" w:hRule="atLeast"/>
        </w:trPr>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黑体" w:hAnsi="宋体" w:eastAsia="黑体"/>
                <w:color w:val="000000"/>
                <w:sz w:val="22"/>
              </w:rPr>
            </w:pPr>
            <w:r>
              <w:rPr>
                <w:rFonts w:hint="eastAsia" w:ascii="黑体" w:hAnsi="宋体" w:eastAsia="黑体"/>
                <w:color w:val="000000"/>
                <w:sz w:val="22"/>
              </w:rPr>
              <w:t>不良贷款率</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黑体" w:hAnsi="宋体" w:eastAsia="黑体"/>
                <w:sz w:val="22"/>
              </w:rPr>
            </w:pPr>
            <w:r>
              <w:rPr>
                <w:rFonts w:hint="eastAsia" w:ascii="黑体" w:hAnsi="宋体" w:eastAsia="黑体"/>
                <w:sz w:val="22"/>
              </w:rPr>
              <w:t>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黑体" w:hAnsi="宋体" w:eastAsia="黑体"/>
                <w:sz w:val="22"/>
              </w:rPr>
            </w:pPr>
            <w:r>
              <w:t>0.09%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黑体" w:hAnsi="宋体" w:eastAsia="黑体"/>
                <w:sz w:val="22"/>
              </w:rPr>
            </w:pPr>
            <w:r>
              <w:t>0.18%</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黑体" w:hAnsi="宋体" w:eastAsia="黑体"/>
                <w:sz w:val="22"/>
                <w:lang w:bidi="ar"/>
              </w:rPr>
            </w:pPr>
            <w:r>
              <w:t>0.27%</w:t>
            </w:r>
          </w:p>
        </w:tc>
      </w:tr>
      <w:tr>
        <w:tblPrEx>
          <w:tblLayout w:type="fixed"/>
          <w:tblCellMar>
            <w:top w:w="0" w:type="dxa"/>
            <w:left w:w="108" w:type="dxa"/>
            <w:bottom w:w="0" w:type="dxa"/>
            <w:right w:w="108" w:type="dxa"/>
          </w:tblCellMar>
        </w:tblPrEx>
        <w:trPr>
          <w:trHeight w:val="452" w:hRule="atLeast"/>
        </w:trPr>
        <w:tc>
          <w:tcPr>
            <w:tcW w:w="1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黑体" w:hAnsi="宋体" w:eastAsia="黑体"/>
                <w:color w:val="000000"/>
                <w:sz w:val="22"/>
              </w:rPr>
            </w:pPr>
            <w:r>
              <w:rPr>
                <w:rFonts w:hint="eastAsia" w:ascii="黑体" w:hAnsi="宋体" w:eastAsia="黑体"/>
                <w:color w:val="000000"/>
                <w:sz w:val="22"/>
              </w:rPr>
              <w:t>净利润损失率</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黑体" w:hAnsi="宋体" w:eastAsia="黑体"/>
                <w:sz w:val="22"/>
              </w:rPr>
            </w:pPr>
            <w:r>
              <w:rPr>
                <w:rFonts w:hint="eastAsia" w:ascii="黑体" w:hAnsi="宋体" w:eastAsia="黑体"/>
                <w:sz w:val="22"/>
              </w:rPr>
              <w:t>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黑体" w:hAnsi="宋体" w:eastAsia="黑体"/>
                <w:sz w:val="22"/>
              </w:rPr>
            </w:pPr>
            <w:r>
              <w:t>0.04%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黑体" w:hAnsi="宋体" w:eastAsia="黑体"/>
                <w:sz w:val="22"/>
              </w:rPr>
            </w:pPr>
            <w:r>
              <w:t>0.09%</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黑体" w:hAnsi="宋体" w:eastAsia="黑体"/>
                <w:sz w:val="22"/>
                <w:lang w:bidi="ar"/>
              </w:rPr>
            </w:pPr>
            <w:r>
              <w:t>0.13%</w:t>
            </w:r>
          </w:p>
        </w:tc>
      </w:tr>
    </w:tbl>
    <w:p>
      <w:pPr>
        <w:numPr>
          <w:ilvl w:val="255"/>
          <w:numId w:val="0"/>
        </w:numPr>
        <w:spacing w:line="360" w:lineRule="auto"/>
        <w:ind w:firstLine="560" w:firstLineChars="200"/>
        <w:outlineLvl w:val="0"/>
        <w:rPr>
          <w:rFonts w:hint="eastAsia" w:ascii="宋体" w:hAnsi="宋体" w:eastAsia="宋体"/>
          <w:b/>
          <w:bCs/>
          <w:sz w:val="30"/>
          <w:szCs w:val="30"/>
        </w:rPr>
      </w:pPr>
      <w:r>
        <w:rPr>
          <w:rFonts w:hint="eastAsia" w:ascii="宋体" w:hAnsi="宋体" w:eastAsia="宋体"/>
          <w:color w:val="252525"/>
          <w:sz w:val="28"/>
          <w:szCs w:val="28"/>
        </w:rPr>
        <w:t>测试结果表明，在上述各类情景下均在本公司承受范围内，不良贷款率仍在监管要求的5%以内，且对利润的影响不大，故包装行业受环境影响给本公司带来的影响较小。</w:t>
      </w:r>
    </w:p>
    <w:p>
      <w:pPr>
        <w:pStyle w:val="31"/>
        <w:spacing w:line="360" w:lineRule="auto"/>
        <w:ind w:firstLine="0" w:firstLineChars="0"/>
        <w:outlineLvl w:val="0"/>
        <w:rPr>
          <w:rFonts w:hint="eastAsia" w:ascii="宋体" w:hAnsi="宋体" w:eastAsia="宋体"/>
          <w:b/>
          <w:bCs/>
          <w:sz w:val="30"/>
          <w:szCs w:val="30"/>
        </w:rPr>
      </w:pPr>
      <w:r>
        <w:rPr>
          <w:rFonts w:hint="eastAsia" w:ascii="宋体" w:hAnsi="宋体" w:eastAsia="宋体"/>
          <w:b/>
          <w:bCs/>
          <w:sz w:val="30"/>
          <w:szCs w:val="30"/>
        </w:rPr>
        <w:t>7.机构投融资活动的环境影响</w:t>
      </w:r>
      <w:bookmarkEnd w:id="23"/>
      <w:bookmarkStart w:id="45" w:name="_GoBack"/>
      <w:bookmarkEnd w:id="45"/>
    </w:p>
    <w:p>
      <w:pPr>
        <w:pStyle w:val="31"/>
        <w:spacing w:line="360" w:lineRule="auto"/>
        <w:ind w:firstLine="0" w:firstLineChars="0"/>
        <w:outlineLvl w:val="1"/>
        <w:rPr>
          <w:rFonts w:hint="eastAsia" w:ascii="宋体" w:hAnsi="宋体" w:eastAsia="宋体"/>
          <w:color w:val="252525"/>
          <w:sz w:val="28"/>
          <w:szCs w:val="28"/>
        </w:rPr>
      </w:pPr>
      <w:bookmarkStart w:id="24" w:name="_Toc21700"/>
      <w:r>
        <w:rPr>
          <w:rFonts w:hint="eastAsia" w:ascii="宋体" w:hAnsi="宋体" w:eastAsia="宋体"/>
          <w:color w:val="252525"/>
          <w:sz w:val="28"/>
          <w:szCs w:val="28"/>
        </w:rPr>
        <w:t>7.1 本公司投融资所产生的环境影响</w:t>
      </w:r>
      <w:bookmarkEnd w:id="24"/>
    </w:p>
    <w:p>
      <w:pPr>
        <w:pStyle w:val="31"/>
        <w:spacing w:line="360" w:lineRule="auto"/>
        <w:ind w:firstLine="0" w:firstLineChars="0"/>
        <w:outlineLvl w:val="2"/>
        <w:rPr>
          <w:rFonts w:hint="eastAsia" w:ascii="宋体" w:hAnsi="宋体" w:eastAsia="宋体"/>
          <w:color w:val="252525"/>
          <w:sz w:val="28"/>
          <w:szCs w:val="28"/>
        </w:rPr>
      </w:pPr>
      <w:r>
        <w:rPr>
          <w:rFonts w:hint="eastAsia" w:ascii="宋体" w:hAnsi="宋体" w:eastAsia="宋体"/>
          <w:color w:val="252525"/>
          <w:sz w:val="28"/>
          <w:szCs w:val="28"/>
        </w:rPr>
        <w:t>7.1.1整体绿色投融资情况及其对环境的影响</w:t>
      </w:r>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截至</w:t>
      </w:r>
      <w:r>
        <w:rPr>
          <w:rFonts w:ascii="宋体" w:hAnsi="宋体" w:eastAsia="宋体"/>
          <w:color w:val="252525"/>
          <w:sz w:val="28"/>
          <w:szCs w:val="28"/>
        </w:rPr>
        <w:t>202</w:t>
      </w:r>
      <w:r>
        <w:rPr>
          <w:rFonts w:hint="eastAsia" w:ascii="宋体" w:hAnsi="宋体" w:eastAsia="宋体"/>
          <w:color w:val="252525"/>
          <w:sz w:val="28"/>
          <w:szCs w:val="28"/>
        </w:rPr>
        <w:t>3年</w:t>
      </w:r>
      <w:r>
        <w:rPr>
          <w:rFonts w:ascii="宋体" w:hAnsi="宋体" w:eastAsia="宋体"/>
          <w:color w:val="252525"/>
          <w:sz w:val="28"/>
          <w:szCs w:val="28"/>
        </w:rPr>
        <w:t>12</w:t>
      </w:r>
      <w:r>
        <w:rPr>
          <w:rFonts w:hint="eastAsia" w:ascii="宋体" w:hAnsi="宋体" w:eastAsia="宋体"/>
          <w:color w:val="252525"/>
          <w:sz w:val="28"/>
          <w:szCs w:val="28"/>
        </w:rPr>
        <w:t>月末，本公司绿色贷款余额2.73亿元，占全部贷款余额的2.79%，其中流动资金贷款余额1.34亿元，票据贴现余额1.39亿元</w:t>
      </w:r>
      <w:r>
        <w:rPr>
          <w:rFonts w:ascii="宋体" w:hAnsi="宋体" w:eastAsia="宋体"/>
          <w:color w:val="252525"/>
          <w:sz w:val="28"/>
          <w:szCs w:val="28"/>
        </w:rPr>
        <w:t>。本公司绿色信贷全部投向节能环保产业，包括</w:t>
      </w:r>
      <w:r>
        <w:rPr>
          <w:rFonts w:hint="eastAsia" w:ascii="宋体" w:hAnsi="宋体" w:eastAsia="宋体"/>
          <w:color w:val="252525"/>
          <w:sz w:val="28"/>
          <w:szCs w:val="28"/>
        </w:rPr>
        <w:t>资源循环利用1.54亿元和</w:t>
      </w:r>
      <w:r>
        <w:rPr>
          <w:rFonts w:ascii="宋体" w:hAnsi="宋体" w:eastAsia="宋体"/>
          <w:color w:val="252525"/>
          <w:sz w:val="28"/>
          <w:szCs w:val="28"/>
        </w:rPr>
        <w:t>高效节能装备制造</w:t>
      </w:r>
      <w:r>
        <w:rPr>
          <w:rFonts w:hint="eastAsia" w:ascii="宋体" w:hAnsi="宋体" w:eastAsia="宋体"/>
          <w:color w:val="252525"/>
          <w:sz w:val="28"/>
          <w:szCs w:val="28"/>
        </w:rPr>
        <w:t>1.19亿元。其中，投向资源循环利用的企业主营废弃物的回收与处置，</w:t>
      </w:r>
      <w:r>
        <w:rPr>
          <w:rFonts w:ascii="宋体" w:hAnsi="宋体" w:eastAsia="宋体"/>
          <w:color w:val="252525"/>
          <w:sz w:val="28"/>
          <w:szCs w:val="28"/>
        </w:rPr>
        <w:t>2023年度实现回收废旧铁及其合金、铝及其合金、锌及其合金、塑料</w:t>
      </w:r>
      <w:r>
        <w:rPr>
          <w:rFonts w:hint="eastAsia" w:ascii="宋体" w:hAnsi="宋体" w:eastAsia="宋体"/>
          <w:color w:val="252525"/>
          <w:sz w:val="28"/>
          <w:szCs w:val="28"/>
        </w:rPr>
        <w:t>、锂料</w:t>
      </w:r>
      <w:r>
        <w:rPr>
          <w:rFonts w:ascii="宋体" w:hAnsi="宋体" w:eastAsia="宋体"/>
          <w:color w:val="252525"/>
          <w:sz w:val="28"/>
          <w:szCs w:val="28"/>
        </w:rPr>
        <w:t>等废弃物约</w:t>
      </w:r>
      <w:r>
        <w:rPr>
          <w:rFonts w:hint="eastAsia" w:ascii="宋体" w:hAnsi="宋体" w:eastAsia="宋体"/>
          <w:color w:val="252525"/>
          <w:sz w:val="28"/>
          <w:szCs w:val="28"/>
        </w:rPr>
        <w:t>44,456</w:t>
      </w:r>
      <w:r>
        <w:rPr>
          <w:rFonts w:ascii="宋体" w:hAnsi="宋体" w:eastAsia="宋体"/>
          <w:color w:val="252525"/>
          <w:sz w:val="28"/>
          <w:szCs w:val="28"/>
        </w:rPr>
        <w:t>吨，回收废旧电池</w:t>
      </w:r>
      <w:r>
        <w:rPr>
          <w:rFonts w:hint="eastAsia" w:ascii="宋体" w:hAnsi="宋体" w:eastAsia="宋体"/>
          <w:color w:val="252525"/>
          <w:sz w:val="28"/>
          <w:szCs w:val="28"/>
        </w:rPr>
        <w:t>7,920</w:t>
      </w:r>
      <w:r>
        <w:rPr>
          <w:rFonts w:ascii="宋体" w:hAnsi="宋体" w:eastAsia="宋体"/>
          <w:color w:val="252525"/>
          <w:sz w:val="28"/>
          <w:szCs w:val="28"/>
        </w:rPr>
        <w:t>吨，</w:t>
      </w:r>
      <w:r>
        <w:rPr>
          <w:rFonts w:hint="eastAsia" w:ascii="宋体" w:hAnsi="宋体" w:eastAsia="宋体"/>
          <w:color w:val="252525"/>
          <w:sz w:val="28"/>
          <w:szCs w:val="28"/>
        </w:rPr>
        <w:t xml:space="preserve">有利于减少废弃物污染和材料浪费，并为资源再造提供可能。 </w:t>
      </w:r>
      <w:r>
        <w:rPr>
          <w:rFonts w:ascii="宋体" w:hAnsi="宋体" w:eastAsia="宋体"/>
          <w:color w:val="252525"/>
          <w:sz w:val="28"/>
          <w:szCs w:val="28"/>
        </w:rPr>
        <w:t xml:space="preserve">            </w:t>
      </w:r>
    </w:p>
    <w:p>
      <w:pPr>
        <w:spacing w:line="360" w:lineRule="auto"/>
        <w:ind w:firstLine="2424" w:firstLineChars="1150"/>
        <w:rPr>
          <w:rFonts w:hint="eastAsia" w:ascii="宋体" w:hAnsi="宋体" w:eastAsia="宋体" w:cs="宋体"/>
          <w:b/>
          <w:bCs/>
          <w:szCs w:val="21"/>
        </w:rPr>
      </w:pPr>
      <w:r>
        <w:rPr>
          <w:rFonts w:hint="eastAsia" w:ascii="宋体" w:hAnsi="宋体" w:eastAsia="宋体" w:cs="宋体"/>
          <w:b/>
          <w:bCs/>
          <w:szCs w:val="21"/>
        </w:rPr>
        <w:t>表</w:t>
      </w:r>
      <w:r>
        <w:rPr>
          <w:rFonts w:ascii="宋体" w:hAnsi="宋体" w:eastAsia="宋体" w:cs="宋体"/>
          <w:b/>
          <w:bCs/>
          <w:szCs w:val="21"/>
        </w:rPr>
        <w:t>2</w:t>
      </w:r>
      <w:r>
        <w:rPr>
          <w:rFonts w:hint="eastAsia" w:ascii="宋体" w:hAnsi="宋体" w:eastAsia="宋体" w:cs="宋体"/>
          <w:b/>
          <w:bCs/>
          <w:szCs w:val="21"/>
        </w:rPr>
        <w:t>：本公司投融资对环境影响数据表</w:t>
      </w:r>
    </w:p>
    <w:tbl>
      <w:tblPr>
        <w:tblStyle w:val="26"/>
        <w:tblW w:w="8406"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2406"/>
        <w:gridCol w:w="3780"/>
        <w:gridCol w:w="222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394" w:hRule="atLeast"/>
        </w:trPr>
        <w:tc>
          <w:tcPr>
            <w:tcW w:w="2406" w:type="dxa"/>
            <w:tcBorders>
              <w:top w:val="single" w:color="FFFFFF" w:sz="4" w:space="0"/>
              <w:left w:val="single" w:color="FFFFFF" w:sz="4" w:space="0"/>
              <w:bottom w:val="single" w:color="FFFFFF" w:sz="4" w:space="0"/>
              <w:right w:val="single" w:color="FFFFFF" w:sz="4" w:space="0"/>
              <w:tl2br w:val="nil"/>
              <w:tr2bl w:val="nil"/>
            </w:tcBorders>
            <w:shd w:val="clear" w:color="auto" w:fill="215D66"/>
          </w:tcPr>
          <w:p>
            <w:pPr>
              <w:widowControl/>
              <w:jc w:val="center"/>
              <w:rPr>
                <w:rFonts w:hint="eastAsia" w:ascii="宋体" w:hAnsi="宋体" w:eastAsia="宋体" w:cs="宋体"/>
                <w:b/>
                <w:bCs/>
                <w:color w:val="FFFFFF"/>
                <w:kern w:val="0"/>
                <w:szCs w:val="21"/>
              </w:rPr>
            </w:pPr>
            <w:r>
              <w:rPr>
                <w:rFonts w:hint="eastAsia" w:ascii="宋体" w:hAnsi="宋体" w:eastAsia="宋体" w:cs="宋体"/>
                <w:b/>
                <w:bCs/>
                <w:color w:val="FFFFFF"/>
                <w:kern w:val="0"/>
                <w:szCs w:val="21"/>
              </w:rPr>
              <w:t>指标名称</w:t>
            </w:r>
          </w:p>
        </w:tc>
        <w:tc>
          <w:tcPr>
            <w:tcW w:w="3780" w:type="dxa"/>
            <w:tcBorders>
              <w:top w:val="single" w:color="FFFFFF" w:sz="4" w:space="0"/>
              <w:left w:val="single" w:color="FFFFFF" w:sz="4" w:space="0"/>
              <w:bottom w:val="nil"/>
              <w:right w:val="single" w:color="FFFFFF" w:sz="4" w:space="0"/>
              <w:tl2br w:val="nil"/>
              <w:tr2bl w:val="nil"/>
            </w:tcBorders>
            <w:shd w:val="clear" w:color="auto" w:fill="215D66"/>
          </w:tcPr>
          <w:p>
            <w:pPr>
              <w:widowControl/>
              <w:jc w:val="center"/>
              <w:rPr>
                <w:rFonts w:hint="eastAsia" w:ascii="宋体" w:hAnsi="宋体" w:eastAsia="宋体" w:cs="宋体"/>
                <w:b/>
                <w:bCs/>
                <w:color w:val="FFFFFF"/>
                <w:kern w:val="0"/>
                <w:szCs w:val="21"/>
              </w:rPr>
            </w:pPr>
            <w:r>
              <w:rPr>
                <w:rFonts w:hint="eastAsia" w:ascii="宋体" w:hAnsi="宋体" w:eastAsia="宋体" w:cs="宋体"/>
                <w:b/>
                <w:bCs/>
                <w:color w:val="FFFFFF"/>
                <w:kern w:val="0"/>
                <w:szCs w:val="21"/>
              </w:rPr>
              <w:t>披露细项</w:t>
            </w:r>
          </w:p>
        </w:tc>
        <w:tc>
          <w:tcPr>
            <w:tcW w:w="2220" w:type="dxa"/>
            <w:tcBorders>
              <w:top w:val="single" w:color="FFFFFF" w:sz="4" w:space="0"/>
              <w:left w:val="single" w:color="FFFFFF" w:sz="4" w:space="0"/>
              <w:bottom w:val="nil"/>
              <w:right w:val="single" w:color="FFFFFF" w:sz="4" w:space="0"/>
              <w:tl2br w:val="nil"/>
              <w:tr2bl w:val="nil"/>
            </w:tcBorders>
            <w:shd w:val="clear" w:color="auto" w:fill="215D66"/>
          </w:tcPr>
          <w:p>
            <w:pPr>
              <w:widowControl/>
              <w:jc w:val="center"/>
              <w:rPr>
                <w:rFonts w:hint="eastAsia" w:ascii="宋体" w:hAnsi="宋体" w:eastAsia="宋体" w:cs="宋体"/>
                <w:b/>
                <w:bCs/>
                <w:color w:val="FFFFFF"/>
                <w:kern w:val="0"/>
                <w:szCs w:val="21"/>
              </w:rPr>
            </w:pPr>
            <w:r>
              <w:rPr>
                <w:rFonts w:hint="eastAsia" w:ascii="宋体" w:hAnsi="宋体" w:eastAsia="宋体" w:cs="宋体"/>
                <w:b/>
                <w:bCs/>
                <w:color w:val="FFFFFF"/>
                <w:kern w:val="0"/>
                <w:szCs w:val="21"/>
              </w:rPr>
              <w:t>披露数据</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394" w:hRule="atLeast"/>
        </w:trPr>
        <w:tc>
          <w:tcPr>
            <w:tcW w:w="2406" w:type="dxa"/>
            <w:vMerge w:val="restart"/>
            <w:tcBorders>
              <w:top w:val="single" w:color="FFFFFF" w:sz="4" w:space="0"/>
              <w:left w:val="single" w:color="FFFFFF" w:sz="4" w:space="0"/>
              <w:bottom w:val="single" w:color="FFFFFF" w:sz="4" w:space="0"/>
              <w:right w:val="nil"/>
              <w:tl2br w:val="nil"/>
              <w:tr2bl w:val="nil"/>
            </w:tcBorders>
            <w:shd w:val="clear" w:color="auto" w:fill="DAF0F3"/>
            <w:vAlign w:val="center"/>
          </w:tcPr>
          <w:p>
            <w:pPr>
              <w:widowControl/>
              <w:jc w:val="center"/>
              <w:rPr>
                <w:rFonts w:hint="eastAsia" w:ascii="宋体" w:hAnsi="宋体" w:eastAsia="宋体" w:cs="宋体"/>
                <w:b/>
                <w:bCs/>
                <w:color w:val="000000"/>
                <w:kern w:val="0"/>
                <w:szCs w:val="21"/>
              </w:rPr>
            </w:pPr>
            <w:r>
              <w:rPr>
                <w:rFonts w:hint="eastAsia" w:ascii="宋体" w:hAnsi="宋体" w:eastAsia="宋体" w:cs="宋体"/>
                <w:b/>
                <w:bCs/>
                <w:color w:val="000000"/>
                <w:kern w:val="0"/>
                <w:szCs w:val="21"/>
              </w:rPr>
              <w:t>绿色信贷余额及占比</w:t>
            </w:r>
          </w:p>
        </w:tc>
        <w:tc>
          <w:tcPr>
            <w:tcW w:w="3780" w:type="dxa"/>
            <w:shd w:val="clear" w:color="auto" w:fill="B6E1E7"/>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绿色信贷余额（亿元）</w:t>
            </w:r>
          </w:p>
        </w:tc>
        <w:tc>
          <w:tcPr>
            <w:tcW w:w="2220" w:type="dxa"/>
            <w:shd w:val="clear" w:color="auto" w:fill="B6E1E7"/>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2.73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394" w:hRule="atLeast"/>
        </w:trPr>
        <w:tc>
          <w:tcPr>
            <w:tcW w:w="2406" w:type="dxa"/>
            <w:vMerge w:val="continue"/>
            <w:tcBorders>
              <w:top w:val="single" w:color="FFFFFF" w:sz="4" w:space="0"/>
              <w:left w:val="single" w:color="FFFFFF" w:sz="4" w:space="0"/>
              <w:bottom w:val="single" w:color="FFFFFF" w:sz="4" w:space="0"/>
              <w:right w:val="nil"/>
              <w:tl2br w:val="nil"/>
              <w:tr2bl w:val="nil"/>
            </w:tcBorders>
            <w:shd w:val="clear" w:color="auto" w:fill="DAF0F3"/>
            <w:vAlign w:val="center"/>
          </w:tcPr>
          <w:p>
            <w:pPr>
              <w:widowControl/>
              <w:jc w:val="center"/>
              <w:rPr>
                <w:rFonts w:hint="eastAsia" w:ascii="宋体" w:hAnsi="宋体" w:eastAsia="宋体" w:cs="宋体"/>
                <w:b/>
                <w:bCs/>
                <w:color w:val="000000"/>
                <w:kern w:val="0"/>
                <w:szCs w:val="21"/>
              </w:rPr>
            </w:pPr>
          </w:p>
        </w:tc>
        <w:tc>
          <w:tcPr>
            <w:tcW w:w="3780" w:type="dxa"/>
            <w:shd w:val="clear" w:color="auto" w:fill="DAF0F3"/>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各项贷款余额（亿元）</w:t>
            </w:r>
          </w:p>
        </w:tc>
        <w:tc>
          <w:tcPr>
            <w:tcW w:w="2220" w:type="dxa"/>
            <w:shd w:val="clear" w:color="auto" w:fill="DAF0F3"/>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97.97</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394" w:hRule="atLeast"/>
        </w:trPr>
        <w:tc>
          <w:tcPr>
            <w:tcW w:w="2406" w:type="dxa"/>
            <w:vMerge w:val="continue"/>
            <w:tcBorders>
              <w:top w:val="single" w:color="FFFFFF" w:sz="4" w:space="0"/>
              <w:left w:val="single" w:color="FFFFFF" w:sz="4" w:space="0"/>
              <w:bottom w:val="single" w:color="FFFFFF" w:sz="4" w:space="0"/>
              <w:right w:val="nil"/>
              <w:tl2br w:val="nil"/>
              <w:tr2bl w:val="nil"/>
            </w:tcBorders>
            <w:shd w:val="clear" w:color="auto" w:fill="DAF0F3"/>
            <w:vAlign w:val="center"/>
          </w:tcPr>
          <w:p>
            <w:pPr>
              <w:widowControl/>
              <w:jc w:val="center"/>
              <w:rPr>
                <w:rFonts w:hint="eastAsia" w:ascii="宋体" w:hAnsi="宋体" w:eastAsia="宋体" w:cs="宋体"/>
                <w:b/>
                <w:bCs/>
                <w:color w:val="000000"/>
                <w:kern w:val="0"/>
                <w:szCs w:val="21"/>
              </w:rPr>
            </w:pPr>
          </w:p>
        </w:tc>
        <w:tc>
          <w:tcPr>
            <w:tcW w:w="3780" w:type="dxa"/>
            <w:shd w:val="clear" w:color="auto" w:fill="B6E1E7"/>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绿色信贷占比（%）</w:t>
            </w:r>
          </w:p>
        </w:tc>
        <w:tc>
          <w:tcPr>
            <w:tcW w:w="2220" w:type="dxa"/>
            <w:shd w:val="clear" w:color="auto" w:fill="B6E1E7"/>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2.79%</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394" w:hRule="atLeast"/>
        </w:trPr>
        <w:tc>
          <w:tcPr>
            <w:tcW w:w="2406" w:type="dxa"/>
            <w:vMerge w:val="restart"/>
            <w:tcBorders>
              <w:top w:val="single" w:color="FFFFFF" w:sz="4" w:space="0"/>
              <w:left w:val="single" w:color="FFFFFF" w:sz="4" w:space="0"/>
              <w:right w:val="nil"/>
              <w:tl2br w:val="nil"/>
              <w:tr2bl w:val="nil"/>
            </w:tcBorders>
            <w:shd w:val="clear" w:color="auto" w:fill="DAF0F3"/>
            <w:vAlign w:val="center"/>
          </w:tcPr>
          <w:p>
            <w:pPr>
              <w:widowControl/>
              <w:ind w:firstLine="422" w:firstLineChars="200"/>
              <w:rPr>
                <w:rFonts w:hint="eastAsia" w:ascii="宋体" w:hAnsi="宋体" w:eastAsia="宋体" w:cs="宋体"/>
                <w:b/>
                <w:bCs/>
                <w:color w:val="000000"/>
                <w:kern w:val="0"/>
                <w:szCs w:val="21"/>
              </w:rPr>
            </w:pPr>
            <w:r>
              <w:rPr>
                <w:rFonts w:hint="eastAsia" w:ascii="宋体" w:hAnsi="宋体" w:eastAsia="宋体" w:cs="宋体"/>
                <w:b/>
                <w:bCs/>
                <w:color w:val="000000"/>
                <w:kern w:val="0"/>
                <w:szCs w:val="21"/>
              </w:rPr>
              <w:t>废旧金属回收量</w:t>
            </w:r>
          </w:p>
        </w:tc>
        <w:tc>
          <w:tcPr>
            <w:tcW w:w="3780" w:type="dxa"/>
            <w:shd w:val="clear" w:color="auto" w:fill="DAF0F3"/>
          </w:tcPr>
          <w:p>
            <w:pPr>
              <w:widowControl/>
              <w:jc w:val="center"/>
              <w:rPr>
                <w:rFonts w:hint="eastAsia" w:ascii="宋体" w:hAnsi="宋体" w:eastAsia="宋体" w:cs="宋体"/>
                <w:color w:val="000000"/>
                <w:kern w:val="0"/>
                <w:szCs w:val="21"/>
              </w:rPr>
            </w:pPr>
            <w:r>
              <w:rPr>
                <w:rFonts w:ascii="宋体" w:hAnsi="宋体" w:eastAsia="宋体" w:cs="宋体"/>
                <w:color w:val="000000"/>
                <w:kern w:val="0"/>
                <w:szCs w:val="21"/>
              </w:rPr>
              <w:t>废旧铁及其合金、铝及其合金、锌及其合金、塑料等</w:t>
            </w:r>
            <w:r>
              <w:rPr>
                <w:rFonts w:hint="eastAsia" w:ascii="宋体" w:hAnsi="宋体" w:eastAsia="宋体" w:cs="宋体"/>
                <w:color w:val="000000"/>
                <w:kern w:val="0"/>
                <w:szCs w:val="21"/>
              </w:rPr>
              <w:t>（吨）</w:t>
            </w:r>
          </w:p>
        </w:tc>
        <w:tc>
          <w:tcPr>
            <w:tcW w:w="2220" w:type="dxa"/>
            <w:shd w:val="clear" w:color="auto" w:fill="DAF0F3"/>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44,456</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394" w:hRule="atLeast"/>
        </w:trPr>
        <w:tc>
          <w:tcPr>
            <w:tcW w:w="2406" w:type="dxa"/>
            <w:vMerge w:val="continue"/>
            <w:tcBorders>
              <w:left w:val="single" w:color="FFFFFF" w:sz="4" w:space="0"/>
              <w:bottom w:val="single" w:color="FFFFFF" w:sz="4" w:space="0"/>
              <w:right w:val="nil"/>
              <w:tl2br w:val="nil"/>
              <w:tr2bl w:val="nil"/>
            </w:tcBorders>
            <w:shd w:val="clear" w:color="auto" w:fill="DAF0F3"/>
            <w:vAlign w:val="center"/>
          </w:tcPr>
          <w:p>
            <w:pPr>
              <w:widowControl/>
              <w:ind w:firstLine="422" w:firstLineChars="200"/>
              <w:rPr>
                <w:rFonts w:hint="eastAsia" w:ascii="宋体" w:hAnsi="宋体" w:eastAsia="宋体" w:cs="宋体"/>
                <w:b/>
                <w:bCs/>
                <w:color w:val="000000"/>
                <w:kern w:val="0"/>
                <w:szCs w:val="21"/>
              </w:rPr>
            </w:pPr>
          </w:p>
        </w:tc>
        <w:tc>
          <w:tcPr>
            <w:tcW w:w="3780" w:type="dxa"/>
            <w:shd w:val="clear" w:color="auto" w:fill="DAF0F3"/>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废旧电池回收（吨）</w:t>
            </w:r>
          </w:p>
        </w:tc>
        <w:tc>
          <w:tcPr>
            <w:tcW w:w="2220" w:type="dxa"/>
            <w:shd w:val="clear" w:color="auto" w:fill="DAF0F3"/>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7,920</w:t>
            </w:r>
          </w:p>
        </w:tc>
      </w:tr>
    </w:tbl>
    <w:p>
      <w:pPr>
        <w:pStyle w:val="31"/>
        <w:spacing w:line="360" w:lineRule="auto"/>
        <w:ind w:firstLine="0" w:firstLineChars="0"/>
        <w:outlineLvl w:val="2"/>
        <w:rPr>
          <w:rFonts w:hint="eastAsia" w:ascii="宋体" w:hAnsi="宋体" w:eastAsia="宋体"/>
          <w:color w:val="252525"/>
          <w:sz w:val="28"/>
          <w:szCs w:val="28"/>
        </w:rPr>
      </w:pPr>
      <w:r>
        <w:rPr>
          <w:rFonts w:hint="eastAsia" w:ascii="宋体" w:hAnsi="宋体" w:eastAsia="宋体"/>
          <w:color w:val="252525"/>
          <w:sz w:val="28"/>
          <w:szCs w:val="28"/>
        </w:rPr>
        <w:t>7.1.2客户投融资情况及其对环境的影响</w:t>
      </w:r>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本公司从2023年度贷款占比前10位的行业中选取了</w:t>
      </w:r>
      <w:r>
        <w:rPr>
          <w:rFonts w:ascii="宋体" w:hAnsi="宋体" w:eastAsia="宋体"/>
          <w:color w:val="252525"/>
          <w:sz w:val="28"/>
          <w:szCs w:val="28"/>
        </w:rPr>
        <w:t>6</w:t>
      </w:r>
      <w:r>
        <w:rPr>
          <w:rFonts w:hint="eastAsia" w:ascii="宋体" w:hAnsi="宋体" w:eastAsia="宋体"/>
          <w:color w:val="252525"/>
          <w:sz w:val="28"/>
          <w:szCs w:val="28"/>
        </w:rPr>
        <w:t>户具有代表性的客户进行测算。2</w:t>
      </w:r>
      <w:r>
        <w:rPr>
          <w:rFonts w:ascii="宋体" w:hAnsi="宋体" w:eastAsia="宋体"/>
          <w:color w:val="252525"/>
          <w:sz w:val="28"/>
          <w:szCs w:val="28"/>
        </w:rPr>
        <w:t>02</w:t>
      </w:r>
      <w:r>
        <w:rPr>
          <w:rFonts w:hint="eastAsia" w:ascii="宋体" w:hAnsi="宋体" w:eastAsia="宋体"/>
          <w:color w:val="252525"/>
          <w:sz w:val="28"/>
          <w:szCs w:val="28"/>
        </w:rPr>
        <w:t>3年度本公司对该</w:t>
      </w:r>
      <w:r>
        <w:rPr>
          <w:rFonts w:ascii="宋体" w:hAnsi="宋体" w:eastAsia="宋体"/>
          <w:color w:val="252525"/>
          <w:sz w:val="28"/>
          <w:szCs w:val="28"/>
        </w:rPr>
        <w:t>6</w:t>
      </w:r>
      <w:r>
        <w:rPr>
          <w:rFonts w:hint="eastAsia" w:ascii="宋体" w:hAnsi="宋体" w:eastAsia="宋体"/>
          <w:color w:val="252525"/>
          <w:sz w:val="28"/>
          <w:szCs w:val="28"/>
        </w:rPr>
        <w:t>户企业提供的融资业务均为非项目融资业务，经测算，合计碳排放量为5,905.06吨。</w:t>
      </w:r>
    </w:p>
    <w:p>
      <w:pPr>
        <w:jc w:val="center"/>
        <w:rPr>
          <w:rFonts w:hint="eastAsia" w:ascii="宋体" w:hAnsi="宋体" w:eastAsia="宋体" w:cs="宋体"/>
          <w:b/>
          <w:bCs/>
          <w:szCs w:val="21"/>
        </w:rPr>
      </w:pPr>
      <w:r>
        <w:rPr>
          <w:rFonts w:hint="eastAsia" w:ascii="宋体" w:hAnsi="宋体" w:eastAsia="宋体" w:cs="宋体"/>
          <w:b/>
          <w:bCs/>
          <w:szCs w:val="21"/>
        </w:rPr>
        <w:t>表</w:t>
      </w:r>
      <w:r>
        <w:rPr>
          <w:rFonts w:ascii="宋体" w:hAnsi="宋体" w:eastAsia="宋体" w:cs="宋体"/>
          <w:b/>
          <w:bCs/>
          <w:szCs w:val="21"/>
        </w:rPr>
        <w:t>3</w:t>
      </w:r>
      <w:r>
        <w:rPr>
          <w:rFonts w:hint="eastAsia" w:ascii="宋体" w:hAnsi="宋体" w:eastAsia="宋体" w:cs="宋体"/>
          <w:b/>
          <w:bCs/>
          <w:szCs w:val="21"/>
        </w:rPr>
        <w:t>：本公司非项目融资业务主体情况</w:t>
      </w:r>
    </w:p>
    <w:tbl>
      <w:tblPr>
        <w:tblStyle w:val="26"/>
        <w:tblW w:w="8306" w:type="dxa"/>
        <w:jc w:val="center"/>
        <w:tblInd w:w="0" w:type="dxa"/>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71"/>
        <w:gridCol w:w="1197"/>
        <w:gridCol w:w="1206"/>
        <w:gridCol w:w="1204"/>
        <w:gridCol w:w="1201"/>
        <w:gridCol w:w="995"/>
        <w:gridCol w:w="1432"/>
      </w:tblGrid>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7" w:hRule="atLeast"/>
          <w:jc w:val="center"/>
        </w:trPr>
        <w:tc>
          <w:tcPr>
            <w:tcW w:w="8306" w:type="dxa"/>
            <w:gridSpan w:val="7"/>
            <w:tcBorders>
              <w:top w:val="double" w:color="222F28" w:sz="4" w:space="0"/>
              <w:left w:val="nil"/>
              <w:bottom w:val="double" w:color="222F28" w:sz="4" w:space="0"/>
              <w:right w:val="nil"/>
              <w:tl2br w:val="nil"/>
              <w:tr2bl w:val="nil"/>
            </w:tcBorders>
            <w:shd w:val="clear" w:color="auto" w:fill="4AB5C4"/>
            <w:vAlign w:val="center"/>
          </w:tcPr>
          <w:p>
            <w:pPr>
              <w:pStyle w:val="34"/>
              <w:jc w:val="center"/>
              <w:rPr>
                <w:rFonts w:hint="eastAsia" w:ascii="宋体" w:hAnsi="宋体" w:eastAsia="宋体" w:cs="仿宋_GB2312"/>
                <w:b/>
                <w:bCs/>
                <w:color w:val="auto"/>
                <w:kern w:val="0"/>
                <w:sz w:val="22"/>
                <w:lang w:val="zh-TW"/>
              </w:rPr>
            </w:pPr>
            <w:r>
              <w:rPr>
                <w:rFonts w:hint="eastAsia" w:ascii="宋体" w:hAnsi="宋体" w:eastAsia="宋体" w:cs="仿宋_GB2312"/>
                <w:b/>
                <w:bCs/>
                <w:color w:val="auto"/>
                <w:kern w:val="0"/>
                <w:sz w:val="22"/>
                <w:lang w:val="zh-TW"/>
              </w:rPr>
              <w:t>企业融资基本信息</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7" w:hRule="atLeast"/>
          <w:jc w:val="center"/>
        </w:trPr>
        <w:tc>
          <w:tcPr>
            <w:tcW w:w="1071" w:type="dxa"/>
            <w:tcBorders>
              <w:top w:val="double" w:color="222F28" w:sz="4" w:space="0"/>
              <w:left w:val="nil"/>
              <w:bottom w:val="double" w:color="222F28" w:sz="4" w:space="0"/>
              <w:right w:val="nil"/>
              <w:tl2br w:val="nil"/>
              <w:tr2bl w:val="nil"/>
            </w:tcBorders>
            <w:shd w:val="clear" w:color="auto" w:fill="215D66"/>
            <w:vAlign w:val="center"/>
          </w:tcPr>
          <w:p>
            <w:pPr>
              <w:pStyle w:val="34"/>
              <w:jc w:val="center"/>
              <w:rPr>
                <w:rFonts w:hint="eastAsia" w:ascii="宋体" w:hAnsi="宋体" w:eastAsia="宋体" w:cs="仿宋_GB2312"/>
                <w:b/>
                <w:bCs/>
                <w:color w:val="FFFFFF"/>
                <w:kern w:val="0"/>
                <w:sz w:val="22"/>
                <w:lang w:val="zh-TW"/>
              </w:rPr>
            </w:pPr>
            <w:bookmarkStart w:id="25" w:name="_Hlk87627129"/>
            <w:r>
              <w:rPr>
                <w:rFonts w:hint="eastAsia" w:ascii="宋体" w:hAnsi="宋体" w:eastAsia="宋体" w:cs="仿宋_GB2312"/>
                <w:b/>
                <w:bCs/>
                <w:color w:val="FFFFFF"/>
                <w:kern w:val="0"/>
                <w:sz w:val="22"/>
                <w:lang w:val="zh-TW"/>
              </w:rPr>
              <w:t>企业名称</w:t>
            </w:r>
          </w:p>
        </w:tc>
        <w:tc>
          <w:tcPr>
            <w:tcW w:w="2403" w:type="dxa"/>
            <w:gridSpan w:val="2"/>
            <w:tcBorders>
              <w:top w:val="double" w:color="222F28" w:sz="4" w:space="0"/>
              <w:bottom w:val="double" w:color="222F28" w:sz="4" w:space="0"/>
            </w:tcBorders>
            <w:shd w:val="clear" w:color="auto" w:fill="215D66"/>
            <w:vAlign w:val="center"/>
          </w:tcPr>
          <w:p>
            <w:pPr>
              <w:pStyle w:val="34"/>
              <w:jc w:val="center"/>
              <w:rPr>
                <w:rFonts w:hint="eastAsia" w:ascii="宋体" w:hAnsi="宋体" w:eastAsia="PMingLiU" w:cs="仿宋_GB2312"/>
                <w:b/>
                <w:bCs/>
                <w:color w:val="FFFFFF"/>
                <w:kern w:val="0"/>
                <w:sz w:val="22"/>
                <w:lang w:val="zh-TW" w:eastAsia="zh-TW"/>
              </w:rPr>
            </w:pPr>
            <w:r>
              <w:rPr>
                <w:rFonts w:hint="eastAsia" w:ascii="宋体" w:hAnsi="宋体" w:eastAsia="宋体" w:cs="仿宋_GB2312"/>
                <w:b/>
                <w:bCs/>
                <w:color w:val="FFFFFF"/>
                <w:kern w:val="0"/>
                <w:sz w:val="22"/>
                <w:lang w:val="zh-TW" w:eastAsia="zh-TW"/>
              </w:rPr>
              <w:t>行业类型</w:t>
            </w:r>
          </w:p>
        </w:tc>
        <w:tc>
          <w:tcPr>
            <w:tcW w:w="2405" w:type="dxa"/>
            <w:gridSpan w:val="2"/>
            <w:tcBorders>
              <w:top w:val="double" w:color="222F28" w:sz="4" w:space="0"/>
              <w:bottom w:val="double" w:color="222F28" w:sz="4" w:space="0"/>
            </w:tcBorders>
            <w:shd w:val="clear" w:color="auto" w:fill="215D66"/>
            <w:vAlign w:val="center"/>
          </w:tcPr>
          <w:p>
            <w:pPr>
              <w:pStyle w:val="34"/>
              <w:jc w:val="center"/>
              <w:rPr>
                <w:rFonts w:hint="eastAsia" w:ascii="宋体" w:hAnsi="宋体" w:eastAsia="宋体" w:cs="仿宋_GB2312"/>
                <w:b/>
                <w:bCs/>
                <w:color w:val="FFFFFF"/>
                <w:kern w:val="0"/>
                <w:sz w:val="22"/>
                <w:lang w:val="zh-TW"/>
              </w:rPr>
            </w:pPr>
            <w:r>
              <w:rPr>
                <w:rFonts w:hint="eastAsia" w:ascii="宋体" w:hAnsi="宋体" w:eastAsia="宋体" w:cs="仿宋_GB2312"/>
                <w:b/>
                <w:bCs/>
                <w:color w:val="FFFFFF"/>
                <w:kern w:val="0"/>
                <w:sz w:val="22"/>
                <w:lang w:val="zh-TW"/>
              </w:rPr>
              <w:t>各项贷款月均余额（万元）</w:t>
            </w:r>
          </w:p>
        </w:tc>
        <w:tc>
          <w:tcPr>
            <w:tcW w:w="2427" w:type="dxa"/>
            <w:gridSpan w:val="2"/>
            <w:tcBorders>
              <w:top w:val="double" w:color="222F28" w:sz="4" w:space="0"/>
              <w:bottom w:val="double" w:color="222F28" w:sz="4" w:space="0"/>
            </w:tcBorders>
            <w:shd w:val="clear" w:color="auto" w:fill="215D66"/>
            <w:vAlign w:val="center"/>
          </w:tcPr>
          <w:p>
            <w:pPr>
              <w:pStyle w:val="34"/>
              <w:jc w:val="center"/>
              <w:rPr>
                <w:rFonts w:hint="eastAsia" w:ascii="宋体" w:hAnsi="宋体" w:eastAsia="宋体" w:cs="仿宋_GB2312"/>
                <w:b/>
                <w:bCs/>
                <w:color w:val="FFFFFF"/>
                <w:kern w:val="0"/>
                <w:sz w:val="22"/>
                <w:lang w:val="zh-TW"/>
              </w:rPr>
            </w:pPr>
            <w:r>
              <w:rPr>
                <w:rFonts w:hint="eastAsia" w:ascii="宋体" w:hAnsi="宋体" w:eastAsia="宋体" w:cs="仿宋_GB2312"/>
                <w:b/>
                <w:bCs/>
                <w:color w:val="FFFFFF"/>
                <w:kern w:val="0"/>
                <w:sz w:val="22"/>
                <w:lang w:val="zh-TW"/>
              </w:rPr>
              <w:t>主营业务收入（万元）</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5" w:hRule="atLeast"/>
          <w:jc w:val="center"/>
        </w:trPr>
        <w:tc>
          <w:tcPr>
            <w:tcW w:w="1071" w:type="dxa"/>
            <w:tcBorders>
              <w:top w:val="double" w:color="222F28" w:sz="4" w:space="0"/>
              <w:left w:val="nil"/>
              <w:bottom w:val="double" w:color="222F28" w:sz="4" w:space="0"/>
              <w:right w:val="double" w:color="222F28" w:sz="4" w:space="0"/>
              <w:tl2br w:val="nil"/>
              <w:tr2bl w:val="nil"/>
            </w:tcBorders>
            <w:shd w:val="clear" w:color="auto" w:fill="4AB5C4"/>
            <w:vAlign w:val="center"/>
          </w:tcPr>
          <w:p>
            <w:pPr>
              <w:pStyle w:val="34"/>
              <w:rPr>
                <w:rFonts w:hint="eastAsia" w:ascii="宋体" w:hAnsi="宋体" w:eastAsia="宋体" w:cs="仿宋_GB2312"/>
                <w:b/>
                <w:bCs/>
                <w:color w:val="auto"/>
                <w:kern w:val="0"/>
                <w:szCs w:val="20"/>
              </w:rPr>
            </w:pPr>
            <w:r>
              <w:rPr>
                <w:rFonts w:hint="eastAsia" w:ascii="宋体" w:hAnsi="宋体" w:eastAsia="宋体" w:cs="仿宋_GB2312"/>
                <w:color w:val="auto"/>
                <w:kern w:val="0"/>
                <w:szCs w:val="20"/>
                <w:lang w:val="zh-TW"/>
              </w:rPr>
              <w:t>企业</w:t>
            </w:r>
            <w:r>
              <w:rPr>
                <w:rFonts w:hint="eastAsia" w:ascii="宋体" w:hAnsi="宋体" w:eastAsia="宋体" w:cs="仿宋_GB2312"/>
                <w:color w:val="auto"/>
                <w:kern w:val="0"/>
                <w:szCs w:val="20"/>
              </w:rPr>
              <w:t>G</w:t>
            </w:r>
          </w:p>
        </w:tc>
        <w:tc>
          <w:tcPr>
            <w:tcW w:w="2403" w:type="dxa"/>
            <w:gridSpan w:val="2"/>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cs="仿宋_GB2312"/>
                <w:color w:val="auto"/>
                <w:kern w:val="0"/>
                <w:sz w:val="22"/>
                <w:lang w:val="zh-TW" w:eastAsia="zh-TW"/>
              </w:rPr>
            </w:pPr>
            <w:r>
              <w:rPr>
                <w:rFonts w:hint="eastAsia" w:ascii="宋体" w:hAnsi="宋体" w:eastAsia="宋体" w:cs="仿宋_GB2312"/>
                <w:color w:val="auto"/>
                <w:kern w:val="0"/>
                <w:sz w:val="22"/>
                <w:lang w:val="zh-TW" w:eastAsia="zh-TW"/>
              </w:rPr>
              <w:t>软件和信息技术服务业</w:t>
            </w:r>
          </w:p>
        </w:tc>
        <w:tc>
          <w:tcPr>
            <w:tcW w:w="2405" w:type="dxa"/>
            <w:gridSpan w:val="2"/>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cs="仿宋_GB2312"/>
                <w:color w:val="auto"/>
                <w:kern w:val="0"/>
                <w:sz w:val="22"/>
                <w:szCs w:val="22"/>
                <w:lang w:val="zh-TW" w:eastAsia="zh-TW"/>
              </w:rPr>
            </w:pPr>
            <w:r>
              <w:t>103,654.42</w:t>
            </w:r>
          </w:p>
        </w:tc>
        <w:tc>
          <w:tcPr>
            <w:tcW w:w="2427" w:type="dxa"/>
            <w:gridSpan w:val="2"/>
            <w:tcBorders>
              <w:top w:val="double" w:color="222F28" w:sz="4" w:space="0"/>
              <w:left w:val="double" w:color="222F28" w:sz="4" w:space="0"/>
              <w:bottom w:val="double" w:color="222F28" w:sz="4" w:space="0"/>
              <w:right w:val="nil"/>
            </w:tcBorders>
          </w:tcPr>
          <w:p>
            <w:pPr>
              <w:pStyle w:val="34"/>
              <w:jc w:val="center"/>
              <w:rPr>
                <w:rFonts w:hint="eastAsia" w:ascii="宋体" w:hAnsi="宋体" w:eastAsia="宋体" w:cs="仿宋_GB2312"/>
                <w:color w:val="auto"/>
                <w:kern w:val="0"/>
                <w:sz w:val="22"/>
                <w:szCs w:val="22"/>
              </w:rPr>
            </w:pPr>
            <w:r>
              <w:t>3,323,657.67</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5" w:hRule="atLeast"/>
          <w:jc w:val="center"/>
        </w:trPr>
        <w:tc>
          <w:tcPr>
            <w:tcW w:w="1071" w:type="dxa"/>
            <w:tcBorders>
              <w:top w:val="double" w:color="222F28" w:sz="4" w:space="0"/>
              <w:left w:val="nil"/>
              <w:bottom w:val="double" w:color="222F28" w:sz="4" w:space="0"/>
              <w:right w:val="double" w:color="222F28" w:sz="4" w:space="0"/>
              <w:tl2br w:val="nil"/>
              <w:tr2bl w:val="nil"/>
            </w:tcBorders>
            <w:shd w:val="clear" w:color="auto" w:fill="4AB5C4"/>
            <w:vAlign w:val="center"/>
          </w:tcPr>
          <w:p>
            <w:pPr>
              <w:pStyle w:val="34"/>
              <w:rPr>
                <w:rFonts w:hint="eastAsia" w:ascii="宋体" w:hAnsi="宋体" w:eastAsia="宋体" w:cs="仿宋_GB2312"/>
                <w:b/>
                <w:bCs/>
                <w:color w:val="auto"/>
                <w:kern w:val="0"/>
                <w:sz w:val="22"/>
                <w:lang w:val="zh-TW"/>
              </w:rPr>
            </w:pPr>
            <w:r>
              <w:rPr>
                <w:rFonts w:hint="eastAsia" w:ascii="宋体" w:hAnsi="宋体" w:eastAsia="宋体" w:cs="仿宋_GB2312"/>
                <w:color w:val="auto"/>
                <w:kern w:val="0"/>
                <w:sz w:val="22"/>
                <w:lang w:val="zh-TW"/>
              </w:rPr>
              <w:t>企业</w:t>
            </w:r>
            <w:r>
              <w:rPr>
                <w:rFonts w:hint="eastAsia" w:ascii="宋体" w:hAnsi="宋体" w:eastAsia="宋体" w:cs="仿宋_GB2312"/>
                <w:color w:val="auto"/>
                <w:kern w:val="0"/>
                <w:sz w:val="22"/>
              </w:rPr>
              <w:t>H</w:t>
            </w:r>
          </w:p>
        </w:tc>
        <w:tc>
          <w:tcPr>
            <w:tcW w:w="2403" w:type="dxa"/>
            <w:gridSpan w:val="2"/>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cs="仿宋_GB2312"/>
                <w:color w:val="auto"/>
                <w:kern w:val="0"/>
                <w:sz w:val="22"/>
                <w:lang w:val="zh-TW" w:eastAsia="zh-TW"/>
              </w:rPr>
            </w:pPr>
            <w:r>
              <w:rPr>
                <w:rFonts w:hint="eastAsia" w:ascii="宋体" w:hAnsi="宋体" w:eastAsia="宋体" w:cs="仿宋_GB2312"/>
                <w:color w:val="auto"/>
                <w:kern w:val="0"/>
                <w:sz w:val="22"/>
                <w:lang w:val="zh-TW" w:eastAsia="zh-TW"/>
              </w:rPr>
              <w:t>计算机、通信和其他电子设备制造业</w:t>
            </w:r>
          </w:p>
        </w:tc>
        <w:tc>
          <w:tcPr>
            <w:tcW w:w="2405" w:type="dxa"/>
            <w:gridSpan w:val="2"/>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cs="仿宋_GB2312"/>
                <w:color w:val="auto"/>
                <w:kern w:val="0"/>
                <w:sz w:val="22"/>
                <w:szCs w:val="22"/>
                <w:lang w:val="zh-TW" w:eastAsia="zh-TW"/>
              </w:rPr>
            </w:pPr>
            <w:r>
              <w:t>50,205.75</w:t>
            </w:r>
          </w:p>
        </w:tc>
        <w:tc>
          <w:tcPr>
            <w:tcW w:w="2427" w:type="dxa"/>
            <w:gridSpan w:val="2"/>
            <w:tcBorders>
              <w:top w:val="double" w:color="222F28" w:sz="4" w:space="0"/>
              <w:left w:val="double" w:color="222F28" w:sz="4" w:space="0"/>
              <w:bottom w:val="double" w:color="222F28" w:sz="4" w:space="0"/>
              <w:right w:val="nil"/>
            </w:tcBorders>
          </w:tcPr>
          <w:p>
            <w:pPr>
              <w:pStyle w:val="34"/>
              <w:jc w:val="center"/>
              <w:rPr>
                <w:rFonts w:hint="eastAsia" w:ascii="宋体" w:hAnsi="宋体" w:eastAsia="宋体" w:cs="仿宋_GB2312"/>
                <w:color w:val="auto"/>
                <w:kern w:val="0"/>
                <w:sz w:val="22"/>
                <w:szCs w:val="22"/>
                <w:lang w:val="zh-TW" w:eastAsia="zh-TW"/>
              </w:rPr>
            </w:pPr>
            <w:r>
              <w:t>116,722.39</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5" w:hRule="atLeast"/>
          <w:jc w:val="center"/>
        </w:trPr>
        <w:tc>
          <w:tcPr>
            <w:tcW w:w="1071" w:type="dxa"/>
            <w:tcBorders>
              <w:top w:val="double" w:color="222F28" w:sz="4" w:space="0"/>
              <w:left w:val="nil"/>
              <w:bottom w:val="double" w:color="222F28" w:sz="4" w:space="0"/>
              <w:right w:val="double" w:color="222F28" w:sz="4" w:space="0"/>
              <w:tl2br w:val="nil"/>
              <w:tr2bl w:val="nil"/>
            </w:tcBorders>
            <w:shd w:val="clear" w:color="auto" w:fill="4AB5C4"/>
            <w:vAlign w:val="center"/>
          </w:tcPr>
          <w:p>
            <w:pPr>
              <w:pStyle w:val="34"/>
              <w:rPr>
                <w:rFonts w:hint="eastAsia" w:ascii="宋体" w:hAnsi="宋体" w:eastAsia="宋体" w:cs="仿宋_GB2312"/>
                <w:b/>
                <w:bCs/>
                <w:color w:val="auto"/>
                <w:kern w:val="0"/>
                <w:sz w:val="22"/>
                <w:lang w:val="zh-TW"/>
              </w:rPr>
            </w:pPr>
            <w:r>
              <w:rPr>
                <w:rFonts w:hint="eastAsia" w:ascii="宋体" w:hAnsi="宋体" w:eastAsia="宋体" w:cs="仿宋_GB2312"/>
                <w:color w:val="auto"/>
                <w:kern w:val="0"/>
                <w:sz w:val="22"/>
                <w:lang w:val="zh-TW"/>
              </w:rPr>
              <w:t>企业</w:t>
            </w:r>
            <w:r>
              <w:rPr>
                <w:rFonts w:hint="eastAsia" w:ascii="宋体" w:hAnsi="宋体" w:eastAsia="宋体" w:cs="仿宋_GB2312"/>
                <w:color w:val="auto"/>
                <w:kern w:val="0"/>
                <w:sz w:val="22"/>
              </w:rPr>
              <w:t>F</w:t>
            </w:r>
          </w:p>
        </w:tc>
        <w:tc>
          <w:tcPr>
            <w:tcW w:w="2403" w:type="dxa"/>
            <w:gridSpan w:val="2"/>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cs="仿宋_GB2312"/>
                <w:color w:val="auto"/>
                <w:kern w:val="0"/>
                <w:sz w:val="22"/>
                <w:lang w:val="zh-TW" w:eastAsia="zh-TW"/>
              </w:rPr>
            </w:pPr>
            <w:r>
              <w:rPr>
                <w:rFonts w:hint="eastAsia" w:ascii="宋体" w:hAnsi="宋体" w:eastAsia="宋体" w:cs="仿宋_GB2312"/>
                <w:color w:val="auto"/>
                <w:kern w:val="0"/>
                <w:sz w:val="22"/>
                <w:lang w:val="zh-TW" w:eastAsia="zh-TW"/>
              </w:rPr>
              <w:t>电气机械和器材制造业</w:t>
            </w:r>
            <w:r>
              <w:rPr>
                <w:rFonts w:ascii="宋体" w:hAnsi="宋体" w:eastAsia="宋体" w:cs="仿宋_GB2312"/>
                <w:color w:val="auto"/>
                <w:kern w:val="0"/>
                <w:sz w:val="22"/>
                <w:lang w:val="zh-TW" w:eastAsia="zh-TW"/>
              </w:rPr>
              <w:t xml:space="preserve"> </w:t>
            </w:r>
          </w:p>
        </w:tc>
        <w:tc>
          <w:tcPr>
            <w:tcW w:w="2405" w:type="dxa"/>
            <w:gridSpan w:val="2"/>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cs="仿宋_GB2312"/>
                <w:color w:val="auto"/>
                <w:kern w:val="0"/>
                <w:sz w:val="22"/>
                <w:szCs w:val="22"/>
              </w:rPr>
            </w:pPr>
            <w:r>
              <w:t>31,980.59</w:t>
            </w:r>
          </w:p>
        </w:tc>
        <w:tc>
          <w:tcPr>
            <w:tcW w:w="2427" w:type="dxa"/>
            <w:gridSpan w:val="2"/>
            <w:tcBorders>
              <w:top w:val="double" w:color="222F28" w:sz="4" w:space="0"/>
              <w:left w:val="double" w:color="222F28" w:sz="4" w:space="0"/>
              <w:bottom w:val="double" w:color="222F28" w:sz="4" w:space="0"/>
              <w:right w:val="nil"/>
            </w:tcBorders>
          </w:tcPr>
          <w:p>
            <w:pPr>
              <w:pStyle w:val="34"/>
              <w:jc w:val="center"/>
              <w:rPr>
                <w:rFonts w:hint="eastAsia" w:ascii="宋体" w:hAnsi="宋体" w:eastAsia="宋体" w:cs="仿宋_GB2312"/>
                <w:color w:val="auto"/>
                <w:kern w:val="0"/>
                <w:sz w:val="22"/>
                <w:szCs w:val="22"/>
              </w:rPr>
            </w:pPr>
            <w:r>
              <w:t>801,087.26</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5" w:hRule="atLeast"/>
          <w:jc w:val="center"/>
        </w:trPr>
        <w:tc>
          <w:tcPr>
            <w:tcW w:w="1071" w:type="dxa"/>
            <w:tcBorders>
              <w:top w:val="double" w:color="222F28" w:sz="4" w:space="0"/>
              <w:left w:val="nil"/>
              <w:bottom w:val="double" w:color="222F28" w:sz="4" w:space="0"/>
              <w:right w:val="double" w:color="222F28" w:sz="4" w:space="0"/>
              <w:tl2br w:val="nil"/>
              <w:tr2bl w:val="nil"/>
            </w:tcBorders>
            <w:shd w:val="clear" w:color="auto" w:fill="4AB5C4"/>
            <w:vAlign w:val="center"/>
          </w:tcPr>
          <w:p>
            <w:pPr>
              <w:pStyle w:val="34"/>
              <w:rPr>
                <w:rFonts w:hint="eastAsia" w:ascii="宋体" w:hAnsi="宋体" w:eastAsia="宋体" w:cs="仿宋_GB2312"/>
                <w:color w:val="auto"/>
                <w:kern w:val="0"/>
                <w:sz w:val="22"/>
                <w:lang w:val="zh-TW"/>
              </w:rPr>
            </w:pPr>
            <w:r>
              <w:rPr>
                <w:rFonts w:hint="eastAsia" w:ascii="宋体" w:hAnsi="宋体" w:eastAsia="宋体" w:cs="仿宋_GB2312"/>
                <w:color w:val="auto"/>
                <w:kern w:val="0"/>
                <w:sz w:val="22"/>
                <w:lang w:val="zh-TW"/>
              </w:rPr>
              <w:t>企业K</w:t>
            </w:r>
          </w:p>
        </w:tc>
        <w:tc>
          <w:tcPr>
            <w:tcW w:w="2403" w:type="dxa"/>
            <w:gridSpan w:val="2"/>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cs="仿宋_GB2312"/>
                <w:color w:val="auto"/>
                <w:kern w:val="0"/>
                <w:sz w:val="22"/>
                <w:lang w:val="zh-TW" w:eastAsia="zh-TW"/>
              </w:rPr>
            </w:pPr>
            <w:r>
              <w:rPr>
                <w:rFonts w:hint="eastAsia" w:ascii="宋体" w:hAnsi="宋体" w:eastAsia="宋体" w:cs="仿宋_GB2312"/>
                <w:color w:val="auto"/>
                <w:kern w:val="0"/>
                <w:sz w:val="22"/>
                <w:lang w:val="zh-TW" w:eastAsia="zh-TW"/>
              </w:rPr>
              <w:t>商务服务业</w:t>
            </w:r>
          </w:p>
        </w:tc>
        <w:tc>
          <w:tcPr>
            <w:tcW w:w="2405" w:type="dxa"/>
            <w:gridSpan w:val="2"/>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PMingLiU" w:cs="仿宋_GB2312"/>
                <w:color w:val="auto"/>
                <w:kern w:val="0"/>
                <w:sz w:val="22"/>
                <w:szCs w:val="22"/>
                <w:lang w:val="zh-TW" w:eastAsia="zh-TW"/>
              </w:rPr>
            </w:pPr>
            <w:r>
              <w:t>24,785.00</w:t>
            </w:r>
          </w:p>
        </w:tc>
        <w:tc>
          <w:tcPr>
            <w:tcW w:w="2427" w:type="dxa"/>
            <w:gridSpan w:val="2"/>
            <w:tcBorders>
              <w:top w:val="double" w:color="222F28" w:sz="4" w:space="0"/>
              <w:left w:val="double" w:color="222F28" w:sz="4" w:space="0"/>
              <w:bottom w:val="double" w:color="222F28" w:sz="4" w:space="0"/>
              <w:right w:val="nil"/>
            </w:tcBorders>
          </w:tcPr>
          <w:p>
            <w:pPr>
              <w:pStyle w:val="34"/>
              <w:jc w:val="center"/>
              <w:rPr>
                <w:rFonts w:hint="eastAsia" w:ascii="宋体" w:hAnsi="宋体" w:eastAsia="PMingLiU" w:cs="仿宋_GB2312"/>
                <w:color w:val="auto"/>
                <w:kern w:val="0"/>
                <w:sz w:val="22"/>
                <w:szCs w:val="22"/>
                <w:lang w:val="zh-TW" w:eastAsia="zh-TW"/>
              </w:rPr>
            </w:pPr>
            <w:r>
              <w:t>8,853.97</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5" w:hRule="atLeast"/>
          <w:jc w:val="center"/>
        </w:trPr>
        <w:tc>
          <w:tcPr>
            <w:tcW w:w="1071" w:type="dxa"/>
            <w:tcBorders>
              <w:top w:val="double" w:color="222F28" w:sz="4" w:space="0"/>
              <w:left w:val="nil"/>
              <w:bottom w:val="double" w:color="222F28" w:sz="4" w:space="0"/>
              <w:right w:val="double" w:color="222F28" w:sz="4" w:space="0"/>
              <w:tl2br w:val="nil"/>
              <w:tr2bl w:val="nil"/>
            </w:tcBorders>
            <w:shd w:val="clear" w:color="auto" w:fill="4AB5C4"/>
            <w:vAlign w:val="center"/>
          </w:tcPr>
          <w:p>
            <w:pPr>
              <w:pStyle w:val="34"/>
              <w:rPr>
                <w:rFonts w:hint="eastAsia" w:ascii="宋体" w:hAnsi="宋体" w:eastAsia="宋体" w:cs="仿宋_GB2312"/>
                <w:color w:val="auto"/>
                <w:kern w:val="0"/>
                <w:sz w:val="22"/>
                <w:lang w:val="zh-TW"/>
              </w:rPr>
            </w:pPr>
            <w:r>
              <w:rPr>
                <w:rFonts w:hint="eastAsia" w:ascii="宋体" w:hAnsi="宋体" w:eastAsia="宋体" w:cs="仿宋_GB2312"/>
                <w:color w:val="auto"/>
                <w:kern w:val="0"/>
                <w:sz w:val="22"/>
                <w:lang w:val="zh-TW"/>
              </w:rPr>
              <w:t>企业</w:t>
            </w:r>
            <w:r>
              <w:rPr>
                <w:rFonts w:hint="eastAsia" w:ascii="宋体" w:hAnsi="宋体" w:eastAsia="宋体" w:cs="仿宋_GB2312"/>
                <w:color w:val="auto"/>
                <w:kern w:val="0"/>
                <w:sz w:val="22"/>
              </w:rPr>
              <w:t>L</w:t>
            </w:r>
          </w:p>
        </w:tc>
        <w:tc>
          <w:tcPr>
            <w:tcW w:w="2403" w:type="dxa"/>
            <w:gridSpan w:val="2"/>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cs="仿宋_GB2312"/>
                <w:color w:val="auto"/>
                <w:kern w:val="0"/>
                <w:sz w:val="22"/>
                <w:lang w:val="zh-TW" w:eastAsia="zh-TW"/>
              </w:rPr>
            </w:pPr>
            <w:r>
              <w:rPr>
                <w:rFonts w:hint="eastAsia" w:ascii="宋体" w:hAnsi="宋体" w:eastAsia="宋体" w:cs="仿宋_GB2312"/>
                <w:color w:val="auto"/>
                <w:kern w:val="0"/>
                <w:sz w:val="22"/>
                <w:lang w:val="zh-TW" w:eastAsia="zh-TW"/>
              </w:rPr>
              <w:t>电气机械和器材制造业</w:t>
            </w:r>
            <w:r>
              <w:rPr>
                <w:rFonts w:ascii="宋体" w:hAnsi="宋体" w:eastAsia="宋体" w:cs="仿宋_GB2312"/>
                <w:color w:val="auto"/>
                <w:kern w:val="0"/>
                <w:sz w:val="22"/>
                <w:lang w:val="zh-TW" w:eastAsia="zh-TW"/>
              </w:rPr>
              <w:t xml:space="preserve"> </w:t>
            </w:r>
          </w:p>
        </w:tc>
        <w:tc>
          <w:tcPr>
            <w:tcW w:w="2405" w:type="dxa"/>
            <w:gridSpan w:val="2"/>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PMingLiU" w:cs="仿宋_GB2312"/>
                <w:color w:val="auto"/>
                <w:kern w:val="0"/>
                <w:sz w:val="22"/>
                <w:szCs w:val="22"/>
                <w:lang w:eastAsia="zh-TW"/>
              </w:rPr>
            </w:pPr>
            <w:r>
              <w:t>17,376.35</w:t>
            </w:r>
          </w:p>
        </w:tc>
        <w:tc>
          <w:tcPr>
            <w:tcW w:w="2427" w:type="dxa"/>
            <w:gridSpan w:val="2"/>
            <w:tcBorders>
              <w:top w:val="double" w:color="222F28" w:sz="4" w:space="0"/>
              <w:left w:val="double" w:color="222F28" w:sz="4" w:space="0"/>
              <w:bottom w:val="double" w:color="222F28" w:sz="4" w:space="0"/>
              <w:right w:val="nil"/>
            </w:tcBorders>
          </w:tcPr>
          <w:p>
            <w:pPr>
              <w:pStyle w:val="34"/>
              <w:jc w:val="center"/>
              <w:rPr>
                <w:rFonts w:hint="eastAsia" w:ascii="宋体" w:hAnsi="宋体" w:eastAsia="PMingLiU" w:cs="仿宋_GB2312"/>
                <w:color w:val="auto"/>
                <w:kern w:val="0"/>
                <w:sz w:val="22"/>
                <w:szCs w:val="22"/>
                <w:lang w:val="zh-TW" w:eastAsia="zh-TW"/>
              </w:rPr>
            </w:pPr>
            <w:r>
              <w:t>201,715.23</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5" w:hRule="atLeast"/>
          <w:jc w:val="center"/>
        </w:trPr>
        <w:tc>
          <w:tcPr>
            <w:tcW w:w="1071" w:type="dxa"/>
            <w:tcBorders>
              <w:top w:val="double" w:color="222F28" w:sz="4" w:space="0"/>
              <w:left w:val="nil"/>
              <w:bottom w:val="double" w:color="222F28" w:sz="4" w:space="0"/>
              <w:right w:val="double" w:color="222F28" w:sz="4" w:space="0"/>
              <w:tl2br w:val="nil"/>
              <w:tr2bl w:val="nil"/>
            </w:tcBorders>
            <w:shd w:val="clear" w:color="auto" w:fill="4AB5C4"/>
            <w:vAlign w:val="center"/>
          </w:tcPr>
          <w:p>
            <w:pPr>
              <w:pStyle w:val="34"/>
              <w:rPr>
                <w:rFonts w:hint="eastAsia" w:ascii="宋体" w:hAnsi="宋体" w:eastAsia="宋体" w:cs="仿宋_GB2312"/>
                <w:color w:val="auto"/>
                <w:kern w:val="0"/>
                <w:sz w:val="22"/>
                <w:lang w:val="zh-TW"/>
              </w:rPr>
            </w:pPr>
            <w:r>
              <w:rPr>
                <w:rFonts w:hint="eastAsia" w:ascii="宋体" w:hAnsi="宋体" w:eastAsia="宋体" w:cs="仿宋_GB2312"/>
                <w:color w:val="auto"/>
                <w:kern w:val="0"/>
                <w:sz w:val="22"/>
                <w:lang w:val="zh-TW"/>
              </w:rPr>
              <w:t>企业</w:t>
            </w:r>
            <w:r>
              <w:rPr>
                <w:rFonts w:hint="eastAsia" w:ascii="宋体" w:hAnsi="宋体" w:eastAsia="宋体" w:cs="仿宋_GB2312"/>
                <w:color w:val="auto"/>
                <w:kern w:val="0"/>
                <w:sz w:val="22"/>
              </w:rPr>
              <w:t>M</w:t>
            </w:r>
          </w:p>
        </w:tc>
        <w:tc>
          <w:tcPr>
            <w:tcW w:w="2403" w:type="dxa"/>
            <w:gridSpan w:val="2"/>
            <w:tcBorders>
              <w:top w:val="double" w:color="222F28" w:sz="4" w:space="0"/>
              <w:left w:val="double" w:color="222F28" w:sz="4" w:space="0"/>
              <w:bottom w:val="double" w:color="222F28" w:sz="4" w:space="0"/>
              <w:right w:val="double" w:color="222F28" w:sz="4" w:space="0"/>
            </w:tcBorders>
            <w:vAlign w:val="center"/>
          </w:tcPr>
          <w:p>
            <w:pPr>
              <w:pStyle w:val="34"/>
              <w:jc w:val="center"/>
              <w:rPr>
                <w:rFonts w:hint="eastAsia" w:ascii="宋体" w:hAnsi="宋体" w:eastAsia="宋体" w:cs="仿宋_GB2312"/>
                <w:color w:val="auto"/>
                <w:kern w:val="0"/>
                <w:sz w:val="22"/>
                <w:lang w:val="zh-TW" w:eastAsia="zh-TW"/>
              </w:rPr>
            </w:pPr>
            <w:r>
              <w:rPr>
                <w:rFonts w:hint="eastAsia" w:ascii="宋体" w:hAnsi="宋体" w:eastAsia="宋体" w:cs="仿宋_GB2312"/>
                <w:color w:val="auto"/>
                <w:kern w:val="0"/>
                <w:sz w:val="22"/>
                <w:lang w:val="zh-TW" w:eastAsia="zh-TW"/>
              </w:rPr>
              <w:t>电气机械和器材制造业</w:t>
            </w:r>
          </w:p>
        </w:tc>
        <w:tc>
          <w:tcPr>
            <w:tcW w:w="2405" w:type="dxa"/>
            <w:gridSpan w:val="2"/>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PMingLiU" w:cs="仿宋_GB2312"/>
                <w:color w:val="auto"/>
                <w:kern w:val="0"/>
                <w:sz w:val="22"/>
                <w:szCs w:val="22"/>
                <w:lang w:val="zh-TW" w:eastAsia="zh-TW"/>
              </w:rPr>
            </w:pPr>
            <w:r>
              <w:t>7,552.66</w:t>
            </w:r>
          </w:p>
        </w:tc>
        <w:tc>
          <w:tcPr>
            <w:tcW w:w="2427" w:type="dxa"/>
            <w:gridSpan w:val="2"/>
            <w:tcBorders>
              <w:top w:val="double" w:color="222F28" w:sz="4" w:space="0"/>
              <w:left w:val="double" w:color="222F28" w:sz="4" w:space="0"/>
              <w:bottom w:val="double" w:color="222F28" w:sz="4" w:space="0"/>
              <w:right w:val="nil"/>
            </w:tcBorders>
          </w:tcPr>
          <w:p>
            <w:pPr>
              <w:pStyle w:val="34"/>
              <w:jc w:val="center"/>
              <w:rPr>
                <w:rFonts w:hint="eastAsia" w:ascii="宋体" w:hAnsi="宋体" w:eastAsia="PMingLiU" w:cs="仿宋_GB2312"/>
                <w:color w:val="auto"/>
                <w:kern w:val="0"/>
                <w:sz w:val="22"/>
                <w:szCs w:val="22"/>
                <w:lang w:val="zh-TW" w:eastAsia="zh-TW"/>
              </w:rPr>
            </w:pPr>
            <w:r>
              <w:t>2,424,767.90</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7" w:hRule="atLeast"/>
          <w:jc w:val="center"/>
        </w:trPr>
        <w:tc>
          <w:tcPr>
            <w:tcW w:w="8306" w:type="dxa"/>
            <w:gridSpan w:val="7"/>
            <w:tcBorders>
              <w:top w:val="double" w:color="222F28" w:sz="4" w:space="0"/>
              <w:left w:val="nil"/>
              <w:bottom w:val="double" w:color="222F28" w:sz="4" w:space="0"/>
              <w:right w:val="nil"/>
              <w:tl2br w:val="nil"/>
              <w:tr2bl w:val="nil"/>
            </w:tcBorders>
            <w:shd w:val="clear" w:color="auto" w:fill="4AB5C4"/>
            <w:vAlign w:val="center"/>
          </w:tcPr>
          <w:p>
            <w:pPr>
              <w:pStyle w:val="34"/>
              <w:jc w:val="center"/>
              <w:rPr>
                <w:rFonts w:hint="eastAsia" w:ascii="宋体" w:hAnsi="宋体" w:eastAsia="宋体" w:cs="仿宋_GB2312"/>
                <w:b/>
                <w:bCs/>
                <w:color w:val="auto"/>
                <w:kern w:val="0"/>
                <w:sz w:val="22"/>
                <w:lang w:val="zh-TW"/>
              </w:rPr>
            </w:pPr>
            <w:r>
              <w:rPr>
                <w:rFonts w:hint="eastAsia" w:ascii="宋体" w:hAnsi="宋体" w:eastAsia="宋体" w:cs="仿宋_GB2312"/>
                <w:b/>
                <w:bCs/>
                <w:color w:val="auto"/>
                <w:kern w:val="0"/>
                <w:sz w:val="22"/>
                <w:lang w:val="zh-TW"/>
              </w:rPr>
              <w:t>企业能源消耗信息</w:t>
            </w:r>
          </w:p>
        </w:tc>
      </w:tr>
      <w:bookmarkEnd w:id="25"/>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7" w:hRule="atLeast"/>
          <w:jc w:val="center"/>
        </w:trPr>
        <w:tc>
          <w:tcPr>
            <w:tcW w:w="1071" w:type="dxa"/>
            <w:tcBorders>
              <w:top w:val="double" w:color="222F28" w:sz="4" w:space="0"/>
              <w:left w:val="nil"/>
              <w:bottom w:val="double" w:color="222F28" w:sz="4" w:space="0"/>
              <w:right w:val="nil"/>
              <w:tl2br w:val="nil"/>
              <w:tr2bl w:val="nil"/>
            </w:tcBorders>
            <w:shd w:val="clear" w:color="auto" w:fill="215D66"/>
            <w:vAlign w:val="center"/>
          </w:tcPr>
          <w:p>
            <w:pPr>
              <w:pStyle w:val="34"/>
              <w:jc w:val="center"/>
              <w:rPr>
                <w:rFonts w:hint="eastAsia" w:ascii="宋体" w:hAnsi="宋体" w:eastAsia="宋体" w:cs="仿宋_GB2312"/>
                <w:b/>
                <w:bCs/>
                <w:color w:val="FFFFFF"/>
                <w:kern w:val="0"/>
                <w:sz w:val="22"/>
                <w:lang w:val="zh-TW"/>
              </w:rPr>
            </w:pPr>
            <w:r>
              <w:rPr>
                <w:rFonts w:hint="eastAsia" w:ascii="宋体" w:hAnsi="宋体" w:eastAsia="宋体" w:cs="仿宋_GB2312"/>
                <w:b/>
                <w:bCs/>
                <w:color w:val="FFFFFF"/>
                <w:kern w:val="0"/>
                <w:sz w:val="22"/>
                <w:lang w:val="zh-TW"/>
              </w:rPr>
              <w:t>企业名称</w:t>
            </w:r>
          </w:p>
        </w:tc>
        <w:tc>
          <w:tcPr>
            <w:tcW w:w="1197" w:type="dxa"/>
            <w:tcBorders>
              <w:top w:val="double" w:color="222F28" w:sz="4" w:space="0"/>
              <w:bottom w:val="double" w:color="222F28" w:sz="4" w:space="0"/>
            </w:tcBorders>
            <w:shd w:val="clear" w:color="auto" w:fill="215D66"/>
            <w:vAlign w:val="center"/>
          </w:tcPr>
          <w:p>
            <w:pPr>
              <w:pStyle w:val="34"/>
              <w:jc w:val="center"/>
              <w:rPr>
                <w:rFonts w:hint="eastAsia" w:ascii="宋体" w:hAnsi="宋体" w:eastAsia="宋体" w:cs="仿宋_GB2312"/>
                <w:b/>
                <w:bCs/>
                <w:color w:val="FFFFFF"/>
                <w:kern w:val="0"/>
                <w:sz w:val="22"/>
                <w:lang w:val="zh-TW"/>
              </w:rPr>
            </w:pPr>
            <w:r>
              <w:rPr>
                <w:rFonts w:hint="eastAsia" w:ascii="宋体" w:hAnsi="宋体" w:eastAsia="宋体" w:cs="仿宋_GB2312"/>
                <w:b/>
                <w:bCs/>
                <w:color w:val="FFFFFF"/>
                <w:kern w:val="0"/>
                <w:sz w:val="22"/>
                <w:lang w:val="zh-TW"/>
              </w:rPr>
              <w:t>主要耗能情况（吨标准煤）</w:t>
            </w:r>
          </w:p>
        </w:tc>
        <w:tc>
          <w:tcPr>
            <w:tcW w:w="1206" w:type="dxa"/>
            <w:tcBorders>
              <w:top w:val="double" w:color="222F28" w:sz="4" w:space="0"/>
              <w:bottom w:val="double" w:color="222F28" w:sz="4" w:space="0"/>
            </w:tcBorders>
            <w:shd w:val="clear" w:color="auto" w:fill="215D66"/>
            <w:vAlign w:val="center"/>
          </w:tcPr>
          <w:p>
            <w:pPr>
              <w:pStyle w:val="34"/>
              <w:jc w:val="center"/>
              <w:rPr>
                <w:rFonts w:hint="eastAsia" w:ascii="宋体" w:hAnsi="宋体" w:eastAsia="宋体" w:cs="仿宋_GB2312"/>
                <w:b/>
                <w:bCs/>
                <w:color w:val="FFFFFF"/>
                <w:kern w:val="0"/>
                <w:sz w:val="22"/>
                <w:lang w:val="zh-TW"/>
              </w:rPr>
            </w:pPr>
            <w:r>
              <w:rPr>
                <w:rFonts w:hint="eastAsia" w:ascii="宋体" w:hAnsi="宋体" w:eastAsia="宋体" w:cs="仿宋_GB2312"/>
                <w:b/>
                <w:bCs/>
                <w:color w:val="FFFFFF"/>
                <w:kern w:val="0"/>
                <w:sz w:val="22"/>
                <w:lang w:val="zh-TW"/>
              </w:rPr>
              <w:t>企业主体碳排放量（吨）</w:t>
            </w:r>
          </w:p>
        </w:tc>
        <w:tc>
          <w:tcPr>
            <w:tcW w:w="1204" w:type="dxa"/>
            <w:tcBorders>
              <w:top w:val="double" w:color="222F28" w:sz="4" w:space="0"/>
              <w:bottom w:val="double" w:color="222F28" w:sz="4" w:space="0"/>
            </w:tcBorders>
            <w:shd w:val="clear" w:color="auto" w:fill="215D66"/>
            <w:vAlign w:val="center"/>
          </w:tcPr>
          <w:p>
            <w:pPr>
              <w:pStyle w:val="34"/>
              <w:jc w:val="center"/>
              <w:rPr>
                <w:rFonts w:hint="eastAsia" w:ascii="宋体" w:hAnsi="宋体" w:eastAsia="宋体" w:cs="仿宋_GB2312"/>
                <w:color w:val="FFFFFF"/>
                <w:kern w:val="0"/>
                <w:sz w:val="22"/>
                <w:lang w:val="zh-TW"/>
              </w:rPr>
            </w:pPr>
            <w:r>
              <w:rPr>
                <w:rFonts w:hint="eastAsia" w:ascii="宋体" w:hAnsi="宋体" w:eastAsia="宋体" w:cs="仿宋_GB2312"/>
                <w:color w:val="FFFFFF"/>
                <w:kern w:val="0"/>
                <w:sz w:val="22"/>
                <w:lang w:val="zh-TW"/>
              </w:rPr>
              <w:t>电力（万</w:t>
            </w:r>
            <w:r>
              <w:rPr>
                <w:rFonts w:ascii="宋体" w:hAnsi="宋体" w:eastAsia="PMingLiU" w:cs="仿宋_GB2312"/>
                <w:color w:val="FFFFFF"/>
                <w:kern w:val="0"/>
                <w:sz w:val="22"/>
                <w:lang w:val="zh-TW" w:eastAsia="zh-TW"/>
              </w:rPr>
              <w:t>kWh</w:t>
            </w:r>
            <w:r>
              <w:rPr>
                <w:rFonts w:hint="eastAsia" w:ascii="宋体" w:hAnsi="宋体" w:eastAsia="宋体" w:cs="仿宋_GB2312"/>
                <w:color w:val="FFFFFF"/>
                <w:kern w:val="0"/>
                <w:sz w:val="22"/>
                <w:lang w:val="zh-TW"/>
              </w:rPr>
              <w:t>）</w:t>
            </w:r>
          </w:p>
        </w:tc>
        <w:tc>
          <w:tcPr>
            <w:tcW w:w="1201" w:type="dxa"/>
            <w:tcBorders>
              <w:top w:val="double" w:color="222F28" w:sz="4" w:space="0"/>
              <w:bottom w:val="double" w:color="222F28" w:sz="4" w:space="0"/>
            </w:tcBorders>
            <w:shd w:val="clear" w:color="auto" w:fill="215D66"/>
            <w:vAlign w:val="center"/>
          </w:tcPr>
          <w:p>
            <w:pPr>
              <w:pStyle w:val="34"/>
              <w:jc w:val="center"/>
              <w:rPr>
                <w:rFonts w:hint="eastAsia" w:ascii="宋体" w:hAnsi="宋体" w:eastAsia="PMingLiU" w:cs="仿宋_GB2312"/>
                <w:color w:val="FFFFFF"/>
                <w:kern w:val="0"/>
                <w:sz w:val="22"/>
                <w:lang w:val="zh-TW" w:eastAsia="zh-TW"/>
              </w:rPr>
            </w:pPr>
            <w:r>
              <w:rPr>
                <w:rFonts w:hint="eastAsia" w:ascii="宋体" w:hAnsi="宋体" w:eastAsia="宋体" w:cs="仿宋_GB2312"/>
                <w:color w:val="FFFFFF"/>
                <w:kern w:val="0"/>
                <w:sz w:val="22"/>
                <w:lang w:val="zh-TW"/>
              </w:rPr>
              <w:t>天然气（万m</w:t>
            </w:r>
            <w:r>
              <w:rPr>
                <w:rFonts w:ascii="宋体" w:hAnsi="宋体" w:eastAsia="PMingLiU" w:cs="仿宋_GB2312"/>
                <w:color w:val="FFFFFF"/>
                <w:kern w:val="0"/>
                <w:sz w:val="22"/>
                <w:vertAlign w:val="superscript"/>
                <w:lang w:val="zh-TW" w:eastAsia="zh-TW"/>
              </w:rPr>
              <w:t>3</w:t>
            </w:r>
            <w:r>
              <w:rPr>
                <w:rFonts w:hint="eastAsia" w:ascii="宋体" w:hAnsi="宋体" w:eastAsia="宋体" w:cs="仿宋_GB2312"/>
                <w:color w:val="FFFFFF"/>
                <w:kern w:val="0"/>
                <w:sz w:val="22"/>
                <w:lang w:val="zh-TW"/>
              </w:rPr>
              <w:t>）</w:t>
            </w:r>
          </w:p>
        </w:tc>
        <w:tc>
          <w:tcPr>
            <w:tcW w:w="995" w:type="dxa"/>
            <w:tcBorders>
              <w:top w:val="double" w:color="222F28" w:sz="4" w:space="0"/>
              <w:bottom w:val="double" w:color="222F28" w:sz="4" w:space="0"/>
            </w:tcBorders>
            <w:shd w:val="clear" w:color="auto" w:fill="215D66"/>
            <w:vAlign w:val="center"/>
          </w:tcPr>
          <w:p>
            <w:pPr>
              <w:pStyle w:val="34"/>
              <w:jc w:val="center"/>
              <w:rPr>
                <w:rFonts w:hint="eastAsia" w:ascii="宋体" w:hAnsi="宋体" w:eastAsia="宋体" w:cs="仿宋_GB2312"/>
                <w:b/>
                <w:bCs/>
                <w:color w:val="FFFFFF"/>
                <w:kern w:val="0"/>
                <w:sz w:val="22"/>
                <w:lang w:val="zh-TW"/>
              </w:rPr>
            </w:pPr>
            <w:r>
              <w:rPr>
                <w:rFonts w:hint="eastAsia" w:ascii="宋体" w:hAnsi="宋体" w:eastAsia="宋体" w:cs="仿宋_GB2312"/>
                <w:color w:val="FFFFFF"/>
                <w:kern w:val="0"/>
                <w:sz w:val="22"/>
                <w:lang w:val="zh-TW"/>
              </w:rPr>
              <w:t>汽油（吨）</w:t>
            </w:r>
          </w:p>
        </w:tc>
        <w:tc>
          <w:tcPr>
            <w:tcW w:w="1432" w:type="dxa"/>
            <w:tcBorders>
              <w:top w:val="double" w:color="222F28" w:sz="4" w:space="0"/>
              <w:bottom w:val="double" w:color="222F28" w:sz="4" w:space="0"/>
            </w:tcBorders>
            <w:shd w:val="clear" w:color="auto" w:fill="215D66"/>
            <w:vAlign w:val="center"/>
          </w:tcPr>
          <w:p>
            <w:pPr>
              <w:pStyle w:val="34"/>
              <w:jc w:val="center"/>
              <w:rPr>
                <w:rFonts w:hint="eastAsia" w:ascii="宋体" w:hAnsi="宋体" w:eastAsia="宋体" w:cs="仿宋_GB2312"/>
                <w:color w:val="FFFFFF"/>
                <w:kern w:val="0"/>
                <w:sz w:val="22"/>
                <w:lang w:val="zh-TW"/>
              </w:rPr>
            </w:pPr>
            <w:r>
              <w:rPr>
                <w:rFonts w:hint="eastAsia" w:ascii="宋体" w:hAnsi="宋体" w:eastAsia="宋体" w:cs="仿宋_GB2312"/>
                <w:color w:val="FFFFFF"/>
                <w:kern w:val="0"/>
                <w:sz w:val="22"/>
                <w:lang w:val="zh-TW"/>
              </w:rPr>
              <w:t>柴油（吨）</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7" w:hRule="atLeast"/>
          <w:jc w:val="center"/>
        </w:trPr>
        <w:tc>
          <w:tcPr>
            <w:tcW w:w="1071" w:type="dxa"/>
            <w:tcBorders>
              <w:top w:val="double" w:color="222F28" w:sz="4" w:space="0"/>
              <w:left w:val="nil"/>
              <w:bottom w:val="double" w:color="222F28" w:sz="4" w:space="0"/>
              <w:right w:val="double" w:color="222F28" w:sz="4" w:space="0"/>
              <w:tl2br w:val="nil"/>
              <w:tr2bl w:val="nil"/>
            </w:tcBorders>
            <w:shd w:val="clear" w:color="auto" w:fill="4AB5C4"/>
            <w:vAlign w:val="center"/>
          </w:tcPr>
          <w:p>
            <w:pPr>
              <w:pStyle w:val="34"/>
              <w:rPr>
                <w:rFonts w:hint="eastAsia" w:ascii="宋体" w:hAnsi="宋体" w:eastAsia="宋体" w:cs="仿宋_GB2312"/>
                <w:b/>
                <w:bCs/>
                <w:color w:val="auto"/>
                <w:kern w:val="0"/>
                <w:sz w:val="22"/>
              </w:rPr>
            </w:pPr>
            <w:r>
              <w:rPr>
                <w:rFonts w:hint="eastAsia" w:ascii="宋体" w:hAnsi="宋体" w:eastAsia="宋体" w:cs="仿宋_GB2312"/>
                <w:color w:val="auto"/>
                <w:kern w:val="0"/>
                <w:sz w:val="22"/>
                <w:lang w:val="zh-TW"/>
              </w:rPr>
              <w:t>企业</w:t>
            </w:r>
            <w:r>
              <w:rPr>
                <w:rFonts w:hint="eastAsia" w:ascii="宋体" w:hAnsi="宋体" w:eastAsia="宋体" w:cs="仿宋_GB2312"/>
                <w:color w:val="auto"/>
                <w:kern w:val="0"/>
                <w:sz w:val="22"/>
              </w:rPr>
              <w:t>G</w:t>
            </w:r>
          </w:p>
        </w:tc>
        <w:tc>
          <w:tcPr>
            <w:tcW w:w="1197" w:type="dxa"/>
            <w:tcBorders>
              <w:top w:val="double" w:color="222F28" w:sz="4" w:space="0"/>
              <w:left w:val="double" w:color="222F28" w:sz="4" w:space="0"/>
              <w:bottom w:val="double" w:color="222F28" w:sz="4" w:space="0"/>
            </w:tcBorders>
          </w:tcPr>
          <w:p>
            <w:pPr>
              <w:pStyle w:val="34"/>
              <w:jc w:val="center"/>
              <w:rPr>
                <w:rFonts w:hint="eastAsia" w:ascii="宋体" w:hAnsi="宋体" w:eastAsia="宋体"/>
                <w:sz w:val="22"/>
              </w:rPr>
            </w:pPr>
            <w:r>
              <w:t xml:space="preserve"> 271.32 </w:t>
            </w:r>
          </w:p>
        </w:tc>
        <w:tc>
          <w:tcPr>
            <w:tcW w:w="1206" w:type="dxa"/>
            <w:tcBorders>
              <w:top w:val="double" w:color="222F28" w:sz="4" w:space="0"/>
              <w:left w:val="double" w:color="222F28" w:sz="4" w:space="0"/>
              <w:bottom w:val="double" w:color="222F28" w:sz="4" w:space="0"/>
            </w:tcBorders>
          </w:tcPr>
          <w:p>
            <w:pPr>
              <w:pStyle w:val="34"/>
              <w:jc w:val="center"/>
              <w:rPr>
                <w:rFonts w:hint="eastAsia" w:ascii="宋体" w:hAnsi="宋体" w:eastAsia="宋体"/>
                <w:sz w:val="22"/>
              </w:rPr>
            </w:pPr>
            <w:r>
              <w:t xml:space="preserve"> 599.61 </w:t>
            </w:r>
          </w:p>
        </w:tc>
        <w:tc>
          <w:tcPr>
            <w:tcW w:w="1204" w:type="dxa"/>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sz w:val="22"/>
              </w:rPr>
            </w:pPr>
            <w:r>
              <w:t xml:space="preserve"> 209.58 </w:t>
            </w:r>
          </w:p>
        </w:tc>
        <w:tc>
          <w:tcPr>
            <w:tcW w:w="1201" w:type="dxa"/>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sz w:val="22"/>
              </w:rPr>
            </w:pPr>
            <w:r>
              <w:rPr>
                <w:rFonts w:hint="eastAsia" w:ascii="宋体" w:hAnsi="宋体" w:eastAsia="宋体"/>
                <w:sz w:val="22"/>
              </w:rPr>
              <w:t>——</w:t>
            </w:r>
          </w:p>
        </w:tc>
        <w:tc>
          <w:tcPr>
            <w:tcW w:w="995" w:type="dxa"/>
            <w:tcBorders>
              <w:top w:val="double" w:color="222F28" w:sz="4" w:space="0"/>
              <w:left w:val="double" w:color="222F28" w:sz="4" w:space="0"/>
              <w:bottom w:val="double" w:color="222F28" w:sz="4" w:space="0"/>
            </w:tcBorders>
          </w:tcPr>
          <w:p>
            <w:pPr>
              <w:pStyle w:val="34"/>
              <w:jc w:val="center"/>
              <w:rPr>
                <w:rFonts w:hint="eastAsia" w:ascii="宋体" w:hAnsi="宋体" w:eastAsia="宋体"/>
                <w:sz w:val="22"/>
              </w:rPr>
            </w:pPr>
            <w:r>
              <w:t xml:space="preserve"> 9.34 </w:t>
            </w:r>
          </w:p>
        </w:tc>
        <w:tc>
          <w:tcPr>
            <w:tcW w:w="1432" w:type="dxa"/>
            <w:tcBorders>
              <w:top w:val="double" w:color="222F28" w:sz="4" w:space="0"/>
              <w:left w:val="double" w:color="222F28" w:sz="4" w:space="0"/>
              <w:bottom w:val="double" w:color="222F28" w:sz="4" w:space="0"/>
            </w:tcBorders>
          </w:tcPr>
          <w:p>
            <w:pPr>
              <w:pStyle w:val="34"/>
              <w:jc w:val="center"/>
              <w:rPr>
                <w:rFonts w:hint="eastAsia" w:ascii="宋体" w:hAnsi="宋体" w:eastAsia="宋体"/>
                <w:sz w:val="22"/>
              </w:rPr>
            </w:pPr>
            <w:r>
              <w:rPr>
                <w:rFonts w:hint="eastAsia" w:ascii="宋体" w:hAnsi="宋体" w:eastAsia="宋体"/>
                <w:sz w:val="22"/>
              </w:rPr>
              <w:t>——</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7" w:hRule="atLeast"/>
          <w:jc w:val="center"/>
        </w:trPr>
        <w:tc>
          <w:tcPr>
            <w:tcW w:w="1071" w:type="dxa"/>
            <w:tcBorders>
              <w:top w:val="double" w:color="222F28" w:sz="4" w:space="0"/>
              <w:left w:val="nil"/>
              <w:bottom w:val="double" w:color="222F28" w:sz="4" w:space="0"/>
              <w:right w:val="double" w:color="222F28" w:sz="4" w:space="0"/>
              <w:tl2br w:val="nil"/>
              <w:tr2bl w:val="nil"/>
            </w:tcBorders>
            <w:shd w:val="clear" w:color="auto" w:fill="4AB5C4"/>
            <w:vAlign w:val="center"/>
          </w:tcPr>
          <w:p>
            <w:pPr>
              <w:pStyle w:val="34"/>
              <w:rPr>
                <w:rFonts w:hint="eastAsia" w:ascii="宋体" w:hAnsi="宋体" w:eastAsia="宋体" w:cs="仿宋_GB2312"/>
                <w:b/>
                <w:bCs/>
                <w:color w:val="auto"/>
                <w:kern w:val="0"/>
                <w:sz w:val="22"/>
                <w:lang w:val="zh-TW"/>
              </w:rPr>
            </w:pPr>
            <w:r>
              <w:rPr>
                <w:rFonts w:hint="eastAsia" w:ascii="宋体" w:hAnsi="宋体" w:eastAsia="宋体" w:cs="仿宋_GB2312"/>
                <w:color w:val="auto"/>
                <w:kern w:val="0"/>
                <w:sz w:val="22"/>
                <w:lang w:val="zh-TW"/>
              </w:rPr>
              <w:t>企业</w:t>
            </w:r>
            <w:r>
              <w:rPr>
                <w:rFonts w:hint="eastAsia" w:ascii="宋体" w:hAnsi="宋体" w:eastAsia="宋体" w:cs="仿宋_GB2312"/>
                <w:color w:val="auto"/>
                <w:kern w:val="0"/>
                <w:sz w:val="22"/>
              </w:rPr>
              <w:t>H</w:t>
            </w:r>
          </w:p>
        </w:tc>
        <w:tc>
          <w:tcPr>
            <w:tcW w:w="1197" w:type="dxa"/>
            <w:tcBorders>
              <w:top w:val="double" w:color="222F28" w:sz="4" w:space="0"/>
              <w:left w:val="double" w:color="222F28" w:sz="4" w:space="0"/>
              <w:bottom w:val="double" w:color="222F28" w:sz="4" w:space="0"/>
            </w:tcBorders>
          </w:tcPr>
          <w:p>
            <w:pPr>
              <w:pStyle w:val="34"/>
              <w:jc w:val="center"/>
              <w:rPr>
                <w:rFonts w:hint="eastAsia" w:ascii="宋体" w:hAnsi="宋体" w:eastAsia="宋体"/>
                <w:sz w:val="22"/>
              </w:rPr>
            </w:pPr>
            <w:r>
              <w:t xml:space="preserve"> 1,411.58 </w:t>
            </w:r>
          </w:p>
        </w:tc>
        <w:tc>
          <w:tcPr>
            <w:tcW w:w="1206" w:type="dxa"/>
            <w:tcBorders>
              <w:top w:val="double" w:color="222F28" w:sz="4" w:space="0"/>
              <w:left w:val="double" w:color="222F28" w:sz="4" w:space="0"/>
              <w:bottom w:val="double" w:color="222F28" w:sz="4" w:space="0"/>
            </w:tcBorders>
          </w:tcPr>
          <w:p>
            <w:pPr>
              <w:pStyle w:val="34"/>
              <w:jc w:val="center"/>
              <w:rPr>
                <w:rFonts w:hint="eastAsia" w:ascii="宋体" w:hAnsi="宋体" w:eastAsia="宋体"/>
                <w:sz w:val="22"/>
              </w:rPr>
            </w:pPr>
            <w:r>
              <w:t xml:space="preserve"> 3,119.60 </w:t>
            </w:r>
          </w:p>
        </w:tc>
        <w:tc>
          <w:tcPr>
            <w:tcW w:w="1204" w:type="dxa"/>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sz w:val="22"/>
              </w:rPr>
            </w:pPr>
            <w:r>
              <w:t xml:space="preserve"> 1,143.73 </w:t>
            </w:r>
          </w:p>
        </w:tc>
        <w:tc>
          <w:tcPr>
            <w:tcW w:w="1201" w:type="dxa"/>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sz w:val="22"/>
              </w:rPr>
            </w:pPr>
            <w:r>
              <w:t xml:space="preserve"> 0.54 </w:t>
            </w:r>
          </w:p>
        </w:tc>
        <w:tc>
          <w:tcPr>
            <w:tcW w:w="995" w:type="dxa"/>
            <w:tcBorders>
              <w:top w:val="double" w:color="222F28" w:sz="4" w:space="0"/>
              <w:left w:val="double" w:color="222F28" w:sz="4" w:space="0"/>
              <w:bottom w:val="double" w:color="222F28" w:sz="4" w:space="0"/>
            </w:tcBorders>
          </w:tcPr>
          <w:p>
            <w:pPr>
              <w:pStyle w:val="34"/>
              <w:jc w:val="center"/>
              <w:rPr>
                <w:rFonts w:hint="eastAsia" w:ascii="宋体" w:hAnsi="宋体" w:eastAsia="宋体"/>
                <w:sz w:val="22"/>
              </w:rPr>
            </w:pPr>
            <w:r>
              <w:rPr>
                <w:rFonts w:hint="eastAsia" w:ascii="宋体" w:hAnsi="宋体" w:eastAsia="宋体"/>
                <w:sz w:val="22"/>
              </w:rPr>
              <w:t>——</w:t>
            </w:r>
          </w:p>
        </w:tc>
        <w:tc>
          <w:tcPr>
            <w:tcW w:w="1432" w:type="dxa"/>
            <w:tcBorders>
              <w:top w:val="double" w:color="222F28" w:sz="4" w:space="0"/>
              <w:left w:val="double" w:color="222F28" w:sz="4" w:space="0"/>
              <w:bottom w:val="double" w:color="222F28" w:sz="4" w:space="0"/>
            </w:tcBorders>
          </w:tcPr>
          <w:p>
            <w:pPr>
              <w:pStyle w:val="34"/>
              <w:jc w:val="center"/>
              <w:rPr>
                <w:rFonts w:hint="eastAsia" w:ascii="宋体" w:hAnsi="宋体" w:eastAsia="宋体"/>
                <w:sz w:val="22"/>
              </w:rPr>
            </w:pPr>
            <w:r>
              <w:rPr>
                <w:rFonts w:hint="eastAsia" w:ascii="宋体" w:hAnsi="宋体" w:eastAsia="宋体"/>
                <w:sz w:val="22"/>
              </w:rPr>
              <w:t>——</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7" w:hRule="atLeast"/>
          <w:jc w:val="center"/>
        </w:trPr>
        <w:tc>
          <w:tcPr>
            <w:tcW w:w="1071" w:type="dxa"/>
            <w:tcBorders>
              <w:top w:val="double" w:color="222F28" w:sz="4" w:space="0"/>
              <w:left w:val="nil"/>
              <w:bottom w:val="double" w:color="222F28" w:sz="4" w:space="0"/>
              <w:right w:val="double" w:color="222F28" w:sz="4" w:space="0"/>
              <w:tl2br w:val="nil"/>
              <w:tr2bl w:val="nil"/>
            </w:tcBorders>
            <w:shd w:val="clear" w:color="auto" w:fill="4AB5C4"/>
            <w:vAlign w:val="center"/>
          </w:tcPr>
          <w:p>
            <w:pPr>
              <w:pStyle w:val="34"/>
              <w:rPr>
                <w:rFonts w:hint="eastAsia" w:ascii="宋体" w:hAnsi="宋体" w:eastAsia="宋体" w:cs="仿宋_GB2312"/>
                <w:b/>
                <w:bCs/>
                <w:color w:val="auto"/>
                <w:kern w:val="0"/>
                <w:sz w:val="22"/>
                <w:lang w:val="zh-TW"/>
              </w:rPr>
            </w:pPr>
            <w:r>
              <w:rPr>
                <w:rFonts w:hint="eastAsia" w:ascii="宋体" w:hAnsi="宋体" w:eastAsia="宋体" w:cs="仿宋_GB2312"/>
                <w:color w:val="auto"/>
                <w:kern w:val="0"/>
                <w:sz w:val="22"/>
                <w:lang w:val="zh-TW"/>
              </w:rPr>
              <w:t>企业</w:t>
            </w:r>
            <w:r>
              <w:rPr>
                <w:rFonts w:hint="eastAsia" w:ascii="宋体" w:hAnsi="宋体" w:eastAsia="宋体" w:cs="仿宋_GB2312"/>
                <w:color w:val="auto"/>
                <w:kern w:val="0"/>
                <w:sz w:val="22"/>
              </w:rPr>
              <w:t>F</w:t>
            </w:r>
          </w:p>
        </w:tc>
        <w:tc>
          <w:tcPr>
            <w:tcW w:w="1197" w:type="dxa"/>
            <w:tcBorders>
              <w:top w:val="double" w:color="222F28" w:sz="4" w:space="0"/>
              <w:left w:val="double" w:color="222F28" w:sz="4" w:space="0"/>
              <w:bottom w:val="double" w:color="222F28" w:sz="4" w:space="0"/>
            </w:tcBorders>
          </w:tcPr>
          <w:p>
            <w:pPr>
              <w:pStyle w:val="34"/>
              <w:jc w:val="center"/>
              <w:rPr>
                <w:rFonts w:hint="eastAsia" w:ascii="宋体" w:hAnsi="宋体" w:eastAsia="宋体"/>
                <w:sz w:val="22"/>
              </w:rPr>
            </w:pPr>
            <w:r>
              <w:t xml:space="preserve"> 3,560.57 </w:t>
            </w:r>
          </w:p>
        </w:tc>
        <w:tc>
          <w:tcPr>
            <w:tcW w:w="1206" w:type="dxa"/>
            <w:tcBorders>
              <w:top w:val="double" w:color="222F28" w:sz="4" w:space="0"/>
              <w:left w:val="double" w:color="222F28" w:sz="4" w:space="0"/>
              <w:bottom w:val="double" w:color="222F28" w:sz="4" w:space="0"/>
            </w:tcBorders>
          </w:tcPr>
          <w:p>
            <w:pPr>
              <w:pStyle w:val="34"/>
              <w:jc w:val="center"/>
              <w:rPr>
                <w:rFonts w:hint="eastAsia" w:ascii="宋体" w:hAnsi="宋体" w:eastAsia="宋体"/>
                <w:sz w:val="22"/>
              </w:rPr>
            </w:pPr>
            <w:r>
              <w:t xml:space="preserve"> 7,868.85 </w:t>
            </w:r>
          </w:p>
        </w:tc>
        <w:tc>
          <w:tcPr>
            <w:tcW w:w="1204" w:type="dxa"/>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sz w:val="22"/>
              </w:rPr>
            </w:pPr>
            <w:r>
              <w:t xml:space="preserve"> 2,278.40 </w:t>
            </w:r>
          </w:p>
        </w:tc>
        <w:tc>
          <w:tcPr>
            <w:tcW w:w="1201" w:type="dxa"/>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sz w:val="22"/>
              </w:rPr>
            </w:pPr>
            <w:r>
              <w:t xml:space="preserve"> 63.38 </w:t>
            </w:r>
          </w:p>
        </w:tc>
        <w:tc>
          <w:tcPr>
            <w:tcW w:w="995" w:type="dxa"/>
            <w:tcBorders>
              <w:top w:val="double" w:color="222F28" w:sz="4" w:space="0"/>
              <w:left w:val="double" w:color="222F28" w:sz="4" w:space="0"/>
              <w:bottom w:val="double" w:color="222F28" w:sz="4" w:space="0"/>
            </w:tcBorders>
          </w:tcPr>
          <w:p>
            <w:pPr>
              <w:pStyle w:val="34"/>
              <w:jc w:val="center"/>
              <w:rPr>
                <w:rFonts w:hint="eastAsia" w:ascii="宋体" w:hAnsi="宋体" w:eastAsia="宋体"/>
                <w:sz w:val="22"/>
              </w:rPr>
            </w:pPr>
            <w:r>
              <w:rPr>
                <w:rFonts w:hint="eastAsia" w:ascii="宋体" w:hAnsi="宋体" w:eastAsia="宋体"/>
                <w:sz w:val="22"/>
              </w:rPr>
              <w:t>——</w:t>
            </w:r>
            <w:r>
              <w:t xml:space="preserve"> </w:t>
            </w:r>
          </w:p>
        </w:tc>
        <w:tc>
          <w:tcPr>
            <w:tcW w:w="1432" w:type="dxa"/>
            <w:tcBorders>
              <w:top w:val="double" w:color="222F28" w:sz="4" w:space="0"/>
              <w:left w:val="double" w:color="222F28" w:sz="4" w:space="0"/>
              <w:bottom w:val="double" w:color="222F28" w:sz="4" w:space="0"/>
            </w:tcBorders>
          </w:tcPr>
          <w:p>
            <w:pPr>
              <w:pStyle w:val="34"/>
              <w:jc w:val="center"/>
              <w:rPr>
                <w:rFonts w:hint="eastAsia" w:ascii="宋体" w:hAnsi="宋体" w:eastAsia="宋体"/>
                <w:sz w:val="22"/>
              </w:rPr>
            </w:pPr>
            <w:r>
              <w:t xml:space="preserve"> 43.39 </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7" w:hRule="atLeast"/>
          <w:jc w:val="center"/>
        </w:trPr>
        <w:tc>
          <w:tcPr>
            <w:tcW w:w="1071" w:type="dxa"/>
            <w:tcBorders>
              <w:top w:val="double" w:color="222F28" w:sz="4" w:space="0"/>
              <w:left w:val="nil"/>
              <w:bottom w:val="double" w:color="222F28" w:sz="4" w:space="0"/>
              <w:right w:val="double" w:color="222F28" w:sz="4" w:space="0"/>
              <w:tl2br w:val="nil"/>
              <w:tr2bl w:val="nil"/>
            </w:tcBorders>
            <w:shd w:val="clear" w:color="auto" w:fill="4AB5C4"/>
            <w:vAlign w:val="center"/>
          </w:tcPr>
          <w:p>
            <w:pPr>
              <w:pStyle w:val="34"/>
              <w:rPr>
                <w:rFonts w:hint="eastAsia" w:ascii="宋体" w:hAnsi="宋体" w:eastAsia="宋体" w:cs="仿宋_GB2312"/>
                <w:color w:val="auto"/>
                <w:kern w:val="0"/>
                <w:sz w:val="22"/>
                <w:lang w:val="zh-TW"/>
              </w:rPr>
            </w:pPr>
            <w:r>
              <w:rPr>
                <w:rFonts w:hint="eastAsia" w:ascii="宋体" w:hAnsi="宋体" w:eastAsia="宋体" w:cs="仿宋_GB2312"/>
                <w:color w:val="auto"/>
                <w:kern w:val="0"/>
                <w:sz w:val="22"/>
                <w:lang w:val="zh-TW"/>
              </w:rPr>
              <w:t>企业K</w:t>
            </w:r>
          </w:p>
        </w:tc>
        <w:tc>
          <w:tcPr>
            <w:tcW w:w="1197" w:type="dxa"/>
            <w:tcBorders>
              <w:top w:val="double" w:color="222F28" w:sz="4" w:space="0"/>
              <w:left w:val="double" w:color="222F28" w:sz="4" w:space="0"/>
              <w:bottom w:val="double" w:color="222F28" w:sz="4" w:space="0"/>
            </w:tcBorders>
          </w:tcPr>
          <w:p>
            <w:pPr>
              <w:pStyle w:val="34"/>
              <w:jc w:val="center"/>
              <w:rPr>
                <w:rFonts w:hint="eastAsia" w:ascii="宋体" w:hAnsi="宋体" w:eastAsia="宋体"/>
                <w:sz w:val="22"/>
              </w:rPr>
            </w:pPr>
            <w:r>
              <w:t xml:space="preserve"> 82.06 </w:t>
            </w:r>
          </w:p>
        </w:tc>
        <w:tc>
          <w:tcPr>
            <w:tcW w:w="1206" w:type="dxa"/>
            <w:tcBorders>
              <w:top w:val="double" w:color="222F28" w:sz="4" w:space="0"/>
              <w:left w:val="double" w:color="222F28" w:sz="4" w:space="0"/>
              <w:bottom w:val="double" w:color="222F28" w:sz="4" w:space="0"/>
            </w:tcBorders>
          </w:tcPr>
          <w:p>
            <w:pPr>
              <w:pStyle w:val="34"/>
              <w:jc w:val="center"/>
              <w:rPr>
                <w:rFonts w:hint="eastAsia" w:ascii="宋体" w:hAnsi="宋体" w:eastAsia="宋体"/>
                <w:sz w:val="22"/>
              </w:rPr>
            </w:pPr>
            <w:r>
              <w:t xml:space="preserve"> 181.35 </w:t>
            </w:r>
          </w:p>
        </w:tc>
        <w:tc>
          <w:tcPr>
            <w:tcW w:w="1204" w:type="dxa"/>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sz w:val="22"/>
              </w:rPr>
            </w:pPr>
            <w:r>
              <w:t xml:space="preserve"> 61.13 </w:t>
            </w:r>
          </w:p>
        </w:tc>
        <w:tc>
          <w:tcPr>
            <w:tcW w:w="1201" w:type="dxa"/>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sz w:val="22"/>
              </w:rPr>
            </w:pPr>
            <w:r>
              <w:rPr>
                <w:rFonts w:hint="eastAsia" w:ascii="宋体" w:hAnsi="宋体" w:eastAsia="宋体"/>
                <w:sz w:val="22"/>
              </w:rPr>
              <w:t>——</w:t>
            </w:r>
          </w:p>
        </w:tc>
        <w:tc>
          <w:tcPr>
            <w:tcW w:w="995" w:type="dxa"/>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sz w:val="22"/>
              </w:rPr>
            </w:pPr>
            <w:r>
              <w:t xml:space="preserve"> 4.71 </w:t>
            </w:r>
          </w:p>
        </w:tc>
        <w:tc>
          <w:tcPr>
            <w:tcW w:w="1432" w:type="dxa"/>
            <w:tcBorders>
              <w:top w:val="double" w:color="222F28" w:sz="4" w:space="0"/>
              <w:left w:val="double" w:color="222F28" w:sz="4" w:space="0"/>
              <w:bottom w:val="double" w:color="222F28" w:sz="4" w:space="0"/>
              <w:right w:val="nil"/>
            </w:tcBorders>
          </w:tcPr>
          <w:p>
            <w:pPr>
              <w:pStyle w:val="34"/>
              <w:jc w:val="center"/>
              <w:rPr>
                <w:rFonts w:hint="eastAsia" w:ascii="宋体" w:hAnsi="宋体" w:eastAsia="宋体"/>
                <w:sz w:val="22"/>
              </w:rPr>
            </w:pPr>
            <w:r>
              <w:rPr>
                <w:rFonts w:hint="eastAsia" w:ascii="宋体" w:hAnsi="宋体" w:eastAsia="宋体"/>
                <w:sz w:val="22"/>
              </w:rPr>
              <w:t>——</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7" w:hRule="atLeast"/>
          <w:jc w:val="center"/>
        </w:trPr>
        <w:tc>
          <w:tcPr>
            <w:tcW w:w="1071" w:type="dxa"/>
            <w:tcBorders>
              <w:top w:val="double" w:color="222F28" w:sz="4" w:space="0"/>
              <w:left w:val="nil"/>
              <w:bottom w:val="double" w:color="222F28" w:sz="4" w:space="0"/>
              <w:right w:val="double" w:color="222F28" w:sz="4" w:space="0"/>
              <w:tl2br w:val="nil"/>
              <w:tr2bl w:val="nil"/>
            </w:tcBorders>
            <w:shd w:val="clear" w:color="auto" w:fill="4AB5C4"/>
            <w:vAlign w:val="center"/>
          </w:tcPr>
          <w:p>
            <w:pPr>
              <w:pStyle w:val="34"/>
              <w:rPr>
                <w:rFonts w:hint="eastAsia" w:ascii="宋体" w:hAnsi="宋体" w:eastAsia="宋体" w:cs="仿宋_GB2312"/>
                <w:color w:val="auto"/>
                <w:kern w:val="0"/>
                <w:sz w:val="22"/>
                <w:lang w:val="zh-TW"/>
              </w:rPr>
            </w:pPr>
            <w:r>
              <w:rPr>
                <w:rFonts w:hint="eastAsia" w:ascii="宋体" w:hAnsi="宋体" w:eastAsia="宋体" w:cs="仿宋_GB2312"/>
                <w:color w:val="auto"/>
                <w:kern w:val="0"/>
                <w:sz w:val="22"/>
                <w:lang w:val="zh-TW"/>
              </w:rPr>
              <w:t>企业</w:t>
            </w:r>
            <w:r>
              <w:rPr>
                <w:rFonts w:hint="eastAsia" w:ascii="宋体" w:hAnsi="宋体" w:eastAsia="宋体" w:cs="仿宋_GB2312"/>
                <w:color w:val="auto"/>
                <w:kern w:val="0"/>
                <w:sz w:val="22"/>
              </w:rPr>
              <w:t>L</w:t>
            </w:r>
          </w:p>
        </w:tc>
        <w:tc>
          <w:tcPr>
            <w:tcW w:w="1197" w:type="dxa"/>
            <w:tcBorders>
              <w:top w:val="double" w:color="222F28" w:sz="4" w:space="0"/>
              <w:left w:val="double" w:color="222F28" w:sz="4" w:space="0"/>
              <w:bottom w:val="double" w:color="222F28" w:sz="4" w:space="0"/>
            </w:tcBorders>
          </w:tcPr>
          <w:p>
            <w:pPr>
              <w:pStyle w:val="34"/>
              <w:jc w:val="center"/>
              <w:rPr>
                <w:rFonts w:hint="eastAsia" w:ascii="宋体" w:hAnsi="宋体" w:eastAsia="宋体"/>
                <w:sz w:val="22"/>
              </w:rPr>
            </w:pPr>
            <w:r>
              <w:t xml:space="preserve"> 20,789.12 </w:t>
            </w:r>
          </w:p>
        </w:tc>
        <w:tc>
          <w:tcPr>
            <w:tcW w:w="1206" w:type="dxa"/>
            <w:tcBorders>
              <w:top w:val="double" w:color="222F28" w:sz="4" w:space="0"/>
              <w:left w:val="double" w:color="222F28" w:sz="4" w:space="0"/>
              <w:bottom w:val="double" w:color="222F28" w:sz="4" w:space="0"/>
            </w:tcBorders>
          </w:tcPr>
          <w:p>
            <w:pPr>
              <w:pStyle w:val="34"/>
              <w:jc w:val="center"/>
              <w:rPr>
                <w:rFonts w:hint="eastAsia" w:ascii="宋体" w:hAnsi="宋体" w:eastAsia="宋体"/>
                <w:sz w:val="22"/>
              </w:rPr>
            </w:pPr>
            <w:r>
              <w:t xml:space="preserve"> 45,943.95 </w:t>
            </w:r>
          </w:p>
        </w:tc>
        <w:tc>
          <w:tcPr>
            <w:tcW w:w="1204" w:type="dxa"/>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sz w:val="22"/>
              </w:rPr>
            </w:pPr>
            <w:r>
              <w:t xml:space="preserve"> 16,884.76 </w:t>
            </w:r>
          </w:p>
        </w:tc>
        <w:tc>
          <w:tcPr>
            <w:tcW w:w="1201" w:type="dxa"/>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sz w:val="22"/>
              </w:rPr>
            </w:pPr>
            <w:r>
              <w:t xml:space="preserve"> 2.87 </w:t>
            </w:r>
          </w:p>
        </w:tc>
        <w:tc>
          <w:tcPr>
            <w:tcW w:w="995" w:type="dxa"/>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sz w:val="22"/>
              </w:rPr>
            </w:pPr>
            <w:r>
              <w:t xml:space="preserve"> 4.18 </w:t>
            </w:r>
          </w:p>
        </w:tc>
        <w:tc>
          <w:tcPr>
            <w:tcW w:w="1432" w:type="dxa"/>
            <w:tcBorders>
              <w:top w:val="double" w:color="222F28" w:sz="4" w:space="0"/>
              <w:left w:val="double" w:color="222F28" w:sz="4" w:space="0"/>
              <w:bottom w:val="double" w:color="222F28" w:sz="4" w:space="0"/>
              <w:right w:val="nil"/>
            </w:tcBorders>
          </w:tcPr>
          <w:p>
            <w:pPr>
              <w:pStyle w:val="34"/>
              <w:jc w:val="center"/>
              <w:rPr>
                <w:rFonts w:hint="eastAsia" w:ascii="宋体" w:hAnsi="宋体" w:eastAsia="宋体"/>
                <w:sz w:val="22"/>
              </w:rPr>
            </w:pPr>
            <w:r>
              <w:rPr>
                <w:rFonts w:hint="eastAsia" w:ascii="宋体" w:hAnsi="宋体" w:eastAsia="宋体"/>
                <w:sz w:val="22"/>
              </w:rPr>
              <w:t>——</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7" w:hRule="atLeast"/>
          <w:jc w:val="center"/>
        </w:trPr>
        <w:tc>
          <w:tcPr>
            <w:tcW w:w="1071" w:type="dxa"/>
            <w:tcBorders>
              <w:top w:val="double" w:color="222F28" w:sz="4" w:space="0"/>
              <w:left w:val="nil"/>
              <w:bottom w:val="double" w:color="222F28" w:sz="4" w:space="0"/>
              <w:right w:val="double" w:color="222F28" w:sz="4" w:space="0"/>
              <w:tl2br w:val="nil"/>
              <w:tr2bl w:val="nil"/>
            </w:tcBorders>
            <w:shd w:val="clear" w:color="auto" w:fill="4AB5C4"/>
            <w:vAlign w:val="center"/>
          </w:tcPr>
          <w:p>
            <w:pPr>
              <w:pStyle w:val="34"/>
              <w:rPr>
                <w:rFonts w:hint="eastAsia" w:ascii="宋体" w:hAnsi="宋体" w:eastAsia="宋体" w:cs="仿宋_GB2312"/>
                <w:color w:val="auto"/>
                <w:kern w:val="0"/>
                <w:sz w:val="22"/>
                <w:lang w:val="zh-TW"/>
              </w:rPr>
            </w:pPr>
            <w:r>
              <w:rPr>
                <w:rFonts w:hint="eastAsia" w:ascii="宋体" w:hAnsi="宋体" w:eastAsia="宋体" w:cs="仿宋_GB2312"/>
                <w:color w:val="auto"/>
                <w:kern w:val="0"/>
                <w:sz w:val="22"/>
                <w:lang w:val="zh-TW"/>
              </w:rPr>
              <w:t>企业</w:t>
            </w:r>
            <w:r>
              <w:rPr>
                <w:rFonts w:hint="eastAsia" w:ascii="宋体" w:hAnsi="宋体" w:eastAsia="宋体" w:cs="仿宋_GB2312"/>
                <w:color w:val="auto"/>
                <w:kern w:val="0"/>
                <w:sz w:val="22"/>
              </w:rPr>
              <w:t>M</w:t>
            </w:r>
          </w:p>
        </w:tc>
        <w:tc>
          <w:tcPr>
            <w:tcW w:w="1197" w:type="dxa"/>
            <w:tcBorders>
              <w:top w:val="double" w:color="222F28" w:sz="4" w:space="0"/>
              <w:left w:val="double" w:color="222F28" w:sz="4" w:space="0"/>
              <w:bottom w:val="double" w:color="222F28" w:sz="4" w:space="0"/>
            </w:tcBorders>
          </w:tcPr>
          <w:p>
            <w:pPr>
              <w:pStyle w:val="34"/>
              <w:jc w:val="center"/>
              <w:rPr>
                <w:rFonts w:hint="eastAsia" w:ascii="宋体" w:hAnsi="宋体" w:eastAsia="宋体"/>
                <w:sz w:val="22"/>
              </w:rPr>
            </w:pPr>
            <w:r>
              <w:t xml:space="preserve"> 13,262.21 </w:t>
            </w:r>
          </w:p>
        </w:tc>
        <w:tc>
          <w:tcPr>
            <w:tcW w:w="1206" w:type="dxa"/>
            <w:tcBorders>
              <w:top w:val="double" w:color="222F28" w:sz="4" w:space="0"/>
              <w:left w:val="double" w:color="222F28" w:sz="4" w:space="0"/>
              <w:bottom w:val="double" w:color="222F28" w:sz="4" w:space="0"/>
            </w:tcBorders>
          </w:tcPr>
          <w:p>
            <w:pPr>
              <w:pStyle w:val="34"/>
              <w:jc w:val="center"/>
              <w:rPr>
                <w:rFonts w:hint="eastAsia" w:ascii="宋体" w:hAnsi="宋体" w:eastAsia="宋体"/>
                <w:sz w:val="22"/>
              </w:rPr>
            </w:pPr>
            <w:r>
              <w:t xml:space="preserve"> 29,309.49 </w:t>
            </w:r>
          </w:p>
        </w:tc>
        <w:tc>
          <w:tcPr>
            <w:tcW w:w="1204" w:type="dxa"/>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sz w:val="22"/>
              </w:rPr>
            </w:pPr>
            <w:r>
              <w:t xml:space="preserve"> 9,111.03 </w:t>
            </w:r>
          </w:p>
        </w:tc>
        <w:tc>
          <w:tcPr>
            <w:tcW w:w="1201" w:type="dxa"/>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sz w:val="22"/>
              </w:rPr>
            </w:pPr>
            <w:r>
              <w:t xml:space="preserve"> 51.99 </w:t>
            </w:r>
          </w:p>
        </w:tc>
        <w:tc>
          <w:tcPr>
            <w:tcW w:w="995" w:type="dxa"/>
            <w:tcBorders>
              <w:top w:val="double" w:color="222F28" w:sz="4" w:space="0"/>
              <w:left w:val="double" w:color="222F28" w:sz="4" w:space="0"/>
              <w:bottom w:val="double" w:color="222F28" w:sz="4" w:space="0"/>
              <w:right w:val="double" w:color="222F28" w:sz="4" w:space="0"/>
            </w:tcBorders>
          </w:tcPr>
          <w:p>
            <w:pPr>
              <w:pStyle w:val="34"/>
              <w:jc w:val="center"/>
              <w:rPr>
                <w:rFonts w:hint="eastAsia" w:ascii="宋体" w:hAnsi="宋体" w:eastAsia="宋体"/>
                <w:sz w:val="22"/>
              </w:rPr>
            </w:pPr>
            <w:r>
              <w:rPr>
                <w:rFonts w:hint="eastAsia" w:ascii="宋体" w:hAnsi="宋体" w:eastAsia="宋体"/>
                <w:sz w:val="22"/>
              </w:rPr>
              <w:t>——</w:t>
            </w:r>
          </w:p>
        </w:tc>
        <w:tc>
          <w:tcPr>
            <w:tcW w:w="1432" w:type="dxa"/>
            <w:tcBorders>
              <w:top w:val="double" w:color="222F28" w:sz="4" w:space="0"/>
              <w:left w:val="double" w:color="222F28" w:sz="4" w:space="0"/>
              <w:bottom w:val="double" w:color="222F28" w:sz="4" w:space="0"/>
              <w:right w:val="nil"/>
            </w:tcBorders>
          </w:tcPr>
          <w:p>
            <w:pPr>
              <w:pStyle w:val="34"/>
              <w:jc w:val="center"/>
              <w:rPr>
                <w:rFonts w:hint="eastAsia" w:ascii="宋体" w:hAnsi="宋体" w:eastAsia="宋体"/>
                <w:sz w:val="22"/>
              </w:rPr>
            </w:pPr>
            <w:r>
              <w:t xml:space="preserve"> 96.63 </w:t>
            </w:r>
          </w:p>
        </w:tc>
      </w:tr>
    </w:tbl>
    <w:p>
      <w:pPr>
        <w:spacing w:line="360" w:lineRule="auto"/>
        <w:rPr>
          <w:rFonts w:hint="eastAsia" w:ascii="宋体" w:hAnsi="宋体" w:eastAsia="宋体" w:cs="Times New Roman"/>
          <w:kern w:val="0"/>
          <w:szCs w:val="21"/>
        </w:rPr>
      </w:pPr>
      <w:r>
        <w:rPr>
          <w:rFonts w:hint="eastAsia" w:ascii="宋体" w:hAnsi="宋体" w:eastAsia="宋体" w:cs="Times New Roman"/>
          <w:kern w:val="0"/>
          <w:szCs w:val="21"/>
        </w:rPr>
        <w:t>注：</w:t>
      </w:r>
    </w:p>
    <w:p>
      <w:pPr>
        <w:spacing w:line="360" w:lineRule="auto"/>
        <w:ind w:firstLine="420" w:firstLineChars="200"/>
        <w:rPr>
          <w:rFonts w:hint="eastAsia" w:ascii="宋体" w:hAnsi="宋体" w:eastAsia="宋体"/>
          <w:i/>
          <w:iCs/>
          <w:color w:val="252525"/>
          <w:szCs w:val="21"/>
        </w:rPr>
      </w:pPr>
      <w:r>
        <w:rPr>
          <w:rFonts w:hint="eastAsia" w:ascii="宋体" w:hAnsi="宋体" w:eastAsia="宋体" w:cs="Times New Roman"/>
          <w:kern w:val="0"/>
          <w:szCs w:val="21"/>
          <w:lang w:val="zh-CN"/>
        </w:rPr>
        <w:t>标煤</w:t>
      </w:r>
      <w:r>
        <w:rPr>
          <w:rFonts w:hint="eastAsia" w:ascii="宋体" w:hAnsi="宋体" w:eastAsia="宋体" w:cs="Times New Roman"/>
          <w:kern w:val="0"/>
          <w:szCs w:val="21"/>
        </w:rPr>
        <w:t>系数</w:t>
      </w:r>
      <w:r>
        <w:rPr>
          <w:rFonts w:hint="eastAsia" w:ascii="宋体" w:hAnsi="宋体" w:eastAsia="宋体" w:cs="Times New Roman"/>
          <w:kern w:val="0"/>
          <w:szCs w:val="21"/>
          <w:lang w:val="zh-CN"/>
        </w:rPr>
        <w:t>参考国家能源统计局《能源购进、销售与库存》表，</w:t>
      </w:r>
      <w:r>
        <w:rPr>
          <w:rFonts w:hint="eastAsia" w:ascii="宋体" w:hAnsi="宋体" w:eastAsia="宋体" w:cs="Times New Roman"/>
          <w:kern w:val="0"/>
          <w:szCs w:val="21"/>
        </w:rPr>
        <w:t>电力折标煤系数为1.229吨标准煤/万千瓦时，天然气折标煤系数为11吨标准煤/万立方米天然气，汽油折标煤系数为1.4714吨标准煤/吨，柴油为1.4571吨标准煤/吨，热力为0.0341吨标准煤；</w:t>
      </w:r>
      <w:r>
        <w:rPr>
          <w:rFonts w:hint="eastAsia" w:ascii="宋体" w:hAnsi="宋体" w:eastAsia="宋体" w:cs="Times New Roman"/>
          <w:kern w:val="0"/>
          <w:szCs w:val="21"/>
          <w:lang w:val="zh-CN"/>
        </w:rPr>
        <w:t>碳排放系数</w:t>
      </w:r>
      <w:r>
        <w:rPr>
          <w:rFonts w:hint="eastAsia" w:ascii="宋体" w:hAnsi="宋体" w:eastAsia="宋体" w:cs="Times New Roman"/>
          <w:kern w:val="0"/>
          <w:szCs w:val="21"/>
        </w:rPr>
        <w:t>参考国家金融监督管理局</w:t>
      </w:r>
      <w:r>
        <w:rPr>
          <w:rFonts w:hint="eastAsia" w:ascii="宋体" w:hAnsi="宋体" w:eastAsia="宋体" w:cs="Times New Roman"/>
          <w:kern w:val="0"/>
          <w:szCs w:val="21"/>
          <w:lang w:val="zh-CN"/>
        </w:rPr>
        <w:t>《绿色信贷项目节能减排量测算指引》，</w:t>
      </w:r>
      <w:r>
        <w:rPr>
          <w:rFonts w:hint="eastAsia" w:ascii="宋体" w:hAnsi="宋体" w:eastAsia="宋体" w:cs="Times New Roman"/>
          <w:kern w:val="0"/>
          <w:szCs w:val="21"/>
        </w:rPr>
        <w:t>碳排放系数为2.21，即1吨标煤折2.21吨二氧化碳排放</w:t>
      </w:r>
      <w:r>
        <w:rPr>
          <w:rFonts w:hint="eastAsia" w:ascii="宋体" w:hAnsi="宋体" w:eastAsia="宋体" w:cs="Times New Roman"/>
          <w:kern w:val="0"/>
          <w:szCs w:val="21"/>
          <w:lang w:val="zh-CN"/>
        </w:rPr>
        <w:t>。</w:t>
      </w:r>
    </w:p>
    <w:p>
      <w:pPr>
        <w:pStyle w:val="31"/>
        <w:spacing w:line="360" w:lineRule="auto"/>
        <w:ind w:firstLine="0" w:firstLineChars="0"/>
        <w:outlineLvl w:val="1"/>
        <w:rPr>
          <w:rFonts w:hint="eastAsia" w:ascii="宋体" w:hAnsi="宋体" w:eastAsia="宋体"/>
          <w:color w:val="252525"/>
          <w:sz w:val="28"/>
          <w:szCs w:val="28"/>
        </w:rPr>
      </w:pPr>
      <w:bookmarkStart w:id="26" w:name="_Toc24333"/>
      <w:r>
        <w:rPr>
          <w:rFonts w:hint="eastAsia" w:ascii="宋体" w:hAnsi="宋体" w:eastAsia="宋体"/>
          <w:color w:val="252525"/>
          <w:sz w:val="28"/>
          <w:szCs w:val="28"/>
        </w:rPr>
        <w:t>7.2 本公司投融资环境影响的测算与表达</w:t>
      </w:r>
      <w:bookmarkEnd w:id="26"/>
    </w:p>
    <w:p>
      <w:pPr>
        <w:spacing w:line="360" w:lineRule="auto"/>
        <w:ind w:firstLine="560" w:firstLineChars="200"/>
        <w:rPr>
          <w:rFonts w:hint="eastAsia" w:ascii="宋体" w:hAnsi="宋体" w:eastAsia="宋体"/>
          <w:color w:val="252525"/>
          <w:sz w:val="24"/>
          <w:szCs w:val="24"/>
        </w:rPr>
      </w:pPr>
      <w:r>
        <w:rPr>
          <w:rFonts w:hint="eastAsia" w:ascii="宋体" w:hAnsi="宋体" w:eastAsia="宋体"/>
          <w:color w:val="252525"/>
          <w:sz w:val="28"/>
          <w:szCs w:val="28"/>
        </w:rPr>
        <w:t>本公司基于融资主体的月均融资额与融资主体主营业务收入的比例，分摊折算非项目融资业务对应的碳排放量。</w:t>
      </w:r>
    </w:p>
    <w:p>
      <w:pPr>
        <w:pStyle w:val="31"/>
        <w:spacing w:line="360" w:lineRule="auto"/>
        <w:ind w:firstLine="0" w:firstLineChars="0"/>
        <w:outlineLvl w:val="0"/>
        <w:rPr>
          <w:rFonts w:hint="eastAsia" w:ascii="宋体" w:hAnsi="宋体" w:eastAsia="宋体"/>
          <w:b/>
          <w:bCs/>
          <w:sz w:val="30"/>
          <w:szCs w:val="30"/>
        </w:rPr>
      </w:pPr>
      <w:bookmarkStart w:id="27" w:name="_Toc27524"/>
      <w:r>
        <w:rPr>
          <w:rFonts w:hint="eastAsia" w:ascii="宋体" w:hAnsi="宋体" w:eastAsia="宋体"/>
          <w:b/>
          <w:bCs/>
          <w:sz w:val="30"/>
          <w:szCs w:val="30"/>
        </w:rPr>
        <w:t>8.机构经营活动环境影响</w:t>
      </w:r>
      <w:bookmarkEnd w:id="27"/>
    </w:p>
    <w:p>
      <w:pPr>
        <w:pStyle w:val="31"/>
        <w:spacing w:line="360" w:lineRule="auto"/>
        <w:ind w:firstLine="0" w:firstLineChars="0"/>
        <w:outlineLvl w:val="1"/>
        <w:rPr>
          <w:rFonts w:hint="eastAsia" w:ascii="宋体" w:hAnsi="宋体" w:eastAsia="宋体"/>
          <w:color w:val="252525"/>
          <w:sz w:val="28"/>
          <w:szCs w:val="28"/>
        </w:rPr>
      </w:pPr>
      <w:bookmarkStart w:id="28" w:name="_Toc26521"/>
      <w:r>
        <w:rPr>
          <w:rFonts w:hint="eastAsia" w:ascii="宋体" w:hAnsi="宋体" w:eastAsia="宋体"/>
          <w:color w:val="252525"/>
          <w:sz w:val="28"/>
          <w:szCs w:val="28"/>
        </w:rPr>
        <w:t>8.1 温室气体排放和自然资源消耗</w:t>
      </w:r>
      <w:bookmarkEnd w:id="28"/>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2</w:t>
      </w:r>
      <w:r>
        <w:rPr>
          <w:rFonts w:ascii="宋体" w:hAnsi="宋体" w:eastAsia="宋体"/>
          <w:color w:val="252525"/>
          <w:sz w:val="28"/>
          <w:szCs w:val="28"/>
        </w:rPr>
        <w:t>02</w:t>
      </w:r>
      <w:r>
        <w:rPr>
          <w:rFonts w:hint="eastAsia" w:ascii="宋体" w:hAnsi="宋体" w:eastAsia="宋体"/>
          <w:color w:val="252525"/>
          <w:sz w:val="28"/>
          <w:szCs w:val="28"/>
        </w:rPr>
        <w:t>3年度，本公司营业、办公用电14.08万千瓦时，人均消耗0.38万千瓦时，产生温室气体排放量</w:t>
      </w:r>
      <w:r>
        <w:rPr>
          <w:rFonts w:hint="eastAsia" w:ascii="宋体" w:hAnsi="宋体" w:eastAsia="宋体"/>
          <w:color w:val="000000" w:themeColor="text1"/>
          <w:sz w:val="28"/>
          <w:szCs w:val="28"/>
          <w14:textFill>
            <w14:solidFill>
              <w14:schemeClr w14:val="tx1"/>
            </w14:solidFill>
          </w14:textFill>
        </w:rPr>
        <w:t>17.68</w:t>
      </w:r>
      <w:r>
        <w:rPr>
          <w:rFonts w:hint="eastAsia" w:ascii="宋体" w:hAnsi="宋体" w:eastAsia="宋体"/>
          <w:color w:val="252525"/>
          <w:sz w:val="28"/>
          <w:szCs w:val="28"/>
        </w:rPr>
        <w:t>吨，人均温室气体排放量0.48吨；本公司经营用水1890吨，人均消耗51.08吨。</w:t>
      </w:r>
    </w:p>
    <w:p>
      <w:pPr>
        <w:spacing w:line="360" w:lineRule="auto"/>
        <w:jc w:val="center"/>
        <w:rPr>
          <w:rFonts w:hint="eastAsia" w:ascii="宋体" w:hAnsi="宋体" w:eastAsia="宋体" w:cs="宋体"/>
          <w:b/>
          <w:bCs/>
          <w:szCs w:val="21"/>
        </w:rPr>
      </w:pPr>
      <w:r>
        <w:rPr>
          <w:rFonts w:hint="eastAsia" w:ascii="宋体" w:hAnsi="宋体" w:eastAsia="宋体" w:cs="宋体"/>
          <w:b/>
          <w:bCs/>
          <w:szCs w:val="21"/>
        </w:rPr>
        <w:t>表</w:t>
      </w:r>
      <w:r>
        <w:rPr>
          <w:rFonts w:ascii="宋体" w:hAnsi="宋体" w:eastAsia="宋体" w:cs="宋体"/>
          <w:b/>
          <w:bCs/>
          <w:szCs w:val="21"/>
        </w:rPr>
        <w:t>4</w:t>
      </w:r>
      <w:r>
        <w:rPr>
          <w:rFonts w:hint="eastAsia" w:ascii="宋体" w:hAnsi="宋体" w:eastAsia="宋体" w:cs="宋体"/>
          <w:b/>
          <w:bCs/>
          <w:szCs w:val="21"/>
        </w:rPr>
        <w:t>：本公司经营活动产生的直接和间接自然资源消耗表</w:t>
      </w:r>
    </w:p>
    <w:tbl>
      <w:tblPr>
        <w:tblStyle w:val="26"/>
        <w:tblW w:w="7347" w:type="dxa"/>
        <w:jc w:val="center"/>
        <w:tblInd w:w="0" w:type="dxa"/>
        <w:tblLayout w:type="fixed"/>
        <w:tblCellMar>
          <w:top w:w="0" w:type="dxa"/>
          <w:left w:w="108" w:type="dxa"/>
          <w:bottom w:w="0" w:type="dxa"/>
          <w:right w:w="108" w:type="dxa"/>
        </w:tblCellMar>
      </w:tblPr>
      <w:tblGrid>
        <w:gridCol w:w="1222"/>
        <w:gridCol w:w="81"/>
        <w:gridCol w:w="2219"/>
        <w:gridCol w:w="958"/>
        <w:gridCol w:w="958"/>
        <w:gridCol w:w="958"/>
        <w:gridCol w:w="951"/>
      </w:tblGrid>
      <w:tr>
        <w:tblPrEx>
          <w:tblLayout w:type="fixed"/>
          <w:tblCellMar>
            <w:top w:w="0" w:type="dxa"/>
            <w:left w:w="108" w:type="dxa"/>
            <w:bottom w:w="0" w:type="dxa"/>
            <w:right w:w="108" w:type="dxa"/>
          </w:tblCellMar>
        </w:tblPrEx>
        <w:trPr>
          <w:trHeight w:val="301" w:hRule="atLeast"/>
          <w:jc w:val="center"/>
        </w:trPr>
        <w:tc>
          <w:tcPr>
            <w:tcW w:w="1222" w:type="dxa"/>
            <w:tcBorders>
              <w:top w:val="single" w:color="auto" w:sz="18" w:space="0"/>
              <w:left w:val="nil"/>
              <w:bottom w:val="single" w:color="auto" w:sz="18" w:space="0"/>
              <w:right w:val="nil"/>
              <w:tl2br w:val="nil"/>
              <w:tr2bl w:val="nil"/>
            </w:tcBorders>
            <w:shd w:val="clear" w:color="auto" w:fill="215D66"/>
            <w:vAlign w:val="center"/>
          </w:tcPr>
          <w:p>
            <w:pPr>
              <w:jc w:val="center"/>
              <w:rPr>
                <w:rFonts w:hint="eastAsia" w:ascii="宋体" w:hAnsi="宋体" w:eastAsia="宋体"/>
                <w:b/>
                <w:bCs/>
                <w:color w:val="FFFFFF"/>
                <w:kern w:val="0"/>
                <w:sz w:val="22"/>
                <w:szCs w:val="21"/>
              </w:rPr>
            </w:pPr>
            <w:r>
              <w:rPr>
                <w:rFonts w:hint="eastAsia" w:ascii="宋体" w:hAnsi="宋体" w:eastAsia="宋体"/>
                <w:b/>
                <w:bCs/>
                <w:color w:val="FFFFFF"/>
                <w:kern w:val="0"/>
                <w:sz w:val="22"/>
                <w:szCs w:val="21"/>
              </w:rPr>
              <w:t>指标名称</w:t>
            </w:r>
          </w:p>
        </w:tc>
        <w:tc>
          <w:tcPr>
            <w:tcW w:w="2300" w:type="dxa"/>
            <w:gridSpan w:val="2"/>
            <w:tcBorders>
              <w:top w:val="single" w:color="auto" w:sz="18" w:space="0"/>
              <w:left w:val="nil"/>
              <w:bottom w:val="single" w:color="auto" w:sz="18" w:space="0"/>
              <w:right w:val="nil"/>
              <w:tl2br w:val="nil"/>
              <w:tr2bl w:val="nil"/>
            </w:tcBorders>
            <w:shd w:val="clear" w:color="auto" w:fill="215D66"/>
            <w:vAlign w:val="center"/>
          </w:tcPr>
          <w:p>
            <w:pPr>
              <w:jc w:val="center"/>
              <w:rPr>
                <w:rFonts w:hint="eastAsia" w:ascii="宋体" w:hAnsi="宋体" w:eastAsia="宋体"/>
                <w:b/>
                <w:bCs/>
                <w:color w:val="FFFFFF"/>
                <w:kern w:val="0"/>
                <w:sz w:val="22"/>
                <w:szCs w:val="21"/>
              </w:rPr>
            </w:pPr>
            <w:r>
              <w:rPr>
                <w:rFonts w:hint="eastAsia" w:ascii="宋体" w:hAnsi="宋体" w:eastAsia="宋体"/>
                <w:b/>
                <w:bCs/>
                <w:color w:val="FFFFFF"/>
                <w:kern w:val="0"/>
                <w:sz w:val="22"/>
                <w:szCs w:val="21"/>
                <w:lang w:val="zh-CN"/>
              </w:rPr>
              <w:t>披露细项</w:t>
            </w:r>
          </w:p>
        </w:tc>
        <w:tc>
          <w:tcPr>
            <w:tcW w:w="958" w:type="dxa"/>
            <w:tcBorders>
              <w:top w:val="single" w:color="auto" w:sz="18" w:space="0"/>
              <w:left w:val="nil"/>
              <w:bottom w:val="single" w:color="auto" w:sz="18" w:space="0"/>
              <w:right w:val="nil"/>
              <w:tl2br w:val="nil"/>
              <w:tr2bl w:val="nil"/>
            </w:tcBorders>
            <w:shd w:val="clear" w:color="auto" w:fill="215D66"/>
            <w:vAlign w:val="center"/>
          </w:tcPr>
          <w:p>
            <w:pPr>
              <w:jc w:val="center"/>
              <w:rPr>
                <w:rFonts w:hint="eastAsia" w:ascii="宋体" w:hAnsi="宋体" w:eastAsia="宋体"/>
                <w:b/>
                <w:bCs/>
                <w:color w:val="FFFFFF"/>
                <w:kern w:val="0"/>
                <w:sz w:val="22"/>
                <w:szCs w:val="21"/>
              </w:rPr>
            </w:pPr>
            <w:r>
              <w:rPr>
                <w:rFonts w:ascii="宋体" w:hAnsi="宋体" w:eastAsia="宋体"/>
                <w:b/>
                <w:bCs/>
                <w:color w:val="FFFFFF"/>
                <w:kern w:val="0"/>
                <w:sz w:val="22"/>
                <w:szCs w:val="21"/>
              </w:rPr>
              <w:t>202</w:t>
            </w:r>
            <w:r>
              <w:rPr>
                <w:rFonts w:hint="eastAsia" w:ascii="宋体" w:hAnsi="宋体" w:eastAsia="宋体"/>
                <w:b/>
                <w:bCs/>
                <w:color w:val="FFFFFF"/>
                <w:kern w:val="0"/>
                <w:sz w:val="22"/>
                <w:szCs w:val="21"/>
              </w:rPr>
              <w:t>3年消耗总量</w:t>
            </w:r>
          </w:p>
        </w:tc>
        <w:tc>
          <w:tcPr>
            <w:tcW w:w="958" w:type="dxa"/>
            <w:tcBorders>
              <w:top w:val="single" w:color="auto" w:sz="18" w:space="0"/>
              <w:left w:val="nil"/>
              <w:bottom w:val="single" w:color="auto" w:sz="18" w:space="0"/>
              <w:right w:val="nil"/>
              <w:tl2br w:val="nil"/>
              <w:tr2bl w:val="nil"/>
            </w:tcBorders>
            <w:shd w:val="clear" w:color="auto" w:fill="215D66"/>
            <w:vAlign w:val="center"/>
          </w:tcPr>
          <w:p>
            <w:pPr>
              <w:jc w:val="center"/>
              <w:rPr>
                <w:rFonts w:hint="eastAsia" w:ascii="宋体" w:hAnsi="宋体" w:eastAsia="宋体"/>
                <w:b/>
                <w:bCs/>
                <w:color w:val="FFFFFF"/>
                <w:kern w:val="0"/>
                <w:sz w:val="22"/>
                <w:szCs w:val="21"/>
              </w:rPr>
            </w:pPr>
            <w:r>
              <w:rPr>
                <w:rFonts w:hint="eastAsia" w:ascii="宋体" w:hAnsi="宋体" w:eastAsia="宋体"/>
                <w:b/>
                <w:bCs/>
                <w:color w:val="FFFFFF"/>
                <w:kern w:val="0"/>
                <w:sz w:val="22"/>
                <w:szCs w:val="21"/>
              </w:rPr>
              <w:t>2</w:t>
            </w:r>
            <w:r>
              <w:rPr>
                <w:rFonts w:ascii="宋体" w:hAnsi="宋体" w:eastAsia="宋体"/>
                <w:b/>
                <w:bCs/>
                <w:color w:val="FFFFFF"/>
                <w:kern w:val="0"/>
                <w:sz w:val="22"/>
                <w:szCs w:val="21"/>
              </w:rPr>
              <w:t>02</w:t>
            </w:r>
            <w:r>
              <w:rPr>
                <w:rFonts w:hint="eastAsia" w:ascii="宋体" w:hAnsi="宋体" w:eastAsia="宋体"/>
                <w:b/>
                <w:bCs/>
                <w:color w:val="FFFFFF"/>
                <w:kern w:val="0"/>
                <w:sz w:val="22"/>
                <w:szCs w:val="21"/>
              </w:rPr>
              <w:t>2年消耗总量</w:t>
            </w:r>
          </w:p>
        </w:tc>
        <w:tc>
          <w:tcPr>
            <w:tcW w:w="958" w:type="dxa"/>
            <w:tcBorders>
              <w:top w:val="single" w:color="auto" w:sz="18" w:space="0"/>
              <w:left w:val="nil"/>
              <w:bottom w:val="single" w:color="auto" w:sz="18" w:space="0"/>
              <w:right w:val="nil"/>
              <w:tl2br w:val="nil"/>
              <w:tr2bl w:val="nil"/>
            </w:tcBorders>
            <w:shd w:val="clear" w:color="auto" w:fill="215D66"/>
            <w:vAlign w:val="center"/>
          </w:tcPr>
          <w:p>
            <w:pPr>
              <w:jc w:val="center"/>
              <w:rPr>
                <w:rFonts w:hint="eastAsia" w:ascii="宋体" w:hAnsi="宋体" w:eastAsia="宋体"/>
                <w:b/>
                <w:bCs/>
                <w:color w:val="FFFFFF"/>
                <w:kern w:val="0"/>
                <w:sz w:val="22"/>
                <w:szCs w:val="21"/>
              </w:rPr>
            </w:pPr>
            <w:r>
              <w:rPr>
                <w:rFonts w:hint="eastAsia" w:ascii="宋体" w:hAnsi="宋体" w:eastAsia="宋体"/>
                <w:b/>
                <w:bCs/>
                <w:color w:val="FFFFFF"/>
                <w:kern w:val="0"/>
                <w:sz w:val="22"/>
                <w:szCs w:val="21"/>
              </w:rPr>
              <w:t>2</w:t>
            </w:r>
            <w:r>
              <w:rPr>
                <w:rFonts w:ascii="宋体" w:hAnsi="宋体" w:eastAsia="宋体"/>
                <w:b/>
                <w:bCs/>
                <w:color w:val="FFFFFF"/>
                <w:kern w:val="0"/>
                <w:sz w:val="22"/>
                <w:szCs w:val="21"/>
              </w:rPr>
              <w:t>02</w:t>
            </w:r>
            <w:r>
              <w:rPr>
                <w:rFonts w:hint="eastAsia" w:ascii="宋体" w:hAnsi="宋体" w:eastAsia="宋体"/>
                <w:b/>
                <w:bCs/>
                <w:color w:val="FFFFFF"/>
                <w:kern w:val="0"/>
                <w:sz w:val="22"/>
                <w:szCs w:val="21"/>
              </w:rPr>
              <w:t>3年人均消耗量</w:t>
            </w:r>
          </w:p>
        </w:tc>
        <w:tc>
          <w:tcPr>
            <w:tcW w:w="951" w:type="dxa"/>
            <w:tcBorders>
              <w:top w:val="single" w:color="auto" w:sz="18" w:space="0"/>
              <w:left w:val="nil"/>
              <w:bottom w:val="single" w:color="auto" w:sz="18" w:space="0"/>
              <w:right w:val="nil"/>
              <w:tl2br w:val="nil"/>
              <w:tr2bl w:val="nil"/>
            </w:tcBorders>
            <w:shd w:val="clear" w:color="auto" w:fill="215D66"/>
            <w:vAlign w:val="center"/>
          </w:tcPr>
          <w:p>
            <w:pPr>
              <w:jc w:val="center"/>
              <w:rPr>
                <w:rFonts w:hint="eastAsia" w:ascii="宋体" w:hAnsi="宋体" w:eastAsia="宋体"/>
                <w:b/>
                <w:bCs/>
                <w:color w:val="FFFFFF"/>
                <w:kern w:val="0"/>
                <w:sz w:val="22"/>
                <w:szCs w:val="21"/>
              </w:rPr>
            </w:pPr>
            <w:r>
              <w:rPr>
                <w:rFonts w:hint="eastAsia" w:ascii="宋体" w:hAnsi="宋体" w:eastAsia="宋体"/>
                <w:b/>
                <w:bCs/>
                <w:color w:val="FFFFFF"/>
                <w:kern w:val="0"/>
                <w:sz w:val="22"/>
                <w:szCs w:val="21"/>
              </w:rPr>
              <w:t>2</w:t>
            </w:r>
            <w:r>
              <w:rPr>
                <w:rFonts w:ascii="宋体" w:hAnsi="宋体" w:eastAsia="宋体"/>
                <w:b/>
                <w:bCs/>
                <w:color w:val="FFFFFF"/>
                <w:kern w:val="0"/>
                <w:sz w:val="22"/>
                <w:szCs w:val="21"/>
              </w:rPr>
              <w:t>02</w:t>
            </w:r>
            <w:r>
              <w:rPr>
                <w:rFonts w:hint="eastAsia" w:ascii="宋体" w:hAnsi="宋体" w:eastAsia="宋体"/>
                <w:b/>
                <w:bCs/>
                <w:color w:val="FFFFFF"/>
                <w:kern w:val="0"/>
                <w:sz w:val="22"/>
                <w:szCs w:val="21"/>
              </w:rPr>
              <w:t>2年人均消耗量</w:t>
            </w:r>
          </w:p>
        </w:tc>
      </w:tr>
      <w:tr>
        <w:tblPrEx>
          <w:tblLayout w:type="fixed"/>
          <w:tblCellMar>
            <w:top w:w="0" w:type="dxa"/>
            <w:left w:w="108" w:type="dxa"/>
            <w:bottom w:w="0" w:type="dxa"/>
            <w:right w:w="108" w:type="dxa"/>
          </w:tblCellMar>
        </w:tblPrEx>
        <w:trPr>
          <w:trHeight w:val="713" w:hRule="atLeast"/>
          <w:jc w:val="center"/>
        </w:trPr>
        <w:tc>
          <w:tcPr>
            <w:tcW w:w="1303" w:type="dxa"/>
            <w:gridSpan w:val="2"/>
            <w:vMerge w:val="restart"/>
            <w:tcBorders>
              <w:top w:val="single" w:color="auto" w:sz="18" w:space="0"/>
              <w:left w:val="nil"/>
              <w:bottom w:val="single" w:color="auto" w:sz="4" w:space="0"/>
              <w:right w:val="nil"/>
              <w:tl2br w:val="nil"/>
              <w:tr2bl w:val="nil"/>
            </w:tcBorders>
            <w:shd w:val="clear" w:color="auto" w:fill="D6E1DB"/>
            <w:vAlign w:val="center"/>
          </w:tcPr>
          <w:p>
            <w:pPr>
              <w:rPr>
                <w:rFonts w:hint="eastAsia" w:ascii="宋体" w:hAnsi="宋体" w:eastAsia="宋体"/>
                <w:b/>
                <w:bCs/>
                <w:color w:val="FFFFFF"/>
                <w:kern w:val="0"/>
                <w:sz w:val="22"/>
                <w:szCs w:val="21"/>
              </w:rPr>
            </w:pPr>
            <w:r>
              <w:rPr>
                <w:rFonts w:hint="eastAsia" w:ascii="宋体" w:hAnsi="宋体" w:eastAsia="宋体"/>
                <w:b/>
                <w:bCs/>
                <w:kern w:val="0"/>
                <w:sz w:val="22"/>
                <w:szCs w:val="21"/>
                <w:lang w:val="zh-CN"/>
              </w:rPr>
              <w:t>经营活动直接产生的温室气体排放和自然资源消耗</w:t>
            </w:r>
          </w:p>
        </w:tc>
        <w:tc>
          <w:tcPr>
            <w:tcW w:w="2219" w:type="dxa"/>
            <w:tcBorders>
              <w:bottom w:val="single" w:color="auto" w:sz="4" w:space="0"/>
            </w:tcBorders>
            <w:shd w:val="clear" w:color="auto" w:fill="F2F2F2"/>
            <w:vAlign w:val="center"/>
          </w:tcPr>
          <w:p>
            <w:pPr>
              <w:pStyle w:val="32"/>
              <w:rPr>
                <w:rFonts w:hint="eastAsia" w:ascii="宋体" w:hAnsi="宋体" w:eastAsia="宋体"/>
                <w:sz w:val="21"/>
                <w:szCs w:val="21"/>
              </w:rPr>
            </w:pPr>
            <w:r>
              <w:rPr>
                <w:rFonts w:hint="eastAsia" w:ascii="宋体" w:hAnsi="宋体" w:eastAsia="宋体" w:cs="仿宋_GB2312"/>
                <w:sz w:val="21"/>
                <w:szCs w:val="21"/>
                <w:lang w:val="zh-TW" w:eastAsia="zh-TW"/>
              </w:rPr>
              <w:t>自有交通运输工具所消耗的燃油</w:t>
            </w:r>
            <w:r>
              <w:rPr>
                <w:rFonts w:hint="eastAsia" w:ascii="宋体" w:hAnsi="宋体" w:eastAsia="宋体" w:cs="仿宋_GB2312"/>
                <w:sz w:val="21"/>
                <w:szCs w:val="21"/>
                <w:lang w:val="zh-TW"/>
              </w:rPr>
              <w:t>（升）</w:t>
            </w:r>
          </w:p>
        </w:tc>
        <w:tc>
          <w:tcPr>
            <w:tcW w:w="958" w:type="dxa"/>
            <w:tcBorders>
              <w:bottom w:val="single" w:color="auto" w:sz="4" w:space="0"/>
            </w:tcBorders>
            <w:shd w:val="clear" w:color="auto" w:fill="F2F2F2"/>
            <w:vAlign w:val="center"/>
          </w:tcPr>
          <w:p>
            <w:pPr>
              <w:widowControl/>
              <w:jc w:val="center"/>
              <w:textAlignment w:val="center"/>
              <w:rPr>
                <w:rFonts w:hint="eastAsia" w:ascii="宋体" w:hAnsi="宋体" w:eastAsia="宋体" w:cs="宋体"/>
                <w:color w:val="000000"/>
                <w:sz w:val="22"/>
                <w:szCs w:val="21"/>
              </w:rPr>
            </w:pPr>
            <w:r>
              <w:rPr>
                <w:rFonts w:hint="eastAsia" w:ascii="宋体" w:hAnsi="宋体" w:eastAsia="宋体" w:cs="宋体"/>
                <w:color w:val="000000"/>
                <w:sz w:val="22"/>
                <w:szCs w:val="21"/>
              </w:rPr>
              <w:t>——</w:t>
            </w:r>
          </w:p>
        </w:tc>
        <w:tc>
          <w:tcPr>
            <w:tcW w:w="958" w:type="dxa"/>
            <w:tcBorders>
              <w:bottom w:val="single" w:color="auto" w:sz="4" w:space="0"/>
            </w:tcBorders>
            <w:shd w:val="clear" w:color="auto" w:fill="F2F2F2"/>
            <w:vAlign w:val="center"/>
          </w:tcPr>
          <w:p>
            <w:pPr>
              <w:widowControl/>
              <w:jc w:val="center"/>
              <w:textAlignment w:val="center"/>
              <w:rPr>
                <w:rFonts w:hint="eastAsia" w:ascii="宋体" w:hAnsi="宋体" w:eastAsia="宋体" w:cs="宋体"/>
                <w:color w:val="000000"/>
                <w:kern w:val="0"/>
                <w:sz w:val="22"/>
                <w:szCs w:val="21"/>
              </w:rPr>
            </w:pPr>
            <w:r>
              <w:rPr>
                <w:rFonts w:hint="eastAsia" w:ascii="宋体" w:hAnsi="宋体" w:eastAsia="宋体" w:cs="宋体"/>
                <w:color w:val="000000"/>
                <w:sz w:val="22"/>
                <w:szCs w:val="21"/>
              </w:rPr>
              <w:t>——</w:t>
            </w:r>
          </w:p>
        </w:tc>
        <w:tc>
          <w:tcPr>
            <w:tcW w:w="958" w:type="dxa"/>
            <w:tcBorders>
              <w:bottom w:val="single" w:color="auto" w:sz="4" w:space="0"/>
            </w:tcBorders>
            <w:shd w:val="clear" w:color="auto" w:fill="F2F2F2"/>
            <w:vAlign w:val="center"/>
          </w:tcPr>
          <w:p>
            <w:pPr>
              <w:widowControl/>
              <w:jc w:val="center"/>
              <w:textAlignment w:val="center"/>
              <w:rPr>
                <w:rFonts w:hint="eastAsia" w:ascii="宋体" w:hAnsi="宋体" w:eastAsia="宋体" w:cs="宋体"/>
                <w:color w:val="000000"/>
                <w:kern w:val="0"/>
                <w:sz w:val="22"/>
                <w:szCs w:val="21"/>
              </w:rPr>
            </w:pPr>
            <w:r>
              <w:rPr>
                <w:rFonts w:hint="eastAsia" w:ascii="宋体" w:hAnsi="宋体" w:eastAsia="宋体" w:cs="宋体"/>
                <w:color w:val="000000"/>
                <w:kern w:val="0"/>
                <w:sz w:val="22"/>
                <w:szCs w:val="21"/>
              </w:rPr>
              <w:t>——</w:t>
            </w:r>
          </w:p>
        </w:tc>
        <w:tc>
          <w:tcPr>
            <w:tcW w:w="951" w:type="dxa"/>
            <w:tcBorders>
              <w:bottom w:val="single" w:color="auto" w:sz="4" w:space="0"/>
            </w:tcBorders>
            <w:shd w:val="clear" w:color="auto" w:fill="F2F2F2"/>
            <w:vAlign w:val="center"/>
          </w:tcPr>
          <w:p>
            <w:pPr>
              <w:widowControl/>
              <w:jc w:val="center"/>
              <w:textAlignment w:val="center"/>
              <w:rPr>
                <w:rFonts w:hint="eastAsia" w:ascii="宋体" w:hAnsi="宋体" w:eastAsia="宋体" w:cs="宋体"/>
                <w:color w:val="000000"/>
                <w:kern w:val="0"/>
                <w:sz w:val="22"/>
                <w:szCs w:val="21"/>
              </w:rPr>
            </w:pPr>
          </w:p>
        </w:tc>
      </w:tr>
      <w:tr>
        <w:tblPrEx>
          <w:tblLayout w:type="fixed"/>
          <w:tblCellMar>
            <w:top w:w="0" w:type="dxa"/>
            <w:left w:w="108" w:type="dxa"/>
            <w:bottom w:w="0" w:type="dxa"/>
            <w:right w:w="108" w:type="dxa"/>
          </w:tblCellMar>
        </w:tblPrEx>
        <w:trPr>
          <w:trHeight w:val="638" w:hRule="atLeast"/>
          <w:jc w:val="center"/>
        </w:trPr>
        <w:tc>
          <w:tcPr>
            <w:tcW w:w="1303" w:type="dxa"/>
            <w:gridSpan w:val="2"/>
            <w:vMerge w:val="continue"/>
            <w:tcBorders>
              <w:top w:val="single" w:color="auto" w:sz="4" w:space="0"/>
              <w:left w:val="nil"/>
              <w:bottom w:val="double" w:color="222F28" w:sz="4" w:space="0"/>
              <w:right w:val="nil"/>
              <w:tl2br w:val="nil"/>
              <w:tr2bl w:val="nil"/>
            </w:tcBorders>
            <w:shd w:val="clear" w:color="auto" w:fill="D6E1DB"/>
            <w:vAlign w:val="center"/>
          </w:tcPr>
          <w:p>
            <w:pPr>
              <w:rPr>
                <w:rFonts w:hint="eastAsia" w:ascii="宋体" w:hAnsi="宋体" w:eastAsia="宋体"/>
                <w:b/>
                <w:bCs/>
                <w:color w:val="FFFFFF"/>
                <w:kern w:val="0"/>
                <w:sz w:val="22"/>
                <w:szCs w:val="21"/>
              </w:rPr>
            </w:pPr>
          </w:p>
        </w:tc>
        <w:tc>
          <w:tcPr>
            <w:tcW w:w="2219" w:type="dxa"/>
            <w:tcBorders>
              <w:top w:val="single" w:color="auto" w:sz="4" w:space="0"/>
            </w:tcBorders>
            <w:shd w:val="clear" w:color="auto" w:fill="F2F2F2"/>
            <w:vAlign w:val="center"/>
          </w:tcPr>
          <w:p>
            <w:pPr>
              <w:pStyle w:val="32"/>
              <w:rPr>
                <w:rFonts w:hint="eastAsia" w:ascii="宋体" w:hAnsi="宋体" w:eastAsia="宋体"/>
                <w:sz w:val="21"/>
                <w:szCs w:val="21"/>
              </w:rPr>
            </w:pPr>
            <w:r>
              <w:rPr>
                <w:rFonts w:hint="eastAsia" w:ascii="宋体" w:hAnsi="宋体" w:eastAsia="宋体" w:cs="仿宋_GB2312"/>
                <w:sz w:val="21"/>
                <w:szCs w:val="21"/>
                <w:lang w:val="zh-TW" w:eastAsia="zh-TW"/>
              </w:rPr>
              <w:t>自有采暖</w:t>
            </w:r>
            <w:r>
              <w:rPr>
                <w:rFonts w:hint="eastAsia" w:ascii="宋体" w:hAnsi="宋体" w:eastAsia="宋体" w:cs="仿宋_GB2312"/>
                <w:sz w:val="21"/>
                <w:szCs w:val="21"/>
              </w:rPr>
              <w:t>/</w:t>
            </w:r>
            <w:r>
              <w:rPr>
                <w:rFonts w:hint="eastAsia" w:ascii="宋体" w:hAnsi="宋体" w:eastAsia="宋体" w:cs="仿宋_GB2312"/>
                <w:sz w:val="21"/>
                <w:szCs w:val="21"/>
                <w:lang w:val="zh-TW" w:eastAsia="zh-TW"/>
              </w:rPr>
              <w:t>制冷设备所消耗的燃料</w:t>
            </w:r>
            <w:r>
              <w:rPr>
                <w:rFonts w:hint="eastAsia" w:ascii="宋体" w:hAnsi="宋体" w:eastAsia="宋体" w:cs="仿宋_GB2312"/>
                <w:sz w:val="21"/>
                <w:szCs w:val="21"/>
                <w:lang w:val="zh-TW"/>
              </w:rPr>
              <w:t>（升）</w:t>
            </w:r>
          </w:p>
        </w:tc>
        <w:tc>
          <w:tcPr>
            <w:tcW w:w="958" w:type="dxa"/>
            <w:tcBorders>
              <w:top w:val="single" w:color="auto" w:sz="4" w:space="0"/>
            </w:tcBorders>
            <w:shd w:val="clear" w:color="auto" w:fill="F2F2F2"/>
            <w:vAlign w:val="center"/>
          </w:tcPr>
          <w:p>
            <w:pPr>
              <w:jc w:val="center"/>
              <w:rPr>
                <w:rFonts w:hint="eastAsia" w:ascii="宋体" w:hAnsi="宋体" w:eastAsia="宋体" w:cs="宋体"/>
                <w:color w:val="000000"/>
                <w:sz w:val="22"/>
                <w:szCs w:val="21"/>
              </w:rPr>
            </w:pPr>
            <w:r>
              <w:rPr>
                <w:rFonts w:hint="eastAsia" w:ascii="宋体" w:hAnsi="宋体" w:eastAsia="宋体" w:cs="宋体"/>
                <w:color w:val="000000"/>
                <w:sz w:val="22"/>
                <w:szCs w:val="21"/>
              </w:rPr>
              <w:t>——</w:t>
            </w:r>
          </w:p>
        </w:tc>
        <w:tc>
          <w:tcPr>
            <w:tcW w:w="958" w:type="dxa"/>
            <w:tcBorders>
              <w:top w:val="single" w:color="auto" w:sz="4" w:space="0"/>
            </w:tcBorders>
            <w:shd w:val="clear" w:color="auto" w:fill="F2F2F2"/>
            <w:vAlign w:val="center"/>
          </w:tcPr>
          <w:p>
            <w:pPr>
              <w:jc w:val="center"/>
              <w:rPr>
                <w:rFonts w:hint="eastAsia" w:ascii="宋体" w:hAnsi="宋体" w:eastAsia="宋体" w:cs="宋体"/>
                <w:color w:val="000000"/>
                <w:kern w:val="0"/>
                <w:sz w:val="22"/>
                <w:szCs w:val="21"/>
              </w:rPr>
            </w:pPr>
            <w:r>
              <w:rPr>
                <w:rFonts w:hint="eastAsia" w:ascii="宋体" w:hAnsi="宋体" w:eastAsia="宋体" w:cs="宋体"/>
                <w:color w:val="000000"/>
                <w:sz w:val="22"/>
                <w:szCs w:val="21"/>
              </w:rPr>
              <w:t>——</w:t>
            </w:r>
          </w:p>
        </w:tc>
        <w:tc>
          <w:tcPr>
            <w:tcW w:w="958" w:type="dxa"/>
            <w:tcBorders>
              <w:top w:val="single" w:color="auto" w:sz="4" w:space="0"/>
            </w:tcBorders>
            <w:shd w:val="clear" w:color="auto" w:fill="F2F2F2"/>
            <w:vAlign w:val="center"/>
          </w:tcPr>
          <w:p>
            <w:pPr>
              <w:jc w:val="center"/>
              <w:rPr>
                <w:rFonts w:hint="eastAsia" w:ascii="宋体" w:hAnsi="宋体" w:eastAsia="宋体" w:cs="宋体"/>
                <w:color w:val="000000"/>
                <w:kern w:val="0"/>
                <w:sz w:val="22"/>
                <w:szCs w:val="21"/>
              </w:rPr>
            </w:pPr>
            <w:r>
              <w:rPr>
                <w:rFonts w:hint="eastAsia" w:ascii="宋体" w:hAnsi="宋体" w:eastAsia="宋体" w:cs="宋体"/>
                <w:color w:val="000000"/>
                <w:kern w:val="0"/>
                <w:sz w:val="22"/>
                <w:szCs w:val="21"/>
              </w:rPr>
              <w:t>——</w:t>
            </w:r>
          </w:p>
        </w:tc>
        <w:tc>
          <w:tcPr>
            <w:tcW w:w="951" w:type="dxa"/>
            <w:tcBorders>
              <w:top w:val="single" w:color="auto" w:sz="4" w:space="0"/>
            </w:tcBorders>
            <w:shd w:val="clear" w:color="auto" w:fill="F2F2F2"/>
            <w:vAlign w:val="center"/>
          </w:tcPr>
          <w:p>
            <w:pPr>
              <w:jc w:val="center"/>
              <w:rPr>
                <w:rFonts w:hint="eastAsia" w:ascii="宋体" w:hAnsi="宋体" w:eastAsia="宋体" w:cs="宋体"/>
                <w:color w:val="000000"/>
                <w:kern w:val="0"/>
                <w:sz w:val="22"/>
                <w:szCs w:val="21"/>
              </w:rPr>
            </w:pPr>
          </w:p>
        </w:tc>
      </w:tr>
      <w:tr>
        <w:tblPrEx>
          <w:tblLayout w:type="fixed"/>
          <w:tblCellMar>
            <w:top w:w="0" w:type="dxa"/>
            <w:left w:w="108" w:type="dxa"/>
            <w:bottom w:w="0" w:type="dxa"/>
            <w:right w:w="108" w:type="dxa"/>
          </w:tblCellMar>
        </w:tblPrEx>
        <w:trPr>
          <w:trHeight w:val="628" w:hRule="atLeast"/>
          <w:jc w:val="center"/>
        </w:trPr>
        <w:tc>
          <w:tcPr>
            <w:tcW w:w="1303" w:type="dxa"/>
            <w:gridSpan w:val="2"/>
            <w:vMerge w:val="continue"/>
            <w:tcBorders>
              <w:top w:val="nil"/>
              <w:left w:val="nil"/>
              <w:bottom w:val="single" w:color="auto" w:sz="18" w:space="0"/>
              <w:right w:val="nil"/>
              <w:tl2br w:val="nil"/>
              <w:tr2bl w:val="nil"/>
            </w:tcBorders>
            <w:shd w:val="clear" w:color="auto" w:fill="D6E1DB"/>
            <w:vAlign w:val="center"/>
          </w:tcPr>
          <w:p>
            <w:pPr>
              <w:rPr>
                <w:rFonts w:hint="eastAsia" w:ascii="宋体" w:hAnsi="宋体" w:eastAsia="宋体"/>
                <w:b/>
                <w:bCs/>
                <w:color w:val="FFFFFF"/>
                <w:kern w:val="0"/>
                <w:sz w:val="22"/>
                <w:szCs w:val="21"/>
              </w:rPr>
            </w:pPr>
          </w:p>
        </w:tc>
        <w:tc>
          <w:tcPr>
            <w:tcW w:w="2219" w:type="dxa"/>
            <w:shd w:val="clear" w:color="auto" w:fill="F2F2F2"/>
            <w:vAlign w:val="center"/>
          </w:tcPr>
          <w:p>
            <w:pPr>
              <w:pStyle w:val="32"/>
              <w:rPr>
                <w:rFonts w:hint="eastAsia" w:ascii="宋体" w:hAnsi="宋体" w:eastAsia="宋体"/>
                <w:sz w:val="21"/>
                <w:szCs w:val="21"/>
              </w:rPr>
            </w:pPr>
            <w:r>
              <w:rPr>
                <w:rFonts w:hint="eastAsia" w:ascii="宋体" w:hAnsi="宋体" w:eastAsia="宋体" w:cs="仿宋_GB2312"/>
                <w:sz w:val="21"/>
                <w:szCs w:val="21"/>
                <w:lang w:val="zh-TW" w:eastAsia="zh-TW"/>
              </w:rPr>
              <w:t>营业、办公活动所消耗的水</w:t>
            </w:r>
            <w:r>
              <w:rPr>
                <w:rFonts w:hint="eastAsia" w:ascii="宋体" w:hAnsi="宋体" w:eastAsia="宋体" w:cs="仿宋_GB2312"/>
                <w:sz w:val="21"/>
                <w:szCs w:val="21"/>
                <w:lang w:val="zh-TW"/>
              </w:rPr>
              <w:t>（</w:t>
            </w:r>
            <w:r>
              <w:rPr>
                <w:rFonts w:hint="eastAsia" w:ascii="宋体" w:hAnsi="宋体" w:eastAsia="宋体" w:cs="仿宋_GB2312"/>
                <w:sz w:val="21"/>
                <w:szCs w:val="21"/>
              </w:rPr>
              <w:t>吨</w:t>
            </w:r>
            <w:r>
              <w:rPr>
                <w:rFonts w:hint="eastAsia" w:ascii="宋体" w:hAnsi="宋体" w:eastAsia="宋体" w:cs="仿宋_GB2312"/>
                <w:sz w:val="21"/>
                <w:szCs w:val="21"/>
                <w:lang w:val="zh-TW"/>
              </w:rPr>
              <w:t>）</w:t>
            </w:r>
          </w:p>
        </w:tc>
        <w:tc>
          <w:tcPr>
            <w:tcW w:w="958" w:type="dxa"/>
            <w:shd w:val="clear" w:color="auto" w:fill="F2F2F2"/>
            <w:vAlign w:val="center"/>
          </w:tcPr>
          <w:p>
            <w:pPr>
              <w:widowControl/>
              <w:jc w:val="center"/>
              <w:textAlignment w:val="center"/>
              <w:rPr>
                <w:rFonts w:hint="eastAsia" w:ascii="宋体" w:hAnsi="宋体" w:eastAsia="宋体" w:cs="宋体"/>
                <w:color w:val="000000"/>
                <w:sz w:val="22"/>
                <w:szCs w:val="21"/>
              </w:rPr>
            </w:pPr>
            <w:r>
              <w:rPr>
                <w:rFonts w:hint="eastAsia" w:ascii="宋体" w:hAnsi="宋体" w:eastAsia="宋体" w:cs="宋体"/>
                <w:color w:val="000000"/>
                <w:sz w:val="22"/>
                <w:szCs w:val="21"/>
              </w:rPr>
              <w:t>1890</w:t>
            </w:r>
          </w:p>
        </w:tc>
        <w:tc>
          <w:tcPr>
            <w:tcW w:w="958" w:type="dxa"/>
            <w:shd w:val="clear" w:color="auto" w:fill="F2F2F2"/>
            <w:vAlign w:val="center"/>
          </w:tcPr>
          <w:p>
            <w:pPr>
              <w:widowControl/>
              <w:jc w:val="center"/>
              <w:textAlignment w:val="center"/>
              <w:rPr>
                <w:rFonts w:hint="eastAsia" w:ascii="宋体" w:hAnsi="宋体" w:eastAsia="宋体" w:cs="宋体"/>
                <w:color w:val="000000"/>
                <w:sz w:val="22"/>
                <w:szCs w:val="21"/>
              </w:rPr>
            </w:pPr>
            <w:r>
              <w:rPr>
                <w:rFonts w:hint="eastAsia" w:ascii="宋体" w:hAnsi="宋体" w:eastAsia="宋体" w:cs="宋体"/>
                <w:color w:val="000000"/>
                <w:sz w:val="22"/>
                <w:szCs w:val="21"/>
              </w:rPr>
              <w:t>2110</w:t>
            </w:r>
          </w:p>
        </w:tc>
        <w:tc>
          <w:tcPr>
            <w:tcW w:w="958" w:type="dxa"/>
            <w:shd w:val="clear" w:color="auto" w:fill="F2F2F2"/>
            <w:vAlign w:val="center"/>
          </w:tcPr>
          <w:p>
            <w:pPr>
              <w:widowControl/>
              <w:jc w:val="center"/>
              <w:textAlignment w:val="center"/>
              <w:rPr>
                <w:rFonts w:hint="eastAsia" w:ascii="宋体" w:hAnsi="宋体" w:eastAsia="宋体" w:cs="宋体"/>
                <w:color w:val="000000" w:themeColor="text1"/>
                <w:sz w:val="22"/>
                <w:szCs w:val="21"/>
                <w14:textFill>
                  <w14:solidFill>
                    <w14:schemeClr w14:val="tx1"/>
                  </w14:solidFill>
                </w14:textFill>
              </w:rPr>
            </w:pPr>
            <w:r>
              <w:rPr>
                <w:rFonts w:hint="eastAsia" w:ascii="宋体" w:hAnsi="宋体" w:eastAsia="宋体" w:cs="宋体"/>
                <w:color w:val="000000" w:themeColor="text1"/>
                <w:sz w:val="22"/>
                <w:szCs w:val="21"/>
                <w14:textFill>
                  <w14:solidFill>
                    <w14:schemeClr w14:val="tx1"/>
                  </w14:solidFill>
                </w14:textFill>
              </w:rPr>
              <w:t>51.08</w:t>
            </w:r>
          </w:p>
        </w:tc>
        <w:tc>
          <w:tcPr>
            <w:tcW w:w="951" w:type="dxa"/>
            <w:shd w:val="clear" w:color="auto" w:fill="F2F2F2"/>
            <w:vAlign w:val="center"/>
          </w:tcPr>
          <w:p>
            <w:pPr>
              <w:widowControl/>
              <w:jc w:val="center"/>
              <w:textAlignment w:val="center"/>
              <w:rPr>
                <w:rFonts w:hint="eastAsia" w:ascii="宋体" w:hAnsi="宋体" w:eastAsia="宋体" w:cs="宋体"/>
                <w:color w:val="000000"/>
                <w:sz w:val="22"/>
                <w:szCs w:val="21"/>
              </w:rPr>
            </w:pPr>
            <w:r>
              <w:rPr>
                <w:rFonts w:hint="eastAsia" w:ascii="宋体" w:hAnsi="宋体" w:eastAsia="宋体" w:cs="宋体"/>
                <w:color w:val="000000" w:themeColor="text1"/>
                <w:sz w:val="22"/>
                <w:szCs w:val="21"/>
                <w14:textFill>
                  <w14:solidFill>
                    <w14:schemeClr w14:val="tx1"/>
                  </w14:solidFill>
                </w14:textFill>
              </w:rPr>
              <w:t>57</w:t>
            </w:r>
          </w:p>
        </w:tc>
      </w:tr>
      <w:tr>
        <w:tblPrEx>
          <w:tblLayout w:type="fixed"/>
          <w:tblCellMar>
            <w:top w:w="0" w:type="dxa"/>
            <w:left w:w="108" w:type="dxa"/>
            <w:bottom w:w="0" w:type="dxa"/>
            <w:right w:w="108" w:type="dxa"/>
          </w:tblCellMar>
        </w:tblPrEx>
        <w:trPr>
          <w:trHeight w:val="628" w:hRule="atLeast"/>
          <w:jc w:val="center"/>
        </w:trPr>
        <w:tc>
          <w:tcPr>
            <w:tcW w:w="1303" w:type="dxa"/>
            <w:gridSpan w:val="2"/>
            <w:vMerge w:val="restart"/>
            <w:tcBorders>
              <w:top w:val="nil"/>
              <w:left w:val="nil"/>
              <w:bottom w:val="single" w:color="auto" w:sz="18" w:space="0"/>
              <w:right w:val="nil"/>
              <w:tl2br w:val="nil"/>
              <w:tr2bl w:val="nil"/>
            </w:tcBorders>
            <w:shd w:val="clear" w:color="auto" w:fill="D6E1DB"/>
            <w:vAlign w:val="center"/>
          </w:tcPr>
          <w:p>
            <w:pPr>
              <w:rPr>
                <w:rFonts w:hint="eastAsia" w:ascii="宋体" w:hAnsi="宋体" w:eastAsia="宋体"/>
                <w:b/>
                <w:bCs/>
                <w:color w:val="FFFFFF"/>
                <w:kern w:val="0"/>
                <w:sz w:val="22"/>
                <w:szCs w:val="21"/>
              </w:rPr>
            </w:pPr>
            <w:r>
              <w:rPr>
                <w:rFonts w:hint="eastAsia" w:ascii="宋体" w:hAnsi="宋体" w:eastAsia="宋体"/>
                <w:b/>
                <w:bCs/>
                <w:kern w:val="0"/>
                <w:sz w:val="22"/>
                <w:szCs w:val="21"/>
                <w:lang w:val="zh-CN"/>
              </w:rPr>
              <w:t>采购的产品或服务所产生的间接温室气体排放和间接自然资源消耗</w:t>
            </w:r>
          </w:p>
        </w:tc>
        <w:tc>
          <w:tcPr>
            <w:tcW w:w="2219" w:type="dxa"/>
            <w:shd w:val="clear" w:color="auto" w:fill="F2F2F2"/>
            <w:vAlign w:val="center"/>
          </w:tcPr>
          <w:p>
            <w:pPr>
              <w:pStyle w:val="32"/>
              <w:rPr>
                <w:rFonts w:hint="eastAsia" w:ascii="宋体" w:hAnsi="宋体" w:eastAsia="宋体" w:cs="仿宋_GB2312"/>
                <w:sz w:val="21"/>
                <w:szCs w:val="21"/>
                <w:lang w:val="zh-TW" w:eastAsia="zh-TW"/>
              </w:rPr>
            </w:pPr>
            <w:r>
              <w:rPr>
                <w:rFonts w:hint="eastAsia" w:ascii="宋体" w:hAnsi="宋体" w:eastAsia="宋体" w:cs="仿宋_GB2312"/>
                <w:sz w:val="21"/>
                <w:szCs w:val="21"/>
                <w:lang w:val="zh-TW" w:eastAsia="zh-TW"/>
              </w:rPr>
              <w:t>营业、办公所消耗的电力（万千瓦时）</w:t>
            </w:r>
          </w:p>
        </w:tc>
        <w:tc>
          <w:tcPr>
            <w:tcW w:w="958" w:type="dxa"/>
            <w:shd w:val="clear" w:color="auto" w:fill="F2F2F2"/>
            <w:vAlign w:val="center"/>
          </w:tcPr>
          <w:p>
            <w:pPr>
              <w:widowControl/>
              <w:jc w:val="center"/>
              <w:textAlignment w:val="center"/>
              <w:rPr>
                <w:rFonts w:hint="eastAsia" w:ascii="宋体" w:hAnsi="宋体" w:eastAsia="宋体" w:cs="宋体"/>
                <w:color w:val="000000"/>
                <w:sz w:val="22"/>
                <w:szCs w:val="21"/>
              </w:rPr>
            </w:pPr>
            <w:r>
              <w:rPr>
                <w:rFonts w:hint="eastAsia" w:ascii="宋体" w:hAnsi="宋体" w:eastAsia="宋体" w:cs="宋体"/>
                <w:color w:val="000000"/>
                <w:sz w:val="22"/>
                <w:szCs w:val="21"/>
              </w:rPr>
              <w:t>14.08</w:t>
            </w:r>
          </w:p>
        </w:tc>
        <w:tc>
          <w:tcPr>
            <w:tcW w:w="958" w:type="dxa"/>
            <w:shd w:val="clear" w:color="auto" w:fill="F2F2F2"/>
            <w:vAlign w:val="center"/>
          </w:tcPr>
          <w:p>
            <w:pPr>
              <w:widowControl/>
              <w:jc w:val="center"/>
              <w:textAlignment w:val="center"/>
              <w:rPr>
                <w:rFonts w:hint="eastAsia" w:ascii="宋体" w:hAnsi="宋体" w:eastAsia="宋体" w:cs="宋体"/>
                <w:color w:val="000000"/>
                <w:sz w:val="22"/>
                <w:szCs w:val="21"/>
              </w:rPr>
            </w:pPr>
            <w:r>
              <w:rPr>
                <w:rFonts w:hint="eastAsia" w:ascii="宋体" w:hAnsi="宋体" w:eastAsia="宋体" w:cs="宋体"/>
                <w:color w:val="000000"/>
                <w:sz w:val="22"/>
                <w:szCs w:val="21"/>
              </w:rPr>
              <w:t>20.1</w:t>
            </w:r>
          </w:p>
        </w:tc>
        <w:tc>
          <w:tcPr>
            <w:tcW w:w="958" w:type="dxa"/>
            <w:shd w:val="clear" w:color="auto" w:fill="F2F2F2"/>
            <w:vAlign w:val="center"/>
          </w:tcPr>
          <w:p>
            <w:pPr>
              <w:widowControl/>
              <w:jc w:val="center"/>
              <w:textAlignment w:val="center"/>
              <w:rPr>
                <w:rFonts w:hint="eastAsia" w:ascii="宋体" w:hAnsi="宋体" w:eastAsia="宋体" w:cs="宋体"/>
                <w:color w:val="000000" w:themeColor="text1"/>
                <w:sz w:val="22"/>
                <w:szCs w:val="21"/>
                <w14:textFill>
                  <w14:solidFill>
                    <w14:schemeClr w14:val="tx1"/>
                  </w14:solidFill>
                </w14:textFill>
              </w:rPr>
            </w:pPr>
            <w:r>
              <w:rPr>
                <w:rFonts w:hint="eastAsia" w:ascii="宋体" w:hAnsi="宋体" w:eastAsia="宋体" w:cs="宋体"/>
                <w:color w:val="000000" w:themeColor="text1"/>
                <w:sz w:val="22"/>
                <w:szCs w:val="21"/>
                <w14:textFill>
                  <w14:solidFill>
                    <w14:schemeClr w14:val="tx1"/>
                  </w14:solidFill>
                </w14:textFill>
              </w:rPr>
              <w:t>0.38</w:t>
            </w:r>
          </w:p>
        </w:tc>
        <w:tc>
          <w:tcPr>
            <w:tcW w:w="951" w:type="dxa"/>
            <w:shd w:val="clear" w:color="auto" w:fill="F2F2F2"/>
            <w:vAlign w:val="center"/>
          </w:tcPr>
          <w:p>
            <w:pPr>
              <w:widowControl/>
              <w:jc w:val="center"/>
              <w:textAlignment w:val="center"/>
              <w:rPr>
                <w:rFonts w:hint="eastAsia" w:ascii="宋体" w:hAnsi="宋体" w:eastAsia="宋体" w:cs="宋体"/>
                <w:color w:val="000000"/>
                <w:sz w:val="22"/>
                <w:szCs w:val="21"/>
              </w:rPr>
            </w:pPr>
            <w:r>
              <w:rPr>
                <w:rFonts w:hint="eastAsia" w:ascii="宋体" w:hAnsi="宋体" w:eastAsia="宋体" w:cs="宋体"/>
                <w:color w:val="000000" w:themeColor="text1"/>
                <w:sz w:val="22"/>
                <w:szCs w:val="21"/>
                <w14:textFill>
                  <w14:solidFill>
                    <w14:schemeClr w14:val="tx1"/>
                  </w14:solidFill>
                </w14:textFill>
              </w:rPr>
              <w:t>0.54</w:t>
            </w:r>
          </w:p>
        </w:tc>
      </w:tr>
      <w:tr>
        <w:tblPrEx>
          <w:tblLayout w:type="fixed"/>
          <w:tblCellMar>
            <w:top w:w="0" w:type="dxa"/>
            <w:left w:w="108" w:type="dxa"/>
            <w:bottom w:w="0" w:type="dxa"/>
            <w:right w:w="108" w:type="dxa"/>
          </w:tblCellMar>
        </w:tblPrEx>
        <w:trPr>
          <w:trHeight w:val="628" w:hRule="atLeast"/>
          <w:jc w:val="center"/>
        </w:trPr>
        <w:tc>
          <w:tcPr>
            <w:tcW w:w="1303" w:type="dxa"/>
            <w:gridSpan w:val="2"/>
            <w:vMerge w:val="continue"/>
            <w:tcBorders>
              <w:top w:val="nil"/>
              <w:left w:val="nil"/>
              <w:bottom w:val="single" w:color="auto" w:sz="18" w:space="0"/>
              <w:right w:val="nil"/>
              <w:tl2br w:val="nil"/>
              <w:tr2bl w:val="nil"/>
            </w:tcBorders>
            <w:shd w:val="clear" w:color="auto" w:fill="D6E1DB"/>
            <w:vAlign w:val="center"/>
          </w:tcPr>
          <w:p>
            <w:pPr>
              <w:rPr>
                <w:rFonts w:hint="eastAsia" w:ascii="宋体" w:hAnsi="宋体" w:eastAsia="宋体"/>
                <w:b/>
                <w:bCs/>
                <w:color w:val="FFFFFF"/>
                <w:kern w:val="0"/>
                <w:sz w:val="22"/>
                <w:szCs w:val="21"/>
              </w:rPr>
            </w:pPr>
          </w:p>
        </w:tc>
        <w:tc>
          <w:tcPr>
            <w:tcW w:w="2219" w:type="dxa"/>
            <w:shd w:val="clear" w:color="auto" w:fill="F2F2F2"/>
            <w:vAlign w:val="center"/>
          </w:tcPr>
          <w:p>
            <w:pPr>
              <w:pStyle w:val="32"/>
              <w:rPr>
                <w:rFonts w:hint="eastAsia" w:ascii="宋体" w:hAnsi="宋体" w:eastAsia="宋体" w:cs="仿宋_GB2312"/>
                <w:sz w:val="21"/>
                <w:szCs w:val="21"/>
                <w:lang w:val="zh-TW" w:eastAsia="zh-TW"/>
              </w:rPr>
            </w:pPr>
            <w:r>
              <w:rPr>
                <w:rFonts w:hint="eastAsia" w:ascii="宋体" w:hAnsi="宋体" w:eastAsia="宋体" w:cs="仿宋_GB2312"/>
                <w:sz w:val="21"/>
                <w:szCs w:val="21"/>
                <w:lang w:val="zh-TW" w:eastAsia="zh-TW"/>
              </w:rPr>
              <w:t>营业、办公所使用的纸张（万张）</w:t>
            </w:r>
          </w:p>
        </w:tc>
        <w:tc>
          <w:tcPr>
            <w:tcW w:w="958" w:type="dxa"/>
            <w:shd w:val="clear" w:color="auto" w:fill="F2F2F2"/>
            <w:vAlign w:val="center"/>
          </w:tcPr>
          <w:p>
            <w:pPr>
              <w:widowControl/>
              <w:jc w:val="center"/>
              <w:textAlignment w:val="center"/>
              <w:rPr>
                <w:rFonts w:hint="eastAsia" w:ascii="宋体" w:hAnsi="宋体" w:eastAsia="宋体" w:cs="宋体"/>
                <w:color w:val="000000"/>
                <w:sz w:val="22"/>
                <w:szCs w:val="21"/>
              </w:rPr>
            </w:pPr>
            <w:r>
              <w:rPr>
                <w:rFonts w:hint="eastAsia" w:ascii="宋体" w:hAnsi="宋体" w:eastAsia="宋体" w:cs="宋体"/>
                <w:color w:val="000000"/>
                <w:sz w:val="22"/>
                <w:szCs w:val="21"/>
              </w:rPr>
              <w:t>35</w:t>
            </w:r>
          </w:p>
        </w:tc>
        <w:tc>
          <w:tcPr>
            <w:tcW w:w="958" w:type="dxa"/>
            <w:shd w:val="clear" w:color="auto" w:fill="F2F2F2"/>
            <w:vAlign w:val="center"/>
          </w:tcPr>
          <w:p>
            <w:pPr>
              <w:widowControl/>
              <w:jc w:val="center"/>
              <w:textAlignment w:val="center"/>
              <w:rPr>
                <w:rFonts w:hint="eastAsia" w:ascii="宋体" w:hAnsi="宋体" w:eastAsia="宋体" w:cs="宋体"/>
                <w:color w:val="000000"/>
                <w:sz w:val="22"/>
                <w:szCs w:val="21"/>
              </w:rPr>
            </w:pPr>
            <w:r>
              <w:rPr>
                <w:rFonts w:hint="eastAsia" w:ascii="宋体" w:hAnsi="宋体" w:eastAsia="宋体" w:cs="宋体"/>
                <w:color w:val="000000"/>
                <w:sz w:val="22"/>
                <w:szCs w:val="21"/>
              </w:rPr>
              <w:t>41</w:t>
            </w:r>
          </w:p>
        </w:tc>
        <w:tc>
          <w:tcPr>
            <w:tcW w:w="958" w:type="dxa"/>
            <w:shd w:val="clear" w:color="auto" w:fill="F2F2F2"/>
            <w:vAlign w:val="center"/>
          </w:tcPr>
          <w:p>
            <w:pPr>
              <w:widowControl/>
              <w:jc w:val="center"/>
              <w:textAlignment w:val="center"/>
              <w:rPr>
                <w:rFonts w:hint="eastAsia" w:ascii="宋体" w:hAnsi="宋体" w:eastAsia="宋体" w:cs="宋体"/>
                <w:color w:val="000000" w:themeColor="text1"/>
                <w:sz w:val="22"/>
                <w:szCs w:val="21"/>
                <w14:textFill>
                  <w14:solidFill>
                    <w14:schemeClr w14:val="tx1"/>
                  </w14:solidFill>
                </w14:textFill>
              </w:rPr>
            </w:pPr>
            <w:r>
              <w:rPr>
                <w:rFonts w:hint="eastAsia" w:ascii="宋体" w:hAnsi="宋体" w:eastAsia="宋体" w:cs="宋体"/>
                <w:color w:val="000000" w:themeColor="text1"/>
                <w:sz w:val="22"/>
                <w:szCs w:val="21"/>
                <w14:textFill>
                  <w14:solidFill>
                    <w14:schemeClr w14:val="tx1"/>
                  </w14:solidFill>
                </w14:textFill>
              </w:rPr>
              <w:t>0.95</w:t>
            </w:r>
          </w:p>
        </w:tc>
        <w:tc>
          <w:tcPr>
            <w:tcW w:w="951" w:type="dxa"/>
            <w:shd w:val="clear" w:color="auto" w:fill="F2F2F2"/>
            <w:vAlign w:val="center"/>
          </w:tcPr>
          <w:p>
            <w:pPr>
              <w:widowControl/>
              <w:jc w:val="center"/>
              <w:textAlignment w:val="center"/>
              <w:rPr>
                <w:rFonts w:hint="eastAsia" w:ascii="宋体" w:hAnsi="宋体" w:eastAsia="宋体" w:cs="宋体"/>
                <w:color w:val="000000"/>
                <w:sz w:val="22"/>
                <w:szCs w:val="21"/>
              </w:rPr>
            </w:pPr>
            <w:r>
              <w:rPr>
                <w:rFonts w:hint="eastAsia" w:ascii="宋体" w:hAnsi="宋体" w:eastAsia="宋体" w:cs="宋体"/>
                <w:color w:val="000000" w:themeColor="text1"/>
                <w:sz w:val="22"/>
                <w:szCs w:val="21"/>
                <w14:textFill>
                  <w14:solidFill>
                    <w14:schemeClr w14:val="tx1"/>
                  </w14:solidFill>
                </w14:textFill>
              </w:rPr>
              <w:t>1.11</w:t>
            </w:r>
          </w:p>
        </w:tc>
      </w:tr>
      <w:tr>
        <w:tblPrEx>
          <w:tblLayout w:type="fixed"/>
          <w:tblCellMar>
            <w:top w:w="0" w:type="dxa"/>
            <w:left w:w="108" w:type="dxa"/>
            <w:bottom w:w="0" w:type="dxa"/>
            <w:right w:w="108" w:type="dxa"/>
          </w:tblCellMar>
        </w:tblPrEx>
        <w:trPr>
          <w:trHeight w:val="628" w:hRule="atLeast"/>
          <w:jc w:val="center"/>
        </w:trPr>
        <w:tc>
          <w:tcPr>
            <w:tcW w:w="1303" w:type="dxa"/>
            <w:gridSpan w:val="2"/>
            <w:vMerge w:val="continue"/>
            <w:tcBorders>
              <w:top w:val="nil"/>
              <w:left w:val="nil"/>
              <w:bottom w:val="double" w:color="222F28" w:sz="4" w:space="0"/>
              <w:right w:val="nil"/>
              <w:tl2br w:val="nil"/>
              <w:tr2bl w:val="nil"/>
            </w:tcBorders>
            <w:shd w:val="clear" w:color="auto" w:fill="D6E1DB"/>
            <w:vAlign w:val="center"/>
          </w:tcPr>
          <w:p>
            <w:pPr>
              <w:rPr>
                <w:rFonts w:hint="eastAsia" w:ascii="宋体" w:hAnsi="宋体" w:eastAsia="宋体"/>
                <w:b/>
                <w:bCs/>
                <w:color w:val="FFFFFF"/>
                <w:kern w:val="0"/>
                <w:sz w:val="22"/>
                <w:szCs w:val="21"/>
              </w:rPr>
            </w:pPr>
          </w:p>
        </w:tc>
        <w:tc>
          <w:tcPr>
            <w:tcW w:w="2219" w:type="dxa"/>
            <w:tcBorders>
              <w:bottom w:val="double" w:color="222F28" w:sz="4" w:space="0"/>
            </w:tcBorders>
            <w:shd w:val="clear" w:color="auto" w:fill="F2F2F2"/>
            <w:vAlign w:val="center"/>
          </w:tcPr>
          <w:p>
            <w:pPr>
              <w:pStyle w:val="32"/>
              <w:rPr>
                <w:rFonts w:hint="eastAsia" w:ascii="宋体" w:hAnsi="宋体" w:eastAsia="宋体" w:cs="仿宋_GB2312"/>
                <w:sz w:val="21"/>
                <w:szCs w:val="21"/>
                <w:lang w:val="zh-TW" w:eastAsia="zh-TW"/>
              </w:rPr>
            </w:pPr>
            <w:r>
              <w:rPr>
                <w:rFonts w:hint="eastAsia" w:ascii="宋体" w:hAnsi="宋体" w:eastAsia="宋体" w:cs="仿宋_GB2312"/>
                <w:sz w:val="21"/>
                <w:szCs w:val="21"/>
                <w:lang w:val="zh-TW" w:eastAsia="zh-TW"/>
              </w:rPr>
              <w:t>购买的采暖</w:t>
            </w:r>
            <w:r>
              <w:rPr>
                <w:rFonts w:ascii="宋体" w:hAnsi="宋体" w:eastAsia="宋体" w:cs="仿宋_GB2312"/>
                <w:sz w:val="21"/>
                <w:szCs w:val="21"/>
                <w:lang w:val="zh-TW" w:eastAsia="zh-TW"/>
              </w:rPr>
              <w:t>/制冷服务所消耗的燃料（升）</w:t>
            </w:r>
          </w:p>
        </w:tc>
        <w:tc>
          <w:tcPr>
            <w:tcW w:w="958" w:type="dxa"/>
            <w:tcBorders>
              <w:bottom w:val="double" w:color="222F28" w:sz="4" w:space="0"/>
            </w:tcBorders>
            <w:shd w:val="clear" w:color="auto" w:fill="F2F2F2"/>
            <w:vAlign w:val="center"/>
          </w:tcPr>
          <w:p>
            <w:pPr>
              <w:widowControl/>
              <w:jc w:val="center"/>
              <w:textAlignment w:val="center"/>
              <w:rPr>
                <w:rFonts w:hint="eastAsia" w:ascii="宋体" w:hAnsi="宋体" w:eastAsia="宋体" w:cs="宋体"/>
                <w:color w:val="000000"/>
                <w:sz w:val="22"/>
                <w:szCs w:val="21"/>
              </w:rPr>
            </w:pPr>
            <w:r>
              <w:rPr>
                <w:rFonts w:hint="eastAsia" w:ascii="宋体" w:hAnsi="宋体" w:eastAsia="宋体" w:cs="宋体"/>
                <w:color w:val="000000"/>
                <w:sz w:val="22"/>
                <w:szCs w:val="21"/>
              </w:rPr>
              <w:t>——</w:t>
            </w:r>
          </w:p>
        </w:tc>
        <w:tc>
          <w:tcPr>
            <w:tcW w:w="958" w:type="dxa"/>
            <w:tcBorders>
              <w:bottom w:val="double" w:color="222F28" w:sz="4" w:space="0"/>
            </w:tcBorders>
            <w:shd w:val="clear" w:color="auto" w:fill="F2F2F2"/>
            <w:vAlign w:val="center"/>
          </w:tcPr>
          <w:p>
            <w:pPr>
              <w:widowControl/>
              <w:jc w:val="center"/>
              <w:textAlignment w:val="center"/>
              <w:rPr>
                <w:rFonts w:hint="eastAsia" w:ascii="宋体" w:hAnsi="宋体" w:eastAsia="宋体" w:cs="宋体"/>
                <w:color w:val="000000"/>
                <w:kern w:val="0"/>
                <w:sz w:val="22"/>
                <w:szCs w:val="21"/>
              </w:rPr>
            </w:pPr>
            <w:r>
              <w:rPr>
                <w:rFonts w:hint="eastAsia" w:ascii="宋体" w:hAnsi="宋体" w:eastAsia="宋体" w:cs="宋体"/>
                <w:color w:val="000000"/>
                <w:sz w:val="22"/>
                <w:szCs w:val="21"/>
              </w:rPr>
              <w:t>——</w:t>
            </w:r>
          </w:p>
        </w:tc>
        <w:tc>
          <w:tcPr>
            <w:tcW w:w="958" w:type="dxa"/>
            <w:tcBorders>
              <w:bottom w:val="double" w:color="222F28" w:sz="4" w:space="0"/>
            </w:tcBorders>
            <w:shd w:val="clear" w:color="auto" w:fill="F2F2F2"/>
            <w:vAlign w:val="center"/>
          </w:tcPr>
          <w:p>
            <w:pPr>
              <w:widowControl/>
              <w:jc w:val="center"/>
              <w:textAlignment w:val="center"/>
              <w:rPr>
                <w:rFonts w:hint="eastAsia" w:ascii="宋体" w:hAnsi="宋体" w:eastAsia="宋体" w:cs="宋体"/>
                <w:color w:val="000000"/>
                <w:kern w:val="0"/>
                <w:sz w:val="22"/>
                <w:szCs w:val="21"/>
              </w:rPr>
            </w:pPr>
            <w:r>
              <w:rPr>
                <w:rFonts w:hint="eastAsia" w:ascii="宋体" w:hAnsi="宋体" w:eastAsia="宋体" w:cs="宋体"/>
                <w:color w:val="000000"/>
                <w:kern w:val="0"/>
                <w:sz w:val="22"/>
                <w:szCs w:val="21"/>
              </w:rPr>
              <w:t>——</w:t>
            </w:r>
          </w:p>
        </w:tc>
        <w:tc>
          <w:tcPr>
            <w:tcW w:w="951" w:type="dxa"/>
            <w:tcBorders>
              <w:bottom w:val="double" w:color="222F28" w:sz="4" w:space="0"/>
            </w:tcBorders>
            <w:shd w:val="clear" w:color="auto" w:fill="F2F2F2"/>
            <w:vAlign w:val="center"/>
          </w:tcPr>
          <w:p>
            <w:pPr>
              <w:widowControl/>
              <w:jc w:val="center"/>
              <w:textAlignment w:val="center"/>
              <w:rPr>
                <w:rFonts w:hint="eastAsia" w:ascii="宋体" w:hAnsi="宋体" w:eastAsia="宋体" w:cs="宋体"/>
                <w:color w:val="000000"/>
                <w:kern w:val="0"/>
                <w:sz w:val="22"/>
                <w:szCs w:val="21"/>
              </w:rPr>
            </w:pPr>
            <w:r>
              <w:rPr>
                <w:rFonts w:hint="eastAsia" w:ascii="宋体" w:hAnsi="宋体" w:eastAsia="宋体" w:cs="宋体"/>
                <w:color w:val="000000"/>
                <w:kern w:val="0"/>
                <w:sz w:val="22"/>
                <w:szCs w:val="21"/>
              </w:rPr>
              <w:t>——</w:t>
            </w:r>
          </w:p>
        </w:tc>
      </w:tr>
    </w:tbl>
    <w:p>
      <w:pPr>
        <w:pStyle w:val="18"/>
        <w:rPr>
          <w:rFonts w:hint="eastAsia" w:ascii="宋体" w:hAnsi="宋体" w:eastAsia="宋体"/>
          <w:sz w:val="21"/>
          <w:szCs w:val="21"/>
          <w:lang w:val="zh-CN"/>
        </w:rPr>
      </w:pPr>
      <w:r>
        <w:rPr>
          <w:rStyle w:val="40"/>
          <w:rFonts w:hint="eastAsia" w:ascii="宋体" w:hAnsi="宋体" w:eastAsia="宋体"/>
          <w:sz w:val="21"/>
          <w:szCs w:val="21"/>
          <w:lang w:val="zh-CN"/>
        </w:rPr>
        <w:t>注</w:t>
      </w:r>
      <w:r>
        <w:rPr>
          <w:rStyle w:val="40"/>
          <w:rFonts w:ascii="宋体" w:hAnsi="宋体" w:eastAsia="宋体"/>
          <w:sz w:val="21"/>
          <w:szCs w:val="21"/>
          <w:lang w:val="zh-CN"/>
        </w:rPr>
        <w:t>:</w:t>
      </w:r>
      <w:r>
        <w:rPr>
          <w:rFonts w:ascii="宋体" w:hAnsi="宋体" w:eastAsia="宋体"/>
          <w:sz w:val="21"/>
          <w:szCs w:val="21"/>
          <w:lang w:val="zh-CN"/>
        </w:rPr>
        <w:t xml:space="preserve"> </w:t>
      </w:r>
    </w:p>
    <w:p>
      <w:pPr>
        <w:pStyle w:val="18"/>
        <w:numPr>
          <w:ilvl w:val="0"/>
          <w:numId w:val="5"/>
        </w:numPr>
        <w:ind w:left="600" w:hanging="200"/>
        <w:rPr>
          <w:rFonts w:hint="eastAsia" w:ascii="宋体" w:hAnsi="宋体" w:eastAsia="宋体"/>
          <w:sz w:val="21"/>
          <w:szCs w:val="21"/>
          <w:lang w:val="zh-CN"/>
        </w:rPr>
      </w:pPr>
      <w:r>
        <w:rPr>
          <w:rFonts w:ascii="宋体" w:hAnsi="宋体" w:eastAsia="宋体"/>
          <w:sz w:val="21"/>
          <w:szCs w:val="21"/>
          <w:lang w:val="zh-CN"/>
        </w:rPr>
        <w:t>20</w:t>
      </w:r>
      <w:r>
        <w:rPr>
          <w:rFonts w:hint="eastAsia" w:ascii="宋体" w:hAnsi="宋体" w:eastAsia="宋体"/>
          <w:sz w:val="21"/>
          <w:szCs w:val="21"/>
          <w:lang w:val="zh-CN"/>
        </w:rPr>
        <w:t>23年、2</w:t>
      </w:r>
      <w:r>
        <w:rPr>
          <w:rFonts w:ascii="宋体" w:hAnsi="宋体" w:eastAsia="宋体"/>
          <w:sz w:val="21"/>
          <w:szCs w:val="21"/>
          <w:lang w:val="zh-CN"/>
        </w:rPr>
        <w:t>02</w:t>
      </w:r>
      <w:r>
        <w:rPr>
          <w:rFonts w:hint="eastAsia" w:ascii="宋体" w:hAnsi="宋体" w:eastAsia="宋体"/>
          <w:sz w:val="21"/>
          <w:szCs w:val="21"/>
        </w:rPr>
        <w:t>2</w:t>
      </w:r>
      <w:r>
        <w:rPr>
          <w:rFonts w:hint="eastAsia" w:ascii="宋体" w:hAnsi="宋体" w:eastAsia="宋体"/>
          <w:sz w:val="21"/>
          <w:szCs w:val="21"/>
          <w:lang w:val="zh-CN"/>
        </w:rPr>
        <w:t>年数据统计对象为</w:t>
      </w:r>
      <w:r>
        <w:rPr>
          <w:rFonts w:hint="eastAsia" w:ascii="宋体" w:hAnsi="宋体" w:eastAsia="宋体"/>
          <w:sz w:val="21"/>
          <w:szCs w:val="21"/>
        </w:rPr>
        <w:t>长虹财务公司本部</w:t>
      </w:r>
      <w:r>
        <w:rPr>
          <w:rFonts w:hint="eastAsia" w:ascii="宋体" w:hAnsi="宋体" w:eastAsia="宋体"/>
          <w:sz w:val="21"/>
          <w:szCs w:val="21"/>
          <w:lang w:val="zh-CN"/>
        </w:rPr>
        <w:t>。</w:t>
      </w:r>
    </w:p>
    <w:p>
      <w:pPr>
        <w:pStyle w:val="18"/>
        <w:numPr>
          <w:ilvl w:val="0"/>
          <w:numId w:val="5"/>
        </w:numPr>
        <w:ind w:left="600" w:hanging="200"/>
        <w:rPr>
          <w:rFonts w:hint="eastAsia" w:ascii="宋体" w:hAnsi="宋体" w:eastAsia="宋体"/>
          <w:sz w:val="21"/>
          <w:szCs w:val="21"/>
          <w:lang w:val="zh-CN"/>
        </w:rPr>
      </w:pPr>
      <w:r>
        <w:rPr>
          <w:rFonts w:hint="eastAsia" w:ascii="宋体" w:hAnsi="宋体" w:eastAsia="宋体"/>
          <w:sz w:val="21"/>
          <w:szCs w:val="21"/>
        </w:rPr>
        <w:t>2023、2022</w:t>
      </w:r>
      <w:r>
        <w:rPr>
          <w:rFonts w:hint="eastAsia" w:ascii="宋体" w:hAnsi="宋体" w:eastAsia="宋体"/>
          <w:sz w:val="21"/>
          <w:szCs w:val="21"/>
          <w:lang w:val="zh-CN"/>
        </w:rPr>
        <w:t>人均</w:t>
      </w:r>
      <w:r>
        <w:rPr>
          <w:rFonts w:hint="eastAsia" w:ascii="宋体" w:hAnsi="宋体" w:eastAsia="宋体"/>
          <w:sz w:val="21"/>
          <w:szCs w:val="21"/>
        </w:rPr>
        <w:t>消耗量</w:t>
      </w:r>
      <w:r>
        <w:rPr>
          <w:rFonts w:hint="eastAsia" w:ascii="宋体" w:hAnsi="宋体" w:eastAsia="宋体"/>
          <w:sz w:val="21"/>
          <w:szCs w:val="21"/>
          <w:lang w:val="zh-CN"/>
        </w:rPr>
        <w:t>对应的统计口径员工人数</w:t>
      </w:r>
      <w:r>
        <w:rPr>
          <w:rFonts w:hint="eastAsia" w:ascii="宋体" w:hAnsi="宋体" w:eastAsia="宋体"/>
          <w:sz w:val="21"/>
          <w:szCs w:val="21"/>
        </w:rPr>
        <w:t>均为37</w:t>
      </w:r>
      <w:r>
        <w:rPr>
          <w:rFonts w:hint="eastAsia" w:ascii="宋体" w:hAnsi="宋体" w:eastAsia="宋体"/>
          <w:sz w:val="21"/>
          <w:szCs w:val="21"/>
          <w:lang w:val="zh-CN"/>
        </w:rPr>
        <w:t>人为基准核算。</w:t>
      </w:r>
    </w:p>
    <w:p>
      <w:pPr>
        <w:pStyle w:val="2"/>
        <w:rPr>
          <w:rFonts w:hint="eastAsia"/>
        </w:rPr>
      </w:pPr>
    </w:p>
    <w:p>
      <w:pPr>
        <w:pStyle w:val="2"/>
        <w:rPr>
          <w:rFonts w:hint="eastAsia"/>
        </w:rPr>
      </w:pPr>
    </w:p>
    <w:p>
      <w:pPr>
        <w:jc w:val="center"/>
        <w:rPr>
          <w:rFonts w:hint="eastAsia" w:ascii="宋体" w:hAnsi="宋体" w:eastAsia="宋体" w:cs="宋体"/>
          <w:b/>
          <w:bCs/>
          <w:szCs w:val="21"/>
        </w:rPr>
      </w:pPr>
      <w:r>
        <w:rPr>
          <w:rFonts w:hint="eastAsia" w:ascii="宋体" w:hAnsi="宋体" w:eastAsia="宋体" w:cs="宋体"/>
          <w:b/>
          <w:bCs/>
          <w:szCs w:val="21"/>
        </w:rPr>
        <w:t>表</w:t>
      </w:r>
      <w:r>
        <w:rPr>
          <w:rFonts w:ascii="宋体" w:hAnsi="宋体" w:eastAsia="宋体" w:cs="宋体"/>
          <w:b/>
          <w:bCs/>
          <w:szCs w:val="21"/>
        </w:rPr>
        <w:t>5</w:t>
      </w:r>
      <w:r>
        <w:rPr>
          <w:rFonts w:hint="eastAsia" w:ascii="宋体" w:hAnsi="宋体" w:eastAsia="宋体" w:cs="宋体"/>
          <w:b/>
          <w:bCs/>
          <w:szCs w:val="21"/>
        </w:rPr>
        <w:t>：本公司2</w:t>
      </w:r>
      <w:r>
        <w:rPr>
          <w:rFonts w:ascii="宋体" w:hAnsi="宋体" w:eastAsia="宋体" w:cs="宋体"/>
          <w:b/>
          <w:bCs/>
          <w:szCs w:val="21"/>
        </w:rPr>
        <w:t>02</w:t>
      </w:r>
      <w:r>
        <w:rPr>
          <w:rFonts w:hint="eastAsia" w:ascii="宋体" w:hAnsi="宋体" w:eastAsia="宋体" w:cs="宋体"/>
          <w:b/>
          <w:bCs/>
          <w:szCs w:val="21"/>
        </w:rPr>
        <w:t>3年度经营活动产生的温室气体排放</w:t>
      </w:r>
      <w:r>
        <w:rPr>
          <w:rFonts w:hint="eastAsia" w:ascii="宋体" w:hAnsi="宋体" w:eastAsia="宋体" w:cs="宋体"/>
          <w:b/>
          <w:bCs/>
          <w:szCs w:val="21"/>
          <w:vertAlign w:val="superscript"/>
        </w:rPr>
        <w:t>1</w:t>
      </w:r>
    </w:p>
    <w:tbl>
      <w:tblPr>
        <w:tblStyle w:val="26"/>
        <w:tblW w:w="7763" w:type="dxa"/>
        <w:tblInd w:w="513" w:type="dxa"/>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37"/>
        <w:gridCol w:w="1513"/>
        <w:gridCol w:w="158"/>
        <w:gridCol w:w="1303"/>
        <w:gridCol w:w="1763"/>
        <w:gridCol w:w="1789"/>
      </w:tblGrid>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 w:hRule="atLeast"/>
        </w:trPr>
        <w:tc>
          <w:tcPr>
            <w:tcW w:w="1237" w:type="dxa"/>
            <w:tcBorders>
              <w:top w:val="single" w:color="auto" w:sz="18" w:space="0"/>
              <w:left w:val="nil"/>
              <w:bottom w:val="single" w:color="auto" w:sz="18" w:space="0"/>
              <w:right w:val="nil"/>
              <w:tl2br w:val="nil"/>
              <w:tr2bl w:val="nil"/>
            </w:tcBorders>
            <w:shd w:val="clear" w:color="auto" w:fill="215D66"/>
            <w:vAlign w:val="center"/>
          </w:tcPr>
          <w:p>
            <w:pPr>
              <w:jc w:val="center"/>
              <w:rPr>
                <w:rFonts w:hint="eastAsia" w:ascii="宋体" w:hAnsi="宋体" w:eastAsia="宋体"/>
                <w:b/>
                <w:bCs/>
                <w:color w:val="FFFFFF"/>
                <w:kern w:val="0"/>
                <w:sz w:val="22"/>
                <w:szCs w:val="21"/>
              </w:rPr>
            </w:pPr>
            <w:r>
              <w:rPr>
                <w:rFonts w:hint="eastAsia" w:ascii="宋体" w:hAnsi="宋体" w:eastAsia="宋体"/>
                <w:b/>
                <w:bCs/>
                <w:color w:val="FFFFFF"/>
                <w:kern w:val="0"/>
                <w:sz w:val="22"/>
                <w:szCs w:val="21"/>
              </w:rPr>
              <w:t>温室气体排放范围</w:t>
            </w:r>
          </w:p>
        </w:tc>
        <w:tc>
          <w:tcPr>
            <w:tcW w:w="1513" w:type="dxa"/>
            <w:tcBorders>
              <w:top w:val="single" w:color="auto" w:sz="18" w:space="0"/>
              <w:left w:val="nil"/>
              <w:bottom w:val="single" w:color="auto" w:sz="18" w:space="0"/>
              <w:right w:val="nil"/>
              <w:tl2br w:val="nil"/>
              <w:tr2bl w:val="nil"/>
            </w:tcBorders>
            <w:shd w:val="clear" w:color="auto" w:fill="215D66"/>
            <w:vAlign w:val="center"/>
          </w:tcPr>
          <w:p>
            <w:pPr>
              <w:jc w:val="center"/>
              <w:textAlignment w:val="bottom"/>
              <w:rPr>
                <w:rFonts w:hint="eastAsia" w:ascii="宋体" w:hAnsi="宋体" w:eastAsia="宋体"/>
                <w:b/>
                <w:bCs/>
                <w:color w:val="FFFFFF"/>
                <w:kern w:val="0"/>
                <w:sz w:val="22"/>
                <w:szCs w:val="21"/>
              </w:rPr>
            </w:pPr>
            <w:r>
              <w:rPr>
                <w:rFonts w:hint="eastAsia" w:ascii="宋体" w:hAnsi="宋体" w:eastAsia="宋体"/>
                <w:b/>
                <w:bCs/>
                <w:color w:val="FFFFFF"/>
                <w:kern w:val="0"/>
                <w:sz w:val="22"/>
                <w:szCs w:val="21"/>
              </w:rPr>
              <w:t>2023</w:t>
            </w:r>
            <w:r>
              <w:rPr>
                <w:rFonts w:hint="eastAsia" w:ascii="宋体" w:hAnsi="宋体" w:eastAsia="宋体"/>
                <w:b/>
                <w:bCs/>
                <w:color w:val="FFFFFF"/>
                <w:kern w:val="0"/>
                <w:sz w:val="22"/>
                <w:szCs w:val="21"/>
                <w:lang w:val="en-US" w:eastAsia="zh-CN"/>
              </w:rPr>
              <w:t>年</w:t>
            </w:r>
            <w:r>
              <w:rPr>
                <w:rFonts w:hint="eastAsia" w:ascii="宋体" w:hAnsi="宋体" w:eastAsia="宋体"/>
                <w:b/>
                <w:bCs/>
                <w:color w:val="FFFFFF"/>
                <w:kern w:val="0"/>
                <w:sz w:val="22"/>
                <w:szCs w:val="21"/>
              </w:rPr>
              <w:t>总排放量（吨）</w:t>
            </w:r>
          </w:p>
        </w:tc>
        <w:tc>
          <w:tcPr>
            <w:tcW w:w="1461" w:type="dxa"/>
            <w:gridSpan w:val="2"/>
            <w:tcBorders>
              <w:top w:val="single" w:color="auto" w:sz="18" w:space="0"/>
              <w:left w:val="nil"/>
              <w:bottom w:val="single" w:color="auto" w:sz="18" w:space="0"/>
              <w:right w:val="nil"/>
              <w:tl2br w:val="nil"/>
              <w:tr2bl w:val="nil"/>
            </w:tcBorders>
            <w:shd w:val="clear" w:color="auto" w:fill="215D66"/>
          </w:tcPr>
          <w:p>
            <w:pPr>
              <w:keepNext w:val="0"/>
              <w:keepLines w:val="0"/>
              <w:pageBreakBefore w:val="0"/>
              <w:widowControl w:val="0"/>
              <w:kinsoku/>
              <w:wordWrap/>
              <w:overflowPunct/>
              <w:topLinePunct w:val="0"/>
              <w:autoSpaceDE/>
              <w:autoSpaceDN/>
              <w:bidi w:val="0"/>
              <w:adjustRightInd/>
              <w:snapToGrid/>
              <w:jc w:val="center"/>
              <w:textAlignment w:val="bottom"/>
              <w:rPr>
                <w:rFonts w:hint="eastAsia" w:ascii="宋体" w:hAnsi="宋体" w:eastAsia="宋体"/>
                <w:b/>
                <w:bCs/>
                <w:color w:val="FFFFFF"/>
                <w:kern w:val="0"/>
                <w:sz w:val="22"/>
                <w:szCs w:val="21"/>
              </w:rPr>
            </w:pPr>
            <w:r>
              <w:rPr>
                <w:rFonts w:hint="eastAsia" w:ascii="宋体" w:hAnsi="宋体" w:eastAsia="宋体"/>
                <w:b/>
                <w:bCs/>
                <w:color w:val="FFFFFF"/>
                <w:kern w:val="0"/>
                <w:sz w:val="22"/>
                <w:szCs w:val="21"/>
              </w:rPr>
              <w:t>202</w:t>
            </w:r>
            <w:r>
              <w:rPr>
                <w:rFonts w:hint="eastAsia" w:ascii="宋体" w:hAnsi="宋体" w:eastAsia="宋体"/>
                <w:b/>
                <w:bCs/>
                <w:color w:val="FFFFFF"/>
                <w:kern w:val="0"/>
                <w:sz w:val="22"/>
                <w:szCs w:val="21"/>
                <w:lang w:val="en-US" w:eastAsia="zh-CN"/>
              </w:rPr>
              <w:t>2年</w:t>
            </w:r>
            <w:r>
              <w:rPr>
                <w:rFonts w:hint="eastAsia" w:ascii="宋体" w:hAnsi="宋体" w:eastAsia="宋体"/>
                <w:b/>
                <w:bCs/>
                <w:color w:val="FFFFFF"/>
                <w:kern w:val="0"/>
                <w:sz w:val="22"/>
                <w:szCs w:val="21"/>
              </w:rPr>
              <w:t>总排放量（吨）</w:t>
            </w:r>
          </w:p>
        </w:tc>
        <w:tc>
          <w:tcPr>
            <w:tcW w:w="1763" w:type="dxa"/>
            <w:tcBorders>
              <w:top w:val="single" w:color="auto" w:sz="18" w:space="0"/>
              <w:left w:val="nil"/>
              <w:bottom w:val="single" w:color="auto" w:sz="18" w:space="0"/>
              <w:right w:val="nil"/>
              <w:tl2br w:val="nil"/>
              <w:tr2bl w:val="nil"/>
            </w:tcBorders>
            <w:shd w:val="clear" w:color="auto" w:fill="215D66"/>
            <w:vAlign w:val="center"/>
          </w:tcPr>
          <w:p>
            <w:pPr>
              <w:jc w:val="center"/>
              <w:rPr>
                <w:rFonts w:hint="eastAsia" w:ascii="宋体" w:hAnsi="宋体" w:eastAsia="宋体"/>
                <w:b/>
                <w:bCs/>
                <w:color w:val="FFFFFF"/>
                <w:kern w:val="0"/>
                <w:sz w:val="22"/>
                <w:szCs w:val="21"/>
              </w:rPr>
            </w:pPr>
            <w:r>
              <w:rPr>
                <w:rFonts w:hint="eastAsia" w:ascii="宋体" w:hAnsi="宋体" w:eastAsia="宋体"/>
                <w:b/>
                <w:bCs/>
                <w:color w:val="FFFFFF"/>
                <w:kern w:val="0"/>
                <w:sz w:val="22"/>
                <w:szCs w:val="21"/>
              </w:rPr>
              <w:t>2023年人均排放量（吨/人）</w:t>
            </w:r>
          </w:p>
        </w:tc>
        <w:tc>
          <w:tcPr>
            <w:tcW w:w="1789" w:type="dxa"/>
            <w:tcBorders>
              <w:top w:val="single" w:color="auto" w:sz="18" w:space="0"/>
              <w:left w:val="nil"/>
              <w:bottom w:val="single" w:color="auto" w:sz="18" w:space="0"/>
              <w:right w:val="nil"/>
              <w:tl2br w:val="nil"/>
              <w:tr2bl w:val="nil"/>
            </w:tcBorders>
            <w:shd w:val="clear" w:color="auto" w:fill="215D66"/>
          </w:tcPr>
          <w:p>
            <w:pPr>
              <w:rPr>
                <w:rFonts w:hint="eastAsia" w:ascii="宋体" w:hAnsi="宋体" w:eastAsia="宋体"/>
                <w:b/>
                <w:bCs/>
                <w:color w:val="FFFFFF"/>
                <w:kern w:val="0"/>
                <w:sz w:val="22"/>
                <w:szCs w:val="21"/>
              </w:rPr>
            </w:pPr>
            <w:r>
              <w:rPr>
                <w:rFonts w:hint="eastAsia" w:ascii="宋体" w:hAnsi="宋体" w:eastAsia="宋体"/>
                <w:b/>
                <w:bCs/>
                <w:color w:val="FFFFFF"/>
                <w:kern w:val="0"/>
                <w:sz w:val="22"/>
                <w:szCs w:val="21"/>
              </w:rPr>
              <w:t>2022年人均排放量（吨/人）</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3" w:hRule="atLeast"/>
        </w:trPr>
        <w:tc>
          <w:tcPr>
            <w:tcW w:w="1237" w:type="dxa"/>
            <w:tcBorders>
              <w:top w:val="single" w:color="auto" w:sz="18" w:space="0"/>
              <w:left w:val="nil"/>
              <w:bottom w:val="single" w:color="auto" w:sz="18" w:space="0"/>
              <w:right w:val="nil"/>
              <w:tl2br w:val="nil"/>
              <w:tr2bl w:val="nil"/>
            </w:tcBorders>
            <w:shd w:val="clear" w:color="auto" w:fill="FFFFFF"/>
            <w:vAlign w:val="center"/>
          </w:tcPr>
          <w:p>
            <w:pPr>
              <w:rPr>
                <w:rFonts w:hint="eastAsia" w:ascii="宋体" w:hAnsi="宋体" w:eastAsia="宋体"/>
                <w:b/>
                <w:bCs/>
                <w:color w:val="FFFFFF"/>
                <w:kern w:val="0"/>
                <w:sz w:val="22"/>
                <w:szCs w:val="21"/>
                <w:lang w:val="zh-CN"/>
              </w:rPr>
            </w:pPr>
            <w:r>
              <w:rPr>
                <w:rFonts w:hint="eastAsia" w:ascii="宋体" w:hAnsi="宋体" w:eastAsia="宋体"/>
                <w:b/>
                <w:bCs/>
                <w:kern w:val="0"/>
                <w:sz w:val="22"/>
                <w:szCs w:val="21"/>
                <w:lang w:val="zh-CN"/>
              </w:rPr>
              <w:t>直接温室气体排放</w:t>
            </w:r>
            <w:r>
              <w:rPr>
                <w:rFonts w:hint="eastAsia" w:ascii="宋体" w:hAnsi="宋体" w:eastAsia="宋体"/>
                <w:b/>
                <w:bCs/>
                <w:kern w:val="0"/>
                <w:sz w:val="22"/>
                <w:szCs w:val="21"/>
                <w:vertAlign w:val="superscript"/>
                <w:lang w:val="zh-CN"/>
              </w:rPr>
              <w:t>2</w:t>
            </w:r>
          </w:p>
        </w:tc>
        <w:tc>
          <w:tcPr>
            <w:tcW w:w="1671" w:type="dxa"/>
            <w:gridSpan w:val="2"/>
            <w:tcBorders>
              <w:top w:val="single" w:color="auto" w:sz="18" w:space="0"/>
              <w:bottom w:val="nil"/>
            </w:tcBorders>
            <w:shd w:val="clear" w:color="auto" w:fill="FFFFFF"/>
            <w:vAlign w:val="center"/>
          </w:tcPr>
          <w:p>
            <w:pPr>
              <w:pStyle w:val="32"/>
              <w:jc w:val="center"/>
              <w:rPr>
                <w:rFonts w:hint="eastAsia" w:ascii="宋体" w:hAnsi="宋体" w:eastAsia="宋体"/>
                <w:sz w:val="21"/>
                <w:szCs w:val="21"/>
              </w:rPr>
            </w:pPr>
            <w:r>
              <w:rPr>
                <w:rFonts w:hint="eastAsia" w:ascii="宋体" w:hAnsi="宋体" w:eastAsia="宋体"/>
                <w:sz w:val="21"/>
                <w:szCs w:val="21"/>
              </w:rPr>
              <w:t>——</w:t>
            </w:r>
          </w:p>
        </w:tc>
        <w:tc>
          <w:tcPr>
            <w:tcW w:w="1303" w:type="dxa"/>
            <w:tcBorders>
              <w:top w:val="single" w:color="auto" w:sz="18" w:space="0"/>
              <w:bottom w:val="nil"/>
            </w:tcBorders>
            <w:shd w:val="clear" w:color="auto" w:fill="FFFFFF"/>
          </w:tcPr>
          <w:p>
            <w:pPr>
              <w:pStyle w:val="32"/>
              <w:jc w:val="center"/>
              <w:rPr>
                <w:rFonts w:hint="eastAsia" w:ascii="宋体" w:hAnsi="宋体" w:eastAsia="宋体"/>
                <w:sz w:val="21"/>
                <w:szCs w:val="21"/>
              </w:rPr>
            </w:pPr>
            <w:r>
              <w:rPr>
                <w:rFonts w:hint="eastAsia" w:ascii="宋体" w:hAnsi="宋体" w:eastAsia="宋体"/>
                <w:sz w:val="21"/>
                <w:szCs w:val="21"/>
              </w:rPr>
              <w:t>——</w:t>
            </w:r>
          </w:p>
        </w:tc>
        <w:tc>
          <w:tcPr>
            <w:tcW w:w="1763" w:type="dxa"/>
            <w:tcBorders>
              <w:top w:val="single" w:color="auto" w:sz="18" w:space="0"/>
              <w:bottom w:val="nil"/>
            </w:tcBorders>
            <w:shd w:val="clear" w:color="auto" w:fill="FFFFFF"/>
            <w:vAlign w:val="center"/>
          </w:tcPr>
          <w:p>
            <w:pPr>
              <w:pStyle w:val="32"/>
              <w:jc w:val="center"/>
              <w:rPr>
                <w:rFonts w:hint="eastAsia" w:ascii="宋体" w:hAnsi="宋体" w:eastAsia="宋体"/>
                <w:sz w:val="21"/>
                <w:szCs w:val="21"/>
              </w:rPr>
            </w:pPr>
            <w:r>
              <w:rPr>
                <w:rFonts w:hint="eastAsia" w:ascii="宋体" w:hAnsi="宋体" w:eastAsia="宋体"/>
                <w:sz w:val="21"/>
                <w:szCs w:val="21"/>
              </w:rPr>
              <w:t>——</w:t>
            </w:r>
          </w:p>
        </w:tc>
        <w:tc>
          <w:tcPr>
            <w:tcW w:w="1789" w:type="dxa"/>
            <w:tcBorders>
              <w:top w:val="single" w:color="auto" w:sz="18" w:space="0"/>
              <w:bottom w:val="nil"/>
            </w:tcBorders>
            <w:shd w:val="clear" w:color="auto" w:fill="FFFFFF"/>
          </w:tcPr>
          <w:p>
            <w:pPr>
              <w:pStyle w:val="32"/>
              <w:jc w:val="center"/>
              <w:rPr>
                <w:rFonts w:hint="eastAsia" w:ascii="宋体" w:hAnsi="宋体" w:eastAsia="宋体"/>
                <w:sz w:val="21"/>
                <w:szCs w:val="21"/>
              </w:rPr>
            </w:pPr>
            <w:r>
              <w:rPr>
                <w:rFonts w:hint="eastAsia" w:ascii="宋体" w:hAnsi="宋体" w:eastAsia="宋体"/>
                <w:sz w:val="21"/>
                <w:szCs w:val="21"/>
              </w:rPr>
              <w:t>——</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8" w:hRule="atLeast"/>
        </w:trPr>
        <w:tc>
          <w:tcPr>
            <w:tcW w:w="1237" w:type="dxa"/>
            <w:tcBorders>
              <w:top w:val="nil"/>
              <w:left w:val="nil"/>
              <w:bottom w:val="single" w:color="auto" w:sz="4" w:space="0"/>
              <w:right w:val="nil"/>
              <w:tl2br w:val="nil"/>
              <w:tr2bl w:val="nil"/>
            </w:tcBorders>
            <w:shd w:val="clear" w:color="auto" w:fill="FFFFFF"/>
            <w:vAlign w:val="center"/>
          </w:tcPr>
          <w:p>
            <w:pPr>
              <w:rPr>
                <w:rFonts w:hint="eastAsia" w:ascii="宋体" w:hAnsi="宋体" w:eastAsia="宋体"/>
                <w:b/>
                <w:bCs/>
                <w:color w:val="FFFFFF"/>
                <w:kern w:val="0"/>
                <w:sz w:val="22"/>
                <w:szCs w:val="21"/>
                <w:lang w:val="zh-CN"/>
              </w:rPr>
            </w:pPr>
            <w:r>
              <w:rPr>
                <w:rFonts w:hint="eastAsia" w:ascii="宋体" w:hAnsi="宋体" w:eastAsia="宋体"/>
                <w:b/>
                <w:bCs/>
                <w:kern w:val="0"/>
                <w:sz w:val="22"/>
                <w:szCs w:val="21"/>
                <w:lang w:val="zh-CN"/>
              </w:rPr>
              <w:t>间接温室气体排放</w:t>
            </w:r>
            <w:r>
              <w:rPr>
                <w:rFonts w:hint="eastAsia" w:ascii="宋体" w:hAnsi="宋体" w:eastAsia="宋体"/>
                <w:b/>
                <w:bCs/>
                <w:kern w:val="0"/>
                <w:sz w:val="22"/>
                <w:szCs w:val="21"/>
                <w:vertAlign w:val="superscript"/>
                <w:lang w:val="zh-CN"/>
              </w:rPr>
              <w:t>3</w:t>
            </w:r>
          </w:p>
        </w:tc>
        <w:tc>
          <w:tcPr>
            <w:tcW w:w="1671" w:type="dxa"/>
            <w:gridSpan w:val="2"/>
            <w:tcBorders>
              <w:top w:val="nil"/>
              <w:bottom w:val="single" w:color="auto" w:sz="4" w:space="0"/>
            </w:tcBorders>
            <w:shd w:val="clear" w:color="auto" w:fill="FFFFFF"/>
            <w:vAlign w:val="center"/>
          </w:tcPr>
          <w:p>
            <w:pPr>
              <w:pStyle w:val="32"/>
              <w:jc w:val="center"/>
              <w:rPr>
                <w:rFonts w:hint="eastAsia" w:ascii="宋体" w:hAnsi="宋体" w:eastAsia="宋体"/>
                <w:sz w:val="21"/>
                <w:szCs w:val="21"/>
              </w:rPr>
            </w:pPr>
            <w:r>
              <w:rPr>
                <w:rFonts w:hint="eastAsia" w:ascii="宋体" w:hAnsi="宋体" w:eastAsia="宋体"/>
                <w:sz w:val="21"/>
                <w:szCs w:val="21"/>
              </w:rPr>
              <w:t>17.68</w:t>
            </w:r>
          </w:p>
        </w:tc>
        <w:tc>
          <w:tcPr>
            <w:tcW w:w="1303" w:type="dxa"/>
            <w:tcBorders>
              <w:top w:val="nil"/>
              <w:bottom w:val="single" w:color="auto" w:sz="4" w:space="0"/>
            </w:tcBorders>
            <w:shd w:val="clear" w:color="auto" w:fill="FFFFFF"/>
          </w:tcPr>
          <w:p>
            <w:pPr>
              <w:pStyle w:val="32"/>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105.71</w:t>
            </w:r>
          </w:p>
        </w:tc>
        <w:tc>
          <w:tcPr>
            <w:tcW w:w="1763" w:type="dxa"/>
            <w:tcBorders>
              <w:top w:val="nil"/>
              <w:bottom w:val="single" w:color="auto" w:sz="4" w:space="0"/>
            </w:tcBorders>
            <w:shd w:val="clear" w:color="auto" w:fill="FFFFFF"/>
            <w:vAlign w:val="center"/>
          </w:tcPr>
          <w:p>
            <w:pPr>
              <w:pStyle w:val="32"/>
              <w:jc w:val="center"/>
              <w:rPr>
                <w:rFonts w:hint="eastAsia" w:ascii="宋体" w:hAnsi="宋体" w:eastAsia="宋体"/>
                <w:sz w:val="21"/>
                <w:szCs w:val="21"/>
              </w:rPr>
            </w:pPr>
            <w:r>
              <w:rPr>
                <w:rFonts w:hint="eastAsia" w:ascii="宋体" w:hAnsi="宋体" w:eastAsia="宋体"/>
                <w:sz w:val="21"/>
                <w:szCs w:val="21"/>
              </w:rPr>
              <w:t>0.48</w:t>
            </w:r>
          </w:p>
        </w:tc>
        <w:tc>
          <w:tcPr>
            <w:tcW w:w="1789" w:type="dxa"/>
            <w:tcBorders>
              <w:top w:val="nil"/>
              <w:bottom w:val="single" w:color="auto" w:sz="4" w:space="0"/>
            </w:tcBorders>
            <w:shd w:val="clear" w:color="auto" w:fill="FFFFFF"/>
          </w:tcPr>
          <w:p>
            <w:pPr>
              <w:pStyle w:val="32"/>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2.86</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8" w:hRule="atLeast"/>
        </w:trPr>
        <w:tc>
          <w:tcPr>
            <w:tcW w:w="1237" w:type="dxa"/>
            <w:tcBorders>
              <w:top w:val="single" w:color="auto" w:sz="4" w:space="0"/>
              <w:left w:val="nil"/>
              <w:bottom w:val="single" w:color="auto" w:sz="4" w:space="0"/>
              <w:right w:val="nil"/>
              <w:tl2br w:val="nil"/>
              <w:tr2bl w:val="nil"/>
            </w:tcBorders>
            <w:shd w:val="clear" w:color="auto" w:fill="D6E1DB"/>
            <w:vAlign w:val="center"/>
          </w:tcPr>
          <w:p>
            <w:pPr>
              <w:rPr>
                <w:rFonts w:hint="eastAsia" w:ascii="宋体" w:hAnsi="宋体" w:eastAsia="宋体"/>
                <w:b/>
                <w:bCs/>
                <w:color w:val="FFFFFF"/>
                <w:kern w:val="0"/>
                <w:sz w:val="22"/>
                <w:szCs w:val="21"/>
                <w:lang w:val="zh-CN"/>
              </w:rPr>
            </w:pPr>
            <w:r>
              <w:rPr>
                <w:rFonts w:hint="eastAsia" w:ascii="宋体" w:hAnsi="宋体" w:eastAsia="宋体"/>
                <w:b/>
                <w:bCs/>
                <w:kern w:val="0"/>
                <w:sz w:val="22"/>
                <w:szCs w:val="21"/>
                <w:lang w:val="zh-CN"/>
              </w:rPr>
              <w:t>温室气体排放总量</w:t>
            </w:r>
            <w:r>
              <w:rPr>
                <w:rFonts w:hint="eastAsia" w:ascii="宋体" w:hAnsi="宋体" w:eastAsia="宋体"/>
                <w:b/>
                <w:bCs/>
                <w:kern w:val="0"/>
                <w:sz w:val="22"/>
                <w:szCs w:val="21"/>
                <w:vertAlign w:val="superscript"/>
                <w:lang w:val="zh-CN"/>
              </w:rPr>
              <w:t>4</w:t>
            </w:r>
          </w:p>
        </w:tc>
        <w:tc>
          <w:tcPr>
            <w:tcW w:w="1671" w:type="dxa"/>
            <w:gridSpan w:val="2"/>
            <w:tcBorders>
              <w:top w:val="single" w:color="auto" w:sz="4" w:space="0"/>
              <w:bottom w:val="single" w:color="auto" w:sz="4" w:space="0"/>
              <w:right w:val="nil"/>
            </w:tcBorders>
            <w:shd w:val="clear" w:color="auto" w:fill="D6E1DB"/>
            <w:vAlign w:val="center"/>
          </w:tcPr>
          <w:p>
            <w:pPr>
              <w:pStyle w:val="32"/>
              <w:jc w:val="center"/>
              <w:rPr>
                <w:rFonts w:hint="eastAsia" w:ascii="宋体" w:hAnsi="宋体" w:eastAsia="宋体"/>
                <w:sz w:val="21"/>
                <w:szCs w:val="21"/>
              </w:rPr>
            </w:pPr>
            <w:r>
              <w:rPr>
                <w:rFonts w:hint="eastAsia" w:ascii="宋体" w:hAnsi="宋体" w:eastAsia="宋体"/>
                <w:sz w:val="21"/>
                <w:szCs w:val="21"/>
              </w:rPr>
              <w:t>17.68</w:t>
            </w:r>
          </w:p>
        </w:tc>
        <w:tc>
          <w:tcPr>
            <w:tcW w:w="1303" w:type="dxa"/>
            <w:tcBorders>
              <w:top w:val="single" w:color="auto" w:sz="4" w:space="0"/>
              <w:bottom w:val="single" w:color="auto" w:sz="4" w:space="0"/>
            </w:tcBorders>
            <w:shd w:val="clear" w:color="auto" w:fill="D6E1DB"/>
          </w:tcPr>
          <w:p>
            <w:pPr>
              <w:pStyle w:val="32"/>
              <w:jc w:val="center"/>
              <w:rPr>
                <w:rFonts w:hint="eastAsia" w:ascii="宋体" w:hAnsi="宋体" w:eastAsia="宋体"/>
                <w:sz w:val="21"/>
                <w:szCs w:val="21"/>
              </w:rPr>
            </w:pPr>
            <w:r>
              <w:rPr>
                <w:rFonts w:hint="eastAsia" w:ascii="宋体" w:hAnsi="宋体" w:eastAsia="宋体"/>
                <w:sz w:val="21"/>
                <w:szCs w:val="21"/>
                <w:lang w:val="en-US" w:eastAsia="zh-CN"/>
              </w:rPr>
              <w:t>105.71</w:t>
            </w:r>
          </w:p>
        </w:tc>
        <w:tc>
          <w:tcPr>
            <w:tcW w:w="1763" w:type="dxa"/>
            <w:tcBorders>
              <w:top w:val="single" w:color="auto" w:sz="4" w:space="0"/>
              <w:bottom w:val="single" w:color="auto" w:sz="4" w:space="0"/>
              <w:right w:val="nil"/>
            </w:tcBorders>
            <w:shd w:val="clear" w:color="auto" w:fill="D6E1DB"/>
            <w:vAlign w:val="center"/>
          </w:tcPr>
          <w:p>
            <w:pPr>
              <w:pStyle w:val="32"/>
              <w:jc w:val="center"/>
              <w:rPr>
                <w:rFonts w:hint="eastAsia" w:ascii="宋体" w:hAnsi="宋体" w:eastAsia="宋体"/>
                <w:sz w:val="21"/>
                <w:szCs w:val="21"/>
              </w:rPr>
            </w:pPr>
            <w:r>
              <w:rPr>
                <w:rFonts w:hint="eastAsia" w:ascii="宋体" w:hAnsi="宋体" w:eastAsia="宋体"/>
                <w:sz w:val="21"/>
                <w:szCs w:val="21"/>
              </w:rPr>
              <w:t>0.48</w:t>
            </w:r>
          </w:p>
        </w:tc>
        <w:tc>
          <w:tcPr>
            <w:tcW w:w="1789" w:type="dxa"/>
            <w:tcBorders>
              <w:top w:val="single" w:color="auto" w:sz="4" w:space="0"/>
              <w:bottom w:val="single" w:color="auto" w:sz="4" w:space="0"/>
              <w:right w:val="nil"/>
            </w:tcBorders>
            <w:shd w:val="clear" w:color="auto" w:fill="D6E1DB"/>
          </w:tcPr>
          <w:p>
            <w:pPr>
              <w:pStyle w:val="32"/>
              <w:jc w:val="center"/>
              <w:rPr>
                <w:rFonts w:hint="eastAsia" w:ascii="宋体" w:hAnsi="宋体" w:eastAsia="宋体"/>
                <w:sz w:val="21"/>
                <w:szCs w:val="21"/>
              </w:rPr>
            </w:pPr>
            <w:r>
              <w:rPr>
                <w:rFonts w:hint="eastAsia" w:ascii="宋体" w:hAnsi="宋体" w:eastAsia="宋体"/>
                <w:sz w:val="21"/>
                <w:szCs w:val="21"/>
                <w:lang w:val="en-US" w:eastAsia="zh-CN"/>
              </w:rPr>
              <w:t>2.86</w:t>
            </w:r>
          </w:p>
        </w:tc>
      </w:tr>
    </w:tbl>
    <w:p>
      <w:pPr>
        <w:pStyle w:val="18"/>
        <w:rPr>
          <w:rFonts w:hint="eastAsia" w:ascii="宋体" w:hAnsi="宋体" w:eastAsia="宋体"/>
          <w:sz w:val="21"/>
          <w:szCs w:val="21"/>
          <w:lang w:val="zh-CN"/>
        </w:rPr>
      </w:pPr>
      <w:r>
        <w:rPr>
          <w:rStyle w:val="40"/>
          <w:rFonts w:hint="eastAsia" w:ascii="宋体" w:hAnsi="宋体" w:eastAsia="宋体"/>
          <w:sz w:val="21"/>
          <w:szCs w:val="21"/>
          <w:lang w:val="zh-CN"/>
        </w:rPr>
        <w:t>注</w:t>
      </w:r>
      <w:r>
        <w:rPr>
          <w:rStyle w:val="40"/>
          <w:rFonts w:ascii="宋体" w:hAnsi="宋体" w:eastAsia="宋体"/>
          <w:sz w:val="21"/>
          <w:szCs w:val="21"/>
          <w:lang w:val="zh-CN"/>
        </w:rPr>
        <w:t>:</w:t>
      </w:r>
      <w:r>
        <w:rPr>
          <w:rFonts w:ascii="宋体" w:hAnsi="宋体" w:eastAsia="宋体"/>
          <w:sz w:val="21"/>
          <w:szCs w:val="21"/>
          <w:lang w:val="zh-CN"/>
        </w:rPr>
        <w:t xml:space="preserve"> </w:t>
      </w:r>
    </w:p>
    <w:p>
      <w:pPr>
        <w:pStyle w:val="18"/>
        <w:ind w:firstLine="420" w:firstLineChars="200"/>
        <w:rPr>
          <w:rFonts w:hint="eastAsia" w:ascii="宋体" w:hAnsi="宋体" w:eastAsia="宋体"/>
          <w:sz w:val="21"/>
          <w:szCs w:val="21"/>
          <w:lang w:val="zh-CN"/>
        </w:rPr>
      </w:pPr>
      <w:r>
        <w:rPr>
          <w:rFonts w:ascii="宋体" w:hAnsi="宋体" w:eastAsia="宋体"/>
          <w:sz w:val="21"/>
          <w:szCs w:val="21"/>
          <w:lang w:val="zh-CN"/>
        </w:rPr>
        <w:t>1.202</w:t>
      </w:r>
      <w:r>
        <w:rPr>
          <w:rFonts w:hint="eastAsia" w:ascii="宋体" w:hAnsi="宋体" w:eastAsia="宋体"/>
          <w:sz w:val="21"/>
          <w:szCs w:val="21"/>
          <w:lang w:val="en-US" w:eastAsia="zh-CN"/>
        </w:rPr>
        <w:t>2、2023</w:t>
      </w:r>
      <w:r>
        <w:rPr>
          <w:rFonts w:hint="eastAsia" w:ascii="宋体" w:hAnsi="宋体" w:eastAsia="宋体"/>
          <w:sz w:val="21"/>
          <w:szCs w:val="21"/>
          <w:lang w:val="zh-CN"/>
        </w:rPr>
        <w:t>年1-</w:t>
      </w:r>
      <w:r>
        <w:rPr>
          <w:rFonts w:ascii="宋体" w:hAnsi="宋体" w:eastAsia="宋体"/>
          <w:sz w:val="21"/>
          <w:szCs w:val="21"/>
          <w:lang w:val="zh-CN"/>
        </w:rPr>
        <w:t>12</w:t>
      </w:r>
      <w:r>
        <w:rPr>
          <w:rFonts w:hint="eastAsia" w:ascii="宋体" w:hAnsi="宋体" w:eastAsia="宋体"/>
          <w:sz w:val="21"/>
          <w:szCs w:val="21"/>
          <w:lang w:val="zh-CN"/>
        </w:rPr>
        <w:t>月数据统计对象为</w:t>
      </w:r>
      <w:r>
        <w:rPr>
          <w:rFonts w:hint="eastAsia" w:ascii="宋体" w:hAnsi="宋体" w:eastAsia="宋体"/>
          <w:sz w:val="21"/>
          <w:szCs w:val="21"/>
        </w:rPr>
        <w:t>长虹财务公司本部</w:t>
      </w:r>
      <w:r>
        <w:rPr>
          <w:rFonts w:hint="eastAsia" w:ascii="宋体" w:hAnsi="宋体" w:eastAsia="宋体"/>
          <w:sz w:val="21"/>
          <w:szCs w:val="21"/>
          <w:lang w:val="zh-CN"/>
        </w:rPr>
        <w:t>。</w:t>
      </w:r>
    </w:p>
    <w:p>
      <w:pPr>
        <w:pStyle w:val="18"/>
        <w:ind w:firstLine="420" w:firstLineChars="200"/>
        <w:rPr>
          <w:rFonts w:hint="eastAsia" w:ascii="宋体" w:hAnsi="宋体" w:eastAsia="宋体"/>
          <w:sz w:val="21"/>
          <w:szCs w:val="21"/>
          <w:lang w:val="zh-CN"/>
        </w:rPr>
      </w:pPr>
      <w:r>
        <w:rPr>
          <w:rFonts w:ascii="宋体" w:hAnsi="宋体" w:eastAsia="宋体"/>
          <w:sz w:val="21"/>
          <w:szCs w:val="21"/>
          <w:lang w:val="zh-CN"/>
        </w:rPr>
        <w:t>2.</w:t>
      </w:r>
      <w:r>
        <w:rPr>
          <w:rFonts w:hint="eastAsia" w:ascii="宋体" w:hAnsi="宋体" w:eastAsia="宋体"/>
          <w:sz w:val="21"/>
          <w:szCs w:val="21"/>
          <w:lang w:val="zh-CN"/>
        </w:rPr>
        <w:t>直接温室气体排放包括</w:t>
      </w:r>
      <w:r>
        <w:rPr>
          <w:rFonts w:hint="eastAsia" w:ascii="宋体" w:hAnsi="宋体" w:eastAsia="宋体"/>
          <w:sz w:val="21"/>
          <w:szCs w:val="21"/>
        </w:rPr>
        <w:t>全公司</w:t>
      </w:r>
      <w:r>
        <w:rPr>
          <w:rFonts w:hint="eastAsia" w:ascii="宋体" w:hAnsi="宋体" w:eastAsia="宋体"/>
          <w:sz w:val="21"/>
          <w:szCs w:val="21"/>
          <w:lang w:val="zh-CN"/>
        </w:rPr>
        <w:t>自有交通运输工具汽油消耗量。</w:t>
      </w:r>
    </w:p>
    <w:p>
      <w:pPr>
        <w:pStyle w:val="18"/>
        <w:ind w:firstLine="420" w:firstLineChars="200"/>
        <w:rPr>
          <w:rFonts w:hint="eastAsia" w:ascii="宋体" w:hAnsi="宋体" w:eastAsia="宋体"/>
          <w:sz w:val="21"/>
          <w:szCs w:val="21"/>
          <w:lang w:val="zh-CN"/>
        </w:rPr>
      </w:pPr>
      <w:r>
        <w:rPr>
          <w:rFonts w:ascii="宋体" w:hAnsi="宋体" w:eastAsia="宋体"/>
          <w:sz w:val="21"/>
          <w:szCs w:val="21"/>
          <w:lang w:val="zh-CN"/>
        </w:rPr>
        <w:t>3.</w:t>
      </w:r>
      <w:r>
        <w:rPr>
          <w:rFonts w:hint="eastAsia" w:ascii="宋体" w:hAnsi="宋体" w:eastAsia="宋体"/>
          <w:sz w:val="21"/>
          <w:szCs w:val="21"/>
          <w:lang w:val="zh-CN"/>
        </w:rPr>
        <w:t>间接温室气体排放包括全公司经营办公活动的电力使用量。</w:t>
      </w:r>
    </w:p>
    <w:p>
      <w:pPr>
        <w:pStyle w:val="18"/>
        <w:ind w:firstLine="420" w:firstLineChars="200"/>
        <w:rPr>
          <w:rFonts w:hint="eastAsia" w:ascii="宋体" w:hAnsi="宋体" w:eastAsia="宋体"/>
          <w:sz w:val="21"/>
          <w:szCs w:val="21"/>
          <w:lang w:val="zh-CN"/>
        </w:rPr>
      </w:pPr>
      <w:r>
        <w:rPr>
          <w:rFonts w:ascii="宋体" w:hAnsi="宋体" w:eastAsia="宋体"/>
          <w:sz w:val="21"/>
          <w:szCs w:val="21"/>
          <w:lang w:val="zh-CN"/>
        </w:rPr>
        <w:t>4.</w:t>
      </w:r>
      <w:r>
        <w:rPr>
          <w:rFonts w:hint="eastAsia" w:ascii="宋体" w:hAnsi="宋体" w:eastAsia="宋体"/>
          <w:sz w:val="21"/>
          <w:szCs w:val="21"/>
          <w:lang w:val="zh-CN"/>
        </w:rPr>
        <w:t>温室气体排放总量为直接温室气体排放和间接温室气体排放的总和。</w:t>
      </w:r>
    </w:p>
    <w:p>
      <w:pPr>
        <w:pStyle w:val="18"/>
        <w:ind w:firstLine="420" w:firstLineChars="200"/>
        <w:rPr>
          <w:rFonts w:hint="eastAsia" w:ascii="宋体" w:hAnsi="宋体" w:eastAsia="宋体"/>
          <w:sz w:val="21"/>
          <w:szCs w:val="21"/>
        </w:rPr>
      </w:pPr>
      <w:r>
        <w:rPr>
          <w:rFonts w:ascii="宋体" w:hAnsi="宋体" w:eastAsia="宋体"/>
          <w:sz w:val="21"/>
          <w:szCs w:val="21"/>
          <w:lang w:val="zh-CN"/>
        </w:rPr>
        <w:t>5.</w:t>
      </w:r>
      <w:r>
        <w:rPr>
          <w:rFonts w:hint="eastAsia" w:ascii="宋体" w:hAnsi="宋体" w:eastAsia="宋体"/>
          <w:sz w:val="21"/>
          <w:szCs w:val="21"/>
          <w:lang w:val="en-US" w:eastAsia="zh-CN"/>
        </w:rPr>
        <w:t>2022、2023年</w:t>
      </w:r>
      <w:r>
        <w:rPr>
          <w:rFonts w:hint="eastAsia" w:ascii="宋体" w:hAnsi="宋体" w:eastAsia="宋体"/>
          <w:sz w:val="21"/>
          <w:szCs w:val="21"/>
          <w:lang w:val="zh-CN"/>
        </w:rPr>
        <w:t>人均碳足迹以总排放量对应的统计口径员工人数</w:t>
      </w:r>
      <w:r>
        <w:rPr>
          <w:rFonts w:hint="eastAsia" w:ascii="宋体" w:hAnsi="宋体" w:eastAsia="宋体"/>
          <w:sz w:val="21"/>
          <w:szCs w:val="21"/>
          <w:lang w:val="en-US" w:eastAsia="zh-CN"/>
        </w:rPr>
        <w:t>均以</w:t>
      </w:r>
      <w:r>
        <w:rPr>
          <w:rFonts w:hint="eastAsia" w:ascii="宋体" w:hAnsi="宋体" w:eastAsia="宋体"/>
          <w:sz w:val="21"/>
          <w:szCs w:val="21"/>
        </w:rPr>
        <w:t>37</w:t>
      </w:r>
      <w:r>
        <w:rPr>
          <w:rFonts w:hint="eastAsia" w:ascii="宋体" w:hAnsi="宋体" w:eastAsia="宋体"/>
          <w:sz w:val="21"/>
          <w:szCs w:val="21"/>
          <w:lang w:val="zh-CN"/>
        </w:rPr>
        <w:t>人为基准核算。</w:t>
      </w:r>
    </w:p>
    <w:p>
      <w:pPr>
        <w:pStyle w:val="31"/>
        <w:spacing w:line="360" w:lineRule="auto"/>
        <w:ind w:firstLine="0" w:firstLineChars="0"/>
        <w:outlineLvl w:val="1"/>
        <w:rPr>
          <w:rFonts w:hint="eastAsia" w:ascii="宋体" w:hAnsi="宋体" w:eastAsia="宋体"/>
          <w:color w:val="252525"/>
          <w:sz w:val="28"/>
          <w:szCs w:val="28"/>
        </w:rPr>
      </w:pPr>
      <w:bookmarkStart w:id="29" w:name="_Toc25757"/>
      <w:r>
        <w:rPr>
          <w:rFonts w:hint="eastAsia" w:ascii="宋体" w:hAnsi="宋体" w:eastAsia="宋体"/>
          <w:color w:val="252525"/>
          <w:sz w:val="28"/>
          <w:szCs w:val="28"/>
        </w:rPr>
        <w:t>8.2 环保措施</w:t>
      </w:r>
      <w:bookmarkEnd w:id="29"/>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节能管理：办公区域按需开灯，在光线充足且自然光照较好时不开灯；长时间离开办公区域或下班时及时关灯，做到人走灯灭，杜绝长明灯；在开关处张贴节电标识，提醒人员离开时及时关闭电源；在洗手间门张贴进出关门标志，减少空调的能耗，同时防止冷气</w:t>
      </w:r>
      <w:r>
        <w:rPr>
          <w:rFonts w:ascii="宋体" w:hAnsi="宋体" w:eastAsia="宋体"/>
          <w:color w:val="252525"/>
          <w:sz w:val="28"/>
          <w:szCs w:val="28"/>
        </w:rPr>
        <w:t>/暖气流失</w:t>
      </w:r>
      <w:r>
        <w:rPr>
          <w:rFonts w:hint="eastAsia" w:ascii="宋体" w:hAnsi="宋体" w:eastAsia="宋体"/>
          <w:color w:val="252525"/>
          <w:sz w:val="28"/>
          <w:szCs w:val="28"/>
        </w:rPr>
        <w:t>。</w:t>
      </w:r>
    </w:p>
    <w:p>
      <w:pPr>
        <w:pStyle w:val="2"/>
        <w:rPr>
          <w:rFonts w:hint="eastAsia" w:ascii="宋体" w:hAnsi="宋体" w:eastAsia="宋体"/>
          <w:color w:val="252525"/>
          <w:sz w:val="28"/>
          <w:szCs w:val="28"/>
        </w:rPr>
      </w:pPr>
      <w:r>
        <w:rPr>
          <w:rFonts w:ascii="宋体" w:hAnsi="宋体" w:eastAsia="宋体"/>
          <w:color w:val="252525"/>
          <w:sz w:val="28"/>
          <w:szCs w:val="28"/>
        </w:rPr>
        <w:drawing>
          <wp:anchor distT="0" distB="0" distL="114300" distR="114300" simplePos="0" relativeHeight="251668480" behindDoc="0" locked="0" layoutInCell="1" allowOverlap="1">
            <wp:simplePos x="0" y="0"/>
            <wp:positionH relativeFrom="margin">
              <wp:posOffset>-228600</wp:posOffset>
            </wp:positionH>
            <wp:positionV relativeFrom="paragraph">
              <wp:posOffset>31115</wp:posOffset>
            </wp:positionV>
            <wp:extent cx="2757805" cy="2658110"/>
            <wp:effectExtent l="0" t="0" r="4445" b="9525"/>
            <wp:wrapNone/>
            <wp:docPr id="60181522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15221" name="图片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68551" cy="2668218"/>
                    </a:xfrm>
                    <a:prstGeom prst="rect">
                      <a:avLst/>
                    </a:prstGeom>
                    <a:noFill/>
                    <a:ln>
                      <a:noFill/>
                    </a:ln>
                  </pic:spPr>
                </pic:pic>
              </a:graphicData>
            </a:graphic>
          </wp:anchor>
        </w:drawing>
      </w:r>
      <w:r>
        <w:rPr>
          <w:rFonts w:ascii="宋体" w:hAnsi="宋体" w:eastAsia="宋体"/>
          <w:color w:val="252525"/>
          <w:sz w:val="28"/>
          <w:szCs w:val="28"/>
        </w:rPr>
        <w:drawing>
          <wp:anchor distT="0" distB="0" distL="114300" distR="114300" simplePos="0" relativeHeight="251669504" behindDoc="0" locked="0" layoutInCell="1" allowOverlap="1">
            <wp:simplePos x="0" y="0"/>
            <wp:positionH relativeFrom="margin">
              <wp:posOffset>2577465</wp:posOffset>
            </wp:positionH>
            <wp:positionV relativeFrom="paragraph">
              <wp:posOffset>40005</wp:posOffset>
            </wp:positionV>
            <wp:extent cx="2757805" cy="2646045"/>
            <wp:effectExtent l="0" t="0" r="5080" b="2540"/>
            <wp:wrapNone/>
            <wp:docPr id="107834168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41689" name="图片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57600" cy="2646000"/>
                    </a:xfrm>
                    <a:prstGeom prst="rect">
                      <a:avLst/>
                    </a:prstGeom>
                    <a:noFill/>
                    <a:ln>
                      <a:noFill/>
                    </a:ln>
                  </pic:spPr>
                </pic:pic>
              </a:graphicData>
            </a:graphic>
          </wp:anchor>
        </w:drawing>
      </w:r>
      <w:r>
        <w:rPr>
          <w:rFonts w:ascii="宋体" w:hAnsi="宋体" w:eastAsia="宋体"/>
          <w:color w:val="252525"/>
          <w:sz w:val="28"/>
          <w:szCs w:val="28"/>
        </w:rPr>
        <w:t xml:space="preserve"> </w:t>
      </w:r>
    </w:p>
    <w:p>
      <w:pPr>
        <w:pStyle w:val="2"/>
        <w:ind w:firstLine="0"/>
        <w:rPr>
          <w:rFonts w:hint="eastAsia" w:ascii="宋体" w:hAnsi="宋体" w:eastAsia="宋体"/>
          <w:color w:val="252525"/>
          <w:sz w:val="28"/>
          <w:szCs w:val="28"/>
        </w:rPr>
      </w:pPr>
    </w:p>
    <w:p>
      <w:pPr>
        <w:pStyle w:val="2"/>
        <w:ind w:firstLine="0"/>
        <w:rPr>
          <w:rFonts w:hint="eastAsia" w:ascii="宋体" w:hAnsi="宋体" w:eastAsia="宋体"/>
          <w:color w:val="252525"/>
          <w:sz w:val="28"/>
          <w:szCs w:val="28"/>
        </w:rPr>
      </w:pPr>
    </w:p>
    <w:p>
      <w:pPr>
        <w:pStyle w:val="2"/>
        <w:ind w:firstLine="0"/>
        <w:rPr>
          <w:rFonts w:hint="eastAsia" w:ascii="宋体" w:hAnsi="宋体" w:eastAsia="宋体"/>
          <w:color w:val="252525"/>
          <w:sz w:val="28"/>
          <w:szCs w:val="28"/>
        </w:rPr>
      </w:pPr>
    </w:p>
    <w:p>
      <w:pPr>
        <w:pStyle w:val="2"/>
        <w:rPr>
          <w:rFonts w:hint="eastAsia" w:ascii="宋体" w:hAnsi="宋体" w:eastAsia="宋体"/>
          <w:color w:val="252525"/>
          <w:sz w:val="28"/>
          <w:szCs w:val="28"/>
        </w:rPr>
      </w:pPr>
    </w:p>
    <w:p>
      <w:pPr>
        <w:pStyle w:val="2"/>
        <w:rPr>
          <w:rFonts w:hint="eastAsia" w:ascii="宋体" w:hAnsi="宋体" w:eastAsia="宋体"/>
          <w:color w:val="252525"/>
          <w:sz w:val="28"/>
          <w:szCs w:val="28"/>
        </w:rPr>
      </w:pPr>
    </w:p>
    <w:p>
      <w:pPr>
        <w:spacing w:line="360" w:lineRule="auto"/>
        <w:ind w:firstLine="560" w:firstLineChars="200"/>
        <w:jc w:val="center"/>
        <w:rPr>
          <w:rFonts w:hint="eastAsia" w:ascii="宋体" w:hAnsi="宋体" w:eastAsia="宋体"/>
          <w:color w:val="252525"/>
          <w:sz w:val="28"/>
          <w:szCs w:val="28"/>
        </w:rPr>
      </w:pPr>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节水管理：在公共区域积极开展节水宣传，在卫生间等用水点张贴节水标识，促使员工养成良好的用水习惯。</w:t>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r>
        <w:rPr>
          <w:rFonts w:ascii="宋体" w:hAnsi="宋体" w:eastAsia="宋体"/>
          <w:color w:val="252525"/>
          <w:sz w:val="28"/>
          <w:szCs w:val="28"/>
        </w:rPr>
        <w:drawing>
          <wp:anchor distT="0" distB="0" distL="114300" distR="114300" simplePos="0" relativeHeight="251670528" behindDoc="0" locked="0" layoutInCell="1" allowOverlap="1">
            <wp:simplePos x="0" y="0"/>
            <wp:positionH relativeFrom="margin">
              <wp:posOffset>1210310</wp:posOffset>
            </wp:positionH>
            <wp:positionV relativeFrom="paragraph">
              <wp:posOffset>0</wp:posOffset>
            </wp:positionV>
            <wp:extent cx="2739390" cy="2656205"/>
            <wp:effectExtent l="0" t="0" r="3810" b="0"/>
            <wp:wrapNone/>
            <wp:docPr id="111735292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52922" name="图片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39542" cy="2656205"/>
                    </a:xfrm>
                    <a:prstGeom prst="rect">
                      <a:avLst/>
                    </a:prstGeom>
                    <a:noFill/>
                    <a:ln>
                      <a:noFill/>
                    </a:ln>
                  </pic:spPr>
                </pic:pic>
              </a:graphicData>
            </a:graphic>
          </wp:anchor>
        </w:drawing>
      </w:r>
    </w:p>
    <w:p>
      <w:pPr>
        <w:pStyle w:val="2"/>
        <w:ind w:firstLine="0"/>
        <w:rPr>
          <w:rFonts w:hint="eastAsia" w:ascii="宋体" w:hAnsi="宋体" w:eastAsia="宋体"/>
          <w:color w:val="252525"/>
          <w:sz w:val="28"/>
          <w:szCs w:val="28"/>
        </w:rPr>
      </w:pPr>
    </w:p>
    <w:p>
      <w:pPr>
        <w:pStyle w:val="2"/>
        <w:rPr>
          <w:rFonts w:hint="eastAsia" w:ascii="宋体" w:hAnsi="宋体" w:eastAsia="宋体"/>
          <w:color w:val="252525"/>
          <w:sz w:val="28"/>
          <w:szCs w:val="28"/>
        </w:rPr>
      </w:pPr>
    </w:p>
    <w:p>
      <w:pPr>
        <w:pStyle w:val="2"/>
        <w:rPr>
          <w:rFonts w:hint="eastAsia" w:ascii="宋体" w:hAnsi="宋体" w:eastAsia="宋体"/>
          <w:color w:val="252525"/>
          <w:sz w:val="28"/>
          <w:szCs w:val="28"/>
        </w:rPr>
      </w:pPr>
    </w:p>
    <w:p>
      <w:pPr>
        <w:pStyle w:val="2"/>
        <w:rPr>
          <w:rFonts w:hint="eastAsia" w:ascii="宋体" w:hAnsi="宋体" w:eastAsia="宋体"/>
          <w:color w:val="252525"/>
          <w:sz w:val="28"/>
          <w:szCs w:val="28"/>
        </w:rPr>
      </w:pPr>
    </w:p>
    <w:p>
      <w:pPr>
        <w:pStyle w:val="2"/>
        <w:rPr>
          <w:rFonts w:hint="eastAsia" w:ascii="宋体" w:hAnsi="宋体" w:eastAsia="宋体"/>
          <w:color w:val="252525"/>
          <w:sz w:val="28"/>
          <w:szCs w:val="28"/>
        </w:rPr>
      </w:pPr>
    </w:p>
    <w:p>
      <w:pPr>
        <w:spacing w:line="360" w:lineRule="auto"/>
        <w:rPr>
          <w:rFonts w:hint="eastAsia" w:ascii="宋体" w:hAnsi="宋体" w:eastAsia="宋体"/>
          <w:color w:val="252525"/>
          <w:sz w:val="28"/>
          <w:szCs w:val="28"/>
        </w:rPr>
      </w:pPr>
    </w:p>
    <w:p>
      <w:pPr>
        <w:pStyle w:val="2"/>
        <w:rPr>
          <w:rFonts w:hint="eastAsia"/>
        </w:rPr>
      </w:pPr>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节材管理：推行无纸化办公措施，完善线上办公流程，推行双面打印，在打印机旁张贴节约用纸标识，促使员工减少纸张耗用。</w:t>
      </w:r>
    </w:p>
    <w:p>
      <w:pPr>
        <w:pStyle w:val="2"/>
        <w:rPr>
          <w:rFonts w:hint="eastAsia" w:ascii="宋体" w:hAnsi="宋体" w:eastAsia="宋体"/>
          <w:color w:val="252525"/>
          <w:sz w:val="28"/>
          <w:szCs w:val="28"/>
        </w:rPr>
      </w:pPr>
      <w:r>
        <w:rPr>
          <w:rFonts w:ascii="宋体" w:hAnsi="宋体" w:eastAsia="宋体"/>
          <w:color w:val="252525"/>
          <w:sz w:val="28"/>
          <w:szCs w:val="28"/>
        </w:rPr>
        <w:drawing>
          <wp:anchor distT="0" distB="0" distL="114300" distR="114300" simplePos="0" relativeHeight="251672576" behindDoc="0" locked="0" layoutInCell="1" allowOverlap="1">
            <wp:simplePos x="0" y="0"/>
            <wp:positionH relativeFrom="margin">
              <wp:posOffset>2665095</wp:posOffset>
            </wp:positionH>
            <wp:positionV relativeFrom="paragraph">
              <wp:posOffset>42545</wp:posOffset>
            </wp:positionV>
            <wp:extent cx="2567940" cy="2344420"/>
            <wp:effectExtent l="0" t="0" r="3810" b="0"/>
            <wp:wrapNone/>
            <wp:docPr id="90040927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09273" name="图片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72440" cy="2348587"/>
                    </a:xfrm>
                    <a:prstGeom prst="rect">
                      <a:avLst/>
                    </a:prstGeom>
                    <a:noFill/>
                    <a:ln>
                      <a:noFill/>
                    </a:ln>
                  </pic:spPr>
                </pic:pic>
              </a:graphicData>
            </a:graphic>
          </wp:anchor>
        </w:drawing>
      </w:r>
      <w:r>
        <w:rPr>
          <w:rFonts w:ascii="宋体" w:hAnsi="宋体" w:eastAsia="宋体"/>
          <w:color w:val="252525"/>
          <w:sz w:val="28"/>
          <w:szCs w:val="28"/>
        </w:rPr>
        <w:drawing>
          <wp:anchor distT="0" distB="0" distL="114300" distR="114300" simplePos="0" relativeHeight="251671552" behindDoc="0" locked="0" layoutInCell="1" allowOverlap="1">
            <wp:simplePos x="0" y="0"/>
            <wp:positionH relativeFrom="margin">
              <wp:align>left</wp:align>
            </wp:positionH>
            <wp:positionV relativeFrom="paragraph">
              <wp:posOffset>42545</wp:posOffset>
            </wp:positionV>
            <wp:extent cx="2562860" cy="2337435"/>
            <wp:effectExtent l="0" t="0" r="8890" b="5715"/>
            <wp:wrapNone/>
            <wp:docPr id="191803249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32491" name="图片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62860" cy="2337517"/>
                    </a:xfrm>
                    <a:prstGeom prst="rect">
                      <a:avLst/>
                    </a:prstGeom>
                    <a:noFill/>
                    <a:ln>
                      <a:noFill/>
                    </a:ln>
                  </pic:spPr>
                </pic:pic>
              </a:graphicData>
            </a:graphic>
          </wp:anchor>
        </w:drawing>
      </w:r>
      <w:r>
        <w:rPr>
          <w:rFonts w:hint="eastAsia" w:ascii="宋体" w:hAnsi="宋体" w:eastAsia="宋体"/>
          <w:color w:val="252525"/>
          <w:sz w:val="28"/>
          <w:szCs w:val="28"/>
        </w:rPr>
        <w:t xml:space="preserve">  </w:t>
      </w:r>
    </w:p>
    <w:p>
      <w:pPr>
        <w:spacing w:line="360" w:lineRule="auto"/>
        <w:ind w:firstLine="560" w:firstLineChars="200"/>
        <w:rPr>
          <w:rFonts w:hint="eastAsia" w:ascii="宋体" w:hAnsi="宋体" w:eastAsia="宋体"/>
          <w:color w:val="252525"/>
          <w:sz w:val="28"/>
          <w:szCs w:val="28"/>
        </w:rPr>
      </w:pPr>
    </w:p>
    <w:p>
      <w:pPr>
        <w:spacing w:line="360" w:lineRule="auto"/>
        <w:ind w:firstLine="560" w:firstLineChars="200"/>
        <w:rPr>
          <w:rFonts w:hint="eastAsia" w:ascii="宋体" w:hAnsi="宋体" w:eastAsia="宋体"/>
          <w:color w:val="252525"/>
          <w:sz w:val="28"/>
          <w:szCs w:val="28"/>
        </w:rPr>
      </w:pPr>
    </w:p>
    <w:p>
      <w:pPr>
        <w:pStyle w:val="2"/>
        <w:rPr>
          <w:rFonts w:hint="eastAsia" w:ascii="宋体" w:hAnsi="宋体" w:eastAsia="宋体"/>
          <w:color w:val="252525"/>
          <w:sz w:val="28"/>
          <w:szCs w:val="28"/>
        </w:rPr>
      </w:pPr>
    </w:p>
    <w:p>
      <w:pPr>
        <w:pStyle w:val="2"/>
        <w:rPr>
          <w:rFonts w:hint="eastAsia" w:ascii="宋体" w:hAnsi="宋体" w:eastAsia="宋体"/>
          <w:color w:val="252525"/>
          <w:sz w:val="28"/>
          <w:szCs w:val="28"/>
        </w:rPr>
      </w:pPr>
    </w:p>
    <w:p>
      <w:pPr>
        <w:pStyle w:val="31"/>
        <w:spacing w:line="360" w:lineRule="auto"/>
        <w:ind w:firstLine="0" w:firstLineChars="0"/>
        <w:outlineLvl w:val="1"/>
        <w:rPr>
          <w:rFonts w:hint="eastAsia" w:ascii="宋体" w:hAnsi="宋体" w:eastAsia="宋体"/>
          <w:color w:val="252525"/>
          <w:sz w:val="28"/>
          <w:szCs w:val="28"/>
        </w:rPr>
      </w:pPr>
      <w:bookmarkStart w:id="30" w:name="_Toc22713"/>
    </w:p>
    <w:p>
      <w:pPr>
        <w:pStyle w:val="31"/>
        <w:spacing w:line="360" w:lineRule="auto"/>
        <w:ind w:firstLine="0" w:firstLineChars="0"/>
        <w:outlineLvl w:val="1"/>
        <w:rPr>
          <w:rFonts w:hint="eastAsia" w:ascii="宋体" w:hAnsi="宋体" w:eastAsia="宋体"/>
          <w:color w:val="252525"/>
          <w:sz w:val="28"/>
          <w:szCs w:val="28"/>
        </w:rPr>
      </w:pPr>
      <w:r>
        <w:rPr>
          <w:rFonts w:hint="eastAsia" w:ascii="宋体" w:hAnsi="宋体" w:eastAsia="宋体"/>
          <w:color w:val="252525"/>
          <w:sz w:val="28"/>
          <w:szCs w:val="28"/>
        </w:rPr>
        <w:t>8.3 经营活动环境影响的计算</w:t>
      </w:r>
      <w:bookmarkEnd w:id="30"/>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本公司依据国家金融监督管理总局</w:t>
      </w:r>
      <w:r>
        <w:rPr>
          <w:rFonts w:ascii="宋体" w:hAnsi="宋体" w:eastAsia="宋体"/>
          <w:color w:val="252525"/>
          <w:sz w:val="28"/>
          <w:szCs w:val="28"/>
        </w:rPr>
        <w:t>2020年6月印发的《中国银保监会办公厅关于绿色融资统计制度有关工作的通知》（银保监办便函[2020]739号）中发布的《绿色信贷项目节能减排量测算指引》，基于各能源消费品种的二氧化碳排放系数对温室气体排放量进行测算。</w:t>
      </w:r>
      <w:r>
        <w:rPr>
          <w:rFonts w:hint="eastAsia" w:ascii="宋体" w:hAnsi="宋体" w:eastAsia="宋体"/>
          <w:color w:val="252525"/>
          <w:sz w:val="28"/>
          <w:szCs w:val="28"/>
        </w:rPr>
        <w:t>具体计算公式如下：</w:t>
      </w:r>
    </w:p>
    <w:p>
      <w:pPr>
        <w:spacing w:line="360" w:lineRule="auto"/>
        <w:jc w:val="center"/>
        <w:rPr>
          <w:rFonts w:hint="eastAsia" w:ascii="宋体" w:hAnsi="宋体" w:eastAsia="宋体"/>
          <w:color w:val="252525"/>
          <w:sz w:val="24"/>
          <w:szCs w:val="24"/>
        </w:rPr>
      </w:pPr>
      <w:r>
        <w:rPr>
          <w:rFonts w:ascii="宋体" w:hAnsi="宋体" w:eastAsia="宋体"/>
          <w:color w:val="252525"/>
          <w:sz w:val="24"/>
          <w:szCs w:val="24"/>
        </w:rPr>
        <w:drawing>
          <wp:inline distT="0" distB="0" distL="0" distR="0">
            <wp:extent cx="812800" cy="374650"/>
            <wp:effectExtent l="0" t="0" r="0" b="0"/>
            <wp:docPr id="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12800" cy="374650"/>
                    </a:xfrm>
                    <a:prstGeom prst="rect">
                      <a:avLst/>
                    </a:prstGeom>
                    <a:noFill/>
                    <a:ln>
                      <a:noFill/>
                    </a:ln>
                  </pic:spPr>
                </pic:pic>
              </a:graphicData>
            </a:graphic>
          </wp:inline>
        </w:drawing>
      </w:r>
    </w:p>
    <w:p>
      <w:pPr>
        <w:spacing w:line="360" w:lineRule="auto"/>
        <w:ind w:firstLine="480" w:firstLineChars="200"/>
        <w:rPr>
          <w:rFonts w:hint="eastAsia" w:ascii="宋体" w:hAnsi="宋体" w:eastAsia="宋体"/>
          <w:color w:val="252525"/>
          <w:sz w:val="24"/>
          <w:szCs w:val="24"/>
        </w:rPr>
      </w:pPr>
      <w:r>
        <w:rPr>
          <w:rFonts w:hint="eastAsia" w:ascii="宋体" w:hAnsi="宋体" w:eastAsia="宋体"/>
          <w:color w:val="252525"/>
          <w:sz w:val="24"/>
          <w:szCs w:val="24"/>
        </w:rPr>
        <w:t>注：二氧化碳排放应按照能源消费品种分别计算。</w:t>
      </w:r>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本公司未涉及范围一直接温室气体排放，所涉及范围二间接温室气体排放主要来源于营业办公活动的电力消耗。</w:t>
      </w:r>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其温室气体排放计算过程如下：</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adjustRightInd w:val="0"/>
              <w:snapToGrid w:val="0"/>
              <w:ind w:firstLine="420" w:firstLineChars="200"/>
              <w:rPr>
                <w:rFonts w:hint="eastAsia" w:ascii="宋体" w:hAnsi="宋体" w:eastAsia="宋体"/>
                <w:color w:val="252525"/>
                <w:szCs w:val="21"/>
              </w:rPr>
            </w:pPr>
            <w:r>
              <w:rPr>
                <w:rFonts w:hint="eastAsia" w:ascii="宋体" w:hAnsi="宋体" w:eastAsia="宋体"/>
                <w:color w:val="252525"/>
                <w:szCs w:val="21"/>
              </w:rPr>
              <w:t>式中：</w:t>
            </w:r>
          </w:p>
          <w:p>
            <w:pPr>
              <w:adjustRightInd w:val="0"/>
              <w:snapToGrid w:val="0"/>
              <w:ind w:firstLine="420" w:firstLineChars="200"/>
              <w:rPr>
                <w:rFonts w:hint="eastAsia" w:ascii="宋体" w:hAnsi="宋体" w:eastAsia="宋体"/>
                <w:color w:val="252525"/>
                <w:szCs w:val="21"/>
              </w:rPr>
            </w:pPr>
            <w:r>
              <w:rPr>
                <w:rFonts w:hint="eastAsia" w:ascii="宋体" w:hAnsi="宋体" w:eastAsia="宋体"/>
                <w:color w:val="252525"/>
                <w:szCs w:val="21"/>
              </w:rPr>
              <w:t>——购入电力所产生的二氧化碳排放量，单位为千克二氧化碳（</w:t>
            </w:r>
            <w:r>
              <w:rPr>
                <w:rFonts w:hint="eastAsia" w:ascii="Times New Roman" w:hAnsi="Times New Roman" w:eastAsia="宋体"/>
                <w:szCs w:val="21"/>
              </w:rPr>
              <w:t>kg</w:t>
            </w:r>
            <w:r>
              <w:rPr>
                <w:rFonts w:ascii="Times New Roman" w:hAnsi="Times New Roman" w:eastAsia="宋体"/>
                <w:szCs w:val="21"/>
              </w:rPr>
              <w:t>CO</w:t>
            </w:r>
            <w:r>
              <w:rPr>
                <w:rFonts w:ascii="Times New Roman" w:hAnsi="Times New Roman" w:eastAsia="宋体"/>
                <w:szCs w:val="21"/>
                <w:vertAlign w:val="subscript"/>
              </w:rPr>
              <w:t>2</w:t>
            </w:r>
            <w:r>
              <w:rPr>
                <w:rFonts w:hint="eastAsia" w:ascii="宋体" w:hAnsi="宋体" w:eastAsia="宋体"/>
                <w:color w:val="252525"/>
                <w:szCs w:val="21"/>
              </w:rPr>
              <w:t>）；</w:t>
            </w:r>
          </w:p>
          <w:p>
            <w:pPr>
              <w:adjustRightInd w:val="0"/>
              <w:snapToGrid w:val="0"/>
              <w:ind w:firstLine="420" w:firstLineChars="200"/>
              <w:rPr>
                <w:rFonts w:hint="eastAsia" w:ascii="宋体" w:hAnsi="宋体" w:eastAsia="宋体"/>
                <w:color w:val="252525"/>
                <w:szCs w:val="21"/>
              </w:rPr>
            </w:pPr>
            <w:r>
              <w:rPr>
                <w:rFonts w:hint="eastAsia" w:ascii="宋体" w:hAnsi="宋体" w:eastAsia="宋体"/>
                <w:color w:val="252525"/>
                <w:szCs w:val="21"/>
              </w:rPr>
              <w:t>——核算期内购入的电量，单位为千瓦时（</w:t>
            </w:r>
            <w:r>
              <w:rPr>
                <w:rFonts w:hint="eastAsia" w:ascii="Times New Roman" w:hAnsi="Times New Roman" w:eastAsia="宋体"/>
                <w:szCs w:val="21"/>
              </w:rPr>
              <w:t>kW</w:t>
            </w:r>
            <w:r>
              <w:rPr>
                <w:rFonts w:ascii="Times New Roman" w:hAnsi="Times New Roman" w:eastAsia="宋体"/>
                <w:szCs w:val="21"/>
              </w:rPr>
              <w:t>h</w:t>
            </w:r>
            <w:r>
              <w:rPr>
                <w:rFonts w:hint="eastAsia" w:ascii="宋体" w:hAnsi="宋体" w:eastAsia="宋体"/>
                <w:color w:val="252525"/>
                <w:szCs w:val="21"/>
              </w:rPr>
              <w:t>）；</w:t>
            </w:r>
          </w:p>
          <w:p>
            <w:pPr>
              <w:adjustRightInd w:val="0"/>
              <w:snapToGrid w:val="0"/>
              <w:ind w:firstLine="420" w:firstLineChars="200"/>
              <w:rPr>
                <w:rFonts w:ascii="Times New Roman" w:hAnsi="Times New Roman" w:eastAsia="宋体"/>
                <w:szCs w:val="21"/>
              </w:rPr>
            </w:pPr>
            <w:r>
              <w:rPr>
                <w:rFonts w:hint="eastAsia" w:ascii="宋体" w:hAnsi="宋体" w:eastAsia="宋体"/>
                <w:color w:val="252525"/>
                <w:szCs w:val="21"/>
              </w:rPr>
              <w:t>——电力的二氧化碳排放因子，单位为千克二氧化碳每千瓦时</w:t>
            </w:r>
            <w:r>
              <w:rPr>
                <w:rFonts w:ascii="Times New Roman" w:hAnsi="Times New Roman" w:eastAsia="宋体"/>
                <w:szCs w:val="21"/>
              </w:rPr>
              <w:t>（</w:t>
            </w:r>
            <w:r>
              <w:rPr>
                <w:rFonts w:hint="eastAsia" w:ascii="Times New Roman" w:hAnsi="Times New Roman" w:eastAsia="宋体"/>
                <w:szCs w:val="21"/>
              </w:rPr>
              <w:t>kg</w:t>
            </w:r>
            <w:r>
              <w:rPr>
                <w:rFonts w:ascii="Times New Roman" w:hAnsi="Times New Roman" w:eastAsia="宋体"/>
                <w:szCs w:val="21"/>
              </w:rPr>
              <w:t>CO</w:t>
            </w:r>
            <w:r>
              <w:rPr>
                <w:rFonts w:ascii="Times New Roman" w:hAnsi="Times New Roman" w:eastAsia="宋体"/>
                <w:szCs w:val="21"/>
                <w:vertAlign w:val="subscript"/>
              </w:rPr>
              <w:t>2</w:t>
            </w:r>
            <w:r>
              <w:rPr>
                <w:rFonts w:ascii="Times New Roman" w:hAnsi="Times New Roman" w:eastAsia="宋体"/>
                <w:szCs w:val="21"/>
              </w:rPr>
              <w:t>／</w:t>
            </w:r>
            <w:r>
              <w:rPr>
                <w:rFonts w:hint="eastAsia" w:ascii="Times New Roman" w:hAnsi="Times New Roman" w:eastAsia="宋体"/>
                <w:szCs w:val="21"/>
              </w:rPr>
              <w:t>kW</w:t>
            </w:r>
            <w:r>
              <w:rPr>
                <w:rFonts w:ascii="Times New Roman" w:hAnsi="Times New Roman" w:eastAsia="宋体"/>
                <w:szCs w:val="21"/>
              </w:rPr>
              <w:t>h）</w:t>
            </w:r>
            <w:r>
              <w:rPr>
                <w:rFonts w:hint="eastAsia" w:ascii="Times New Roman" w:hAnsi="Times New Roman" w:eastAsia="宋体"/>
                <w:szCs w:val="21"/>
              </w:rPr>
              <w:t>。</w:t>
            </w:r>
          </w:p>
          <w:p>
            <w:pPr>
              <w:pStyle w:val="31"/>
              <w:numPr>
                <w:ilvl w:val="0"/>
                <w:numId w:val="6"/>
              </w:numPr>
              <w:adjustRightInd w:val="0"/>
              <w:snapToGrid w:val="0"/>
              <w:ind w:firstLineChars="0"/>
              <w:rPr>
                <w:rFonts w:ascii="Times New Roman" w:hAnsi="Times New Roman" w:eastAsia="宋体"/>
                <w:b/>
                <w:bCs/>
                <w:szCs w:val="21"/>
              </w:rPr>
            </w:pPr>
            <w:r>
              <w:rPr>
                <w:rFonts w:hint="eastAsia" w:ascii="Times New Roman" w:hAnsi="Times New Roman" w:eastAsia="宋体"/>
                <w:b/>
                <w:bCs/>
                <w:szCs w:val="21"/>
              </w:rPr>
              <w:t>测算示例</w:t>
            </w:r>
          </w:p>
          <w:p>
            <w:pPr>
              <w:spacing w:line="360" w:lineRule="auto"/>
              <w:ind w:firstLine="420" w:firstLineChars="200"/>
              <w:rPr>
                <w:rFonts w:hint="eastAsia" w:ascii="宋体" w:hAnsi="宋体" w:eastAsia="宋体"/>
                <w:color w:val="252525"/>
                <w:sz w:val="28"/>
                <w:szCs w:val="28"/>
              </w:rPr>
            </w:pPr>
            <w:r>
              <w:rPr>
                <w:rFonts w:hint="eastAsia" w:ascii="Times New Roman" w:hAnsi="Times New Roman" w:eastAsia="宋体"/>
                <w:szCs w:val="21"/>
              </w:rPr>
              <w:t>2</w:t>
            </w:r>
            <w:r>
              <w:rPr>
                <w:rFonts w:ascii="Times New Roman" w:hAnsi="Times New Roman" w:eastAsia="宋体"/>
                <w:szCs w:val="21"/>
              </w:rPr>
              <w:t>02</w:t>
            </w:r>
            <w:r>
              <w:rPr>
                <w:rFonts w:hint="eastAsia" w:ascii="Times New Roman" w:hAnsi="Times New Roman" w:eastAsia="宋体"/>
                <w:szCs w:val="21"/>
              </w:rPr>
              <w:t>3年本公司用电140837千瓦时，</w:t>
            </w:r>
            <w:r>
              <w:rPr>
                <w:rFonts w:ascii="Times New Roman" w:hAnsi="Times New Roman" w:eastAsia="宋体"/>
                <w:szCs w:val="21"/>
              </w:rPr>
              <w:t>2024年生态环境部发布的2021年电力二氧化碳排放因子（国家最新数据），四川省电力排放因子为0.1255</w:t>
            </w:r>
            <w:r>
              <w:rPr>
                <w:rFonts w:hint="eastAsia" w:ascii="Times New Roman" w:hAnsi="Times New Roman" w:eastAsia="宋体"/>
                <w:szCs w:val="21"/>
              </w:rPr>
              <w:t>kg</w:t>
            </w:r>
            <w:r>
              <w:rPr>
                <w:rFonts w:ascii="Times New Roman" w:hAnsi="Times New Roman" w:eastAsia="宋体"/>
                <w:szCs w:val="21"/>
              </w:rPr>
              <w:t>CO</w:t>
            </w:r>
            <w:r>
              <w:rPr>
                <w:rFonts w:ascii="Times New Roman" w:hAnsi="Times New Roman" w:eastAsia="宋体"/>
                <w:szCs w:val="21"/>
                <w:vertAlign w:val="subscript"/>
              </w:rPr>
              <w:t>2</w:t>
            </w:r>
            <w:r>
              <w:rPr>
                <w:rFonts w:ascii="Times New Roman" w:hAnsi="Times New Roman" w:eastAsia="宋体"/>
                <w:szCs w:val="21"/>
              </w:rPr>
              <w:t>/</w:t>
            </w:r>
            <w:r>
              <w:rPr>
                <w:rFonts w:hint="eastAsia" w:ascii="Times New Roman" w:hAnsi="Times New Roman" w:eastAsia="宋体"/>
                <w:szCs w:val="21"/>
              </w:rPr>
              <w:t>kW</w:t>
            </w:r>
            <w:r>
              <w:rPr>
                <w:rFonts w:ascii="Times New Roman" w:hAnsi="Times New Roman" w:eastAsia="宋体"/>
                <w:szCs w:val="21"/>
              </w:rPr>
              <w:t>h</w:t>
            </w:r>
            <w:r>
              <w:rPr>
                <w:rFonts w:hint="eastAsia" w:ascii="Times New Roman" w:hAnsi="Times New Roman" w:eastAsia="宋体"/>
                <w:szCs w:val="21"/>
              </w:rPr>
              <w:t>，电力造成的二氧化碳排放量为17.68吨；根据在岗员工人数37人计算人均二氧化碳排放量为0.48吨。</w:t>
            </w:r>
          </w:p>
        </w:tc>
      </w:tr>
    </w:tbl>
    <w:p>
      <w:pPr>
        <w:pStyle w:val="31"/>
        <w:spacing w:line="360" w:lineRule="auto"/>
        <w:ind w:firstLine="0" w:firstLineChars="0"/>
        <w:outlineLvl w:val="0"/>
        <w:rPr>
          <w:rFonts w:hint="eastAsia" w:ascii="宋体" w:hAnsi="宋体" w:eastAsia="宋体"/>
          <w:b/>
          <w:bCs/>
          <w:sz w:val="30"/>
          <w:szCs w:val="30"/>
        </w:rPr>
      </w:pPr>
      <w:bookmarkStart w:id="31" w:name="_Toc15903"/>
      <w:r>
        <w:rPr>
          <w:rFonts w:hint="eastAsia" w:ascii="宋体" w:hAnsi="宋体" w:eastAsia="宋体"/>
          <w:b/>
          <w:bCs/>
          <w:sz w:val="30"/>
          <w:szCs w:val="30"/>
        </w:rPr>
        <w:t>9.数据梳理、校验及保护</w:t>
      </w:r>
      <w:bookmarkEnd w:id="31"/>
    </w:p>
    <w:p>
      <w:pPr>
        <w:pStyle w:val="31"/>
        <w:spacing w:line="360" w:lineRule="auto"/>
        <w:ind w:firstLine="0" w:firstLineChars="0"/>
        <w:outlineLvl w:val="1"/>
        <w:rPr>
          <w:rFonts w:hint="eastAsia" w:ascii="宋体" w:hAnsi="宋体" w:eastAsia="宋体"/>
          <w:color w:val="252525"/>
          <w:sz w:val="28"/>
          <w:szCs w:val="28"/>
        </w:rPr>
      </w:pPr>
      <w:bookmarkStart w:id="32" w:name="_Toc32555"/>
      <w:bookmarkStart w:id="33" w:name="_Hlk71812114"/>
      <w:r>
        <w:rPr>
          <w:rFonts w:hint="eastAsia" w:ascii="宋体" w:hAnsi="宋体" w:eastAsia="宋体"/>
          <w:color w:val="252525"/>
          <w:sz w:val="28"/>
          <w:szCs w:val="28"/>
        </w:rPr>
        <w:t>9.1 绿色金融数据管理</w:t>
      </w:r>
      <w:bookmarkEnd w:id="32"/>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本公司由信贷业务部负责绿色金融数据的日常更新、统计和校对，由财务会计部专人负责对接上级监管部门，组织协调各部门进行数据汇总工作。公司根据中国人民银行《关于修订绿色贷款专项统计制度的通知》等监管要求，每月准时上报统计数据。</w:t>
      </w:r>
    </w:p>
    <w:p>
      <w:pPr>
        <w:pStyle w:val="31"/>
        <w:spacing w:line="360" w:lineRule="auto"/>
        <w:ind w:firstLine="0" w:firstLineChars="0"/>
        <w:outlineLvl w:val="1"/>
        <w:rPr>
          <w:rFonts w:hint="eastAsia" w:ascii="宋体" w:hAnsi="宋体" w:eastAsia="宋体"/>
          <w:color w:val="252525"/>
          <w:sz w:val="28"/>
          <w:szCs w:val="28"/>
        </w:rPr>
      </w:pPr>
      <w:bookmarkStart w:id="34" w:name="_Toc1274"/>
      <w:r>
        <w:rPr>
          <w:rFonts w:hint="eastAsia" w:ascii="宋体" w:hAnsi="宋体" w:eastAsia="宋体"/>
          <w:color w:val="252525"/>
          <w:sz w:val="28"/>
          <w:szCs w:val="28"/>
        </w:rPr>
        <w:t>9.2 信息数据安全管理</w:t>
      </w:r>
      <w:bookmarkEnd w:id="34"/>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本公司设置了由总经理担任主任的信息科技管理委员会，制定了</w:t>
      </w:r>
      <w:bookmarkStart w:id="35" w:name="_Hlk85461143"/>
      <w:r>
        <w:rPr>
          <w:rFonts w:hint="eastAsia" w:ascii="宋体" w:hAnsi="宋体" w:eastAsia="宋体"/>
          <w:color w:val="252525"/>
          <w:sz w:val="28"/>
          <w:szCs w:val="28"/>
        </w:rPr>
        <w:t>《信息系统安全管理办法》《信息系统外包管理办法》</w:t>
      </w:r>
      <w:bookmarkEnd w:id="35"/>
      <w:r>
        <w:rPr>
          <w:rFonts w:hint="eastAsia" w:ascii="宋体" w:hAnsi="宋体" w:eastAsia="宋体"/>
          <w:color w:val="252525"/>
          <w:sz w:val="28"/>
          <w:szCs w:val="28"/>
        </w:rPr>
        <w:t>，并针对核心系统每年进行信息系统安全等级测评，定期进行</w:t>
      </w:r>
      <w:r>
        <w:rPr>
          <w:rFonts w:ascii="宋体" w:hAnsi="宋体" w:eastAsia="宋体"/>
          <w:color w:val="252525"/>
          <w:sz w:val="28"/>
          <w:szCs w:val="28"/>
        </w:rPr>
        <w:t>本地备份</w:t>
      </w:r>
      <w:r>
        <w:rPr>
          <w:rFonts w:hint="eastAsia" w:ascii="宋体" w:hAnsi="宋体" w:eastAsia="宋体"/>
          <w:color w:val="252525"/>
          <w:sz w:val="28"/>
          <w:szCs w:val="28"/>
        </w:rPr>
        <w:t>和</w:t>
      </w:r>
      <w:r>
        <w:rPr>
          <w:rFonts w:ascii="宋体" w:hAnsi="宋体" w:eastAsia="宋体"/>
          <w:color w:val="252525"/>
          <w:sz w:val="28"/>
          <w:szCs w:val="28"/>
        </w:rPr>
        <w:t>远端备份</w:t>
      </w:r>
      <w:r>
        <w:rPr>
          <w:rFonts w:hint="eastAsia" w:ascii="宋体" w:hAnsi="宋体" w:eastAsia="宋体"/>
          <w:color w:val="252525"/>
          <w:sz w:val="28"/>
          <w:szCs w:val="28"/>
        </w:rPr>
        <w:t>，满足系统的高可用性和灾难恢复需求。移动机房和公司机房通过裸光纤完成数据传输，确保了数据传输的安全可靠。</w:t>
      </w:r>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本公司制定了《信息系统应急预案》，建立以总经理为首的应急处理领导小组和以信息科技部部长为首的应急处理工作小组，指导和协同相关部门及时排查信息系统隐患，做好系统故障快速响应和修复，加强信息系统应用的日常监测、分析和预警，评估和反馈突发事件的影响程度，安排好突发事件恢复后的验证工作，确保生产经营的正常开展。</w:t>
      </w:r>
    </w:p>
    <w:bookmarkEnd w:id="33"/>
    <w:p>
      <w:pPr>
        <w:pStyle w:val="31"/>
        <w:spacing w:line="360" w:lineRule="auto"/>
        <w:ind w:firstLine="0" w:firstLineChars="0"/>
        <w:outlineLvl w:val="0"/>
        <w:rPr>
          <w:rFonts w:hint="eastAsia" w:ascii="宋体" w:hAnsi="宋体" w:eastAsia="宋体"/>
          <w:b/>
          <w:bCs/>
          <w:sz w:val="30"/>
          <w:szCs w:val="30"/>
        </w:rPr>
      </w:pPr>
      <w:bookmarkStart w:id="36" w:name="_Toc681"/>
      <w:r>
        <w:rPr>
          <w:rFonts w:hint="eastAsia" w:ascii="宋体" w:hAnsi="宋体" w:eastAsia="宋体"/>
          <w:b/>
          <w:bCs/>
          <w:sz w:val="30"/>
          <w:szCs w:val="30"/>
        </w:rPr>
        <w:t>10.绿色金融产品创新及研究成果</w:t>
      </w:r>
      <w:bookmarkEnd w:id="36"/>
    </w:p>
    <w:p>
      <w:pPr>
        <w:spacing w:line="360" w:lineRule="auto"/>
        <w:ind w:firstLine="560" w:firstLineChars="200"/>
        <w:outlineLvl w:val="0"/>
        <w:rPr>
          <w:rFonts w:hint="eastAsia" w:ascii="宋体" w:hAnsi="宋体" w:eastAsia="宋体"/>
          <w:sz w:val="28"/>
          <w:szCs w:val="28"/>
        </w:rPr>
      </w:pPr>
      <w:r>
        <w:rPr>
          <w:rFonts w:hint="eastAsia" w:ascii="宋体" w:hAnsi="宋体" w:eastAsia="宋体"/>
          <w:sz w:val="28"/>
          <w:szCs w:val="28"/>
        </w:rPr>
        <w:t>为实现国家“碳达峰</w:t>
      </w:r>
      <w:r>
        <w:rPr>
          <w:rFonts w:ascii="宋体" w:hAnsi="宋体" w:eastAsia="宋体"/>
          <w:sz w:val="28"/>
          <w:szCs w:val="28"/>
        </w:rPr>
        <w:t xml:space="preserve"> 碳中和”的战略目标,长虹财务公司积极响应央行货币政策，依托川碳快贴政策，积极行动、深入了解集团内节能环保产业，大力推进碳减排票据再贴现业务办理，2023年，累计办理碳减排再贴现金额为3.98亿，支持高效节能家用电器生产使用</w:t>
      </w:r>
      <w:r>
        <w:rPr>
          <w:rFonts w:hint="eastAsia" w:ascii="宋体" w:hAnsi="宋体" w:eastAsia="宋体"/>
          <w:sz w:val="28"/>
          <w:szCs w:val="28"/>
        </w:rPr>
        <w:t>和绿色项目的发展</w:t>
      </w:r>
      <w:r>
        <w:rPr>
          <w:rFonts w:ascii="宋体" w:hAnsi="宋体" w:eastAsia="宋体"/>
          <w:sz w:val="28"/>
          <w:szCs w:val="28"/>
        </w:rPr>
        <w:t>。</w:t>
      </w:r>
      <w:bookmarkStart w:id="37" w:name="_Toc24187"/>
    </w:p>
    <w:p>
      <w:pPr>
        <w:spacing w:line="360" w:lineRule="auto"/>
        <w:outlineLvl w:val="0"/>
        <w:rPr>
          <w:rFonts w:hint="eastAsia" w:ascii="宋体" w:hAnsi="宋体" w:eastAsia="宋体"/>
          <w:b/>
          <w:bCs/>
          <w:sz w:val="30"/>
          <w:szCs w:val="30"/>
        </w:rPr>
      </w:pPr>
      <w:r>
        <w:rPr>
          <w:rFonts w:hint="eastAsia" w:ascii="宋体" w:hAnsi="宋体" w:eastAsia="宋体"/>
          <w:b/>
          <w:bCs/>
          <w:sz w:val="30"/>
          <w:szCs w:val="30"/>
        </w:rPr>
        <w:t>11.未来展望</w:t>
      </w:r>
      <w:bookmarkEnd w:id="37"/>
    </w:p>
    <w:p>
      <w:pPr>
        <w:pStyle w:val="31"/>
        <w:spacing w:line="360" w:lineRule="auto"/>
        <w:ind w:firstLine="0" w:firstLineChars="0"/>
        <w:outlineLvl w:val="1"/>
        <w:rPr>
          <w:rFonts w:hint="eastAsia" w:ascii="宋体" w:hAnsi="宋体" w:eastAsia="宋体"/>
          <w:color w:val="252525"/>
          <w:sz w:val="28"/>
          <w:szCs w:val="28"/>
        </w:rPr>
      </w:pPr>
      <w:bookmarkStart w:id="38" w:name="_Toc1493"/>
      <w:r>
        <w:rPr>
          <w:rFonts w:hint="eastAsia" w:ascii="宋体" w:hAnsi="宋体" w:eastAsia="宋体"/>
          <w:color w:val="252525"/>
          <w:sz w:val="28"/>
          <w:szCs w:val="28"/>
        </w:rPr>
        <w:t>11.1 工作挑战</w:t>
      </w:r>
      <w:bookmarkEnd w:id="38"/>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（1）绿色金融项目的评估认定能力有待提升。</w:t>
      </w:r>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本公司目前针对绿色企业仅开展了流动资金贷款、票据贴现、应收账款保理等业务，未开展绿色项目贷款。对于绿色项目的效益评估、风险识别、资金介入最佳时机、贷后管理等方面的专业能力还有待提升。</w:t>
      </w:r>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（2）产品迭代升级能力不足。</w:t>
      </w:r>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财务公司需要不断创新产品和服务，以满足市场的多样化需求。然而，财务公司绿色金融产品创新增长乏力，迭代升级能力不足，需进一步了解绿色产业领域风险控制、碳排放交易权市场等情况，加快产品创新助力绿色发展。</w:t>
      </w:r>
    </w:p>
    <w:p>
      <w:pPr>
        <w:pStyle w:val="2"/>
        <w:numPr>
          <w:ilvl w:val="0"/>
          <w:numId w:val="7"/>
        </w:numPr>
        <w:rPr>
          <w:rFonts w:hint="eastAsia" w:ascii="宋体" w:hAnsi="宋体" w:eastAsia="宋体"/>
          <w:color w:val="252525"/>
          <w:sz w:val="28"/>
          <w:szCs w:val="28"/>
        </w:rPr>
      </w:pPr>
      <w:r>
        <w:rPr>
          <w:rFonts w:hint="eastAsia" w:ascii="宋体" w:hAnsi="宋体" w:eastAsia="宋体"/>
          <w:color w:val="252525"/>
          <w:sz w:val="28"/>
          <w:szCs w:val="28"/>
        </w:rPr>
        <w:t>绿色信贷业务服务主体范围受限。</w:t>
      </w:r>
    </w:p>
    <w:p>
      <w:pPr>
        <w:pStyle w:val="2"/>
        <w:numPr>
          <w:ilvl w:val="255"/>
          <w:numId w:val="0"/>
        </w:numPr>
        <w:rPr>
          <w:rFonts w:hint="eastAsia" w:ascii="宋体" w:hAnsi="宋体" w:eastAsia="宋体"/>
          <w:color w:val="252525"/>
          <w:sz w:val="28"/>
          <w:szCs w:val="28"/>
        </w:rPr>
      </w:pPr>
      <w:r>
        <w:rPr>
          <w:rFonts w:hint="eastAsia" w:ascii="宋体" w:hAnsi="宋体" w:eastAsia="宋体"/>
          <w:color w:val="252525"/>
          <w:sz w:val="28"/>
          <w:szCs w:val="28"/>
        </w:rPr>
        <w:t xml:space="preserve">    受本公司服务主体范围限制，仅能服务于集团内各成员单位，无法主动挖掘市场中的非集团成员单位的绿色产业客户，因此绿色信贷业务服务主体范围受限，绿色产业客户数量有限。</w:t>
      </w:r>
    </w:p>
    <w:p>
      <w:pPr>
        <w:pStyle w:val="31"/>
        <w:spacing w:line="360" w:lineRule="auto"/>
        <w:ind w:firstLine="0" w:firstLineChars="0"/>
        <w:outlineLvl w:val="1"/>
        <w:rPr>
          <w:rFonts w:hint="eastAsia" w:ascii="宋体" w:hAnsi="宋体" w:eastAsia="宋体"/>
          <w:color w:val="252525"/>
          <w:sz w:val="28"/>
          <w:szCs w:val="28"/>
        </w:rPr>
      </w:pPr>
      <w:bookmarkStart w:id="39" w:name="_Toc29443"/>
      <w:r>
        <w:rPr>
          <w:rFonts w:hint="eastAsia" w:ascii="宋体" w:hAnsi="宋体" w:eastAsia="宋体"/>
          <w:color w:val="252525"/>
          <w:sz w:val="28"/>
          <w:szCs w:val="28"/>
        </w:rPr>
        <w:t>11.2 工作展望</w:t>
      </w:r>
      <w:bookmarkEnd w:id="39"/>
    </w:p>
    <w:p>
      <w:pPr>
        <w:spacing w:line="360" w:lineRule="auto"/>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（1）完善</w:t>
      </w:r>
      <w:r>
        <w:rPr>
          <w:rFonts w:ascii="宋体" w:hAnsi="宋体" w:eastAsia="宋体"/>
          <w:color w:val="252525"/>
          <w:sz w:val="28"/>
          <w:szCs w:val="28"/>
        </w:rPr>
        <w:t>绿色信贷体系，提升绿色金融服务能力</w:t>
      </w:r>
      <w:r>
        <w:rPr>
          <w:rFonts w:hint="eastAsia" w:ascii="宋体" w:hAnsi="宋体" w:eastAsia="宋体"/>
          <w:color w:val="252525"/>
          <w:sz w:val="28"/>
          <w:szCs w:val="28"/>
        </w:rPr>
        <w:t>。</w:t>
      </w:r>
    </w:p>
    <w:p>
      <w:pPr>
        <w:pStyle w:val="8"/>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公司计划密切关注国家、监管机构等出台的绿色金融政策，本公司将结合成员单位绿色产业的实际发展情况，以上级部门政策为导向</w:t>
      </w:r>
      <w:r>
        <w:rPr>
          <w:rFonts w:ascii="宋体" w:hAnsi="宋体" w:eastAsia="宋体"/>
          <w:color w:val="252525"/>
          <w:sz w:val="28"/>
          <w:szCs w:val="28"/>
        </w:rPr>
        <w:t>，不断完善和充实自身的绿色信贷体系，以标准化、科学化的业务流程及风险控制手段促进绿色项目贷款业务开展，纵深推进对集团绿色产业发展的信贷支持</w:t>
      </w:r>
      <w:r>
        <w:rPr>
          <w:rFonts w:hint="eastAsia" w:ascii="宋体" w:hAnsi="宋体" w:eastAsia="宋体"/>
          <w:color w:val="252525"/>
          <w:sz w:val="28"/>
          <w:szCs w:val="28"/>
        </w:rPr>
        <w:t>力度</w:t>
      </w:r>
      <w:r>
        <w:rPr>
          <w:rFonts w:ascii="宋体" w:hAnsi="宋体" w:eastAsia="宋体"/>
          <w:color w:val="252525"/>
          <w:sz w:val="28"/>
          <w:szCs w:val="28"/>
        </w:rPr>
        <w:t>。</w:t>
      </w:r>
    </w:p>
    <w:p>
      <w:pPr>
        <w:pStyle w:val="8"/>
        <w:numPr>
          <w:ilvl w:val="0"/>
          <w:numId w:val="8"/>
        </w:numPr>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梳理既有绿色产业客户，加大信贷支持。</w:t>
      </w:r>
    </w:p>
    <w:p>
      <w:pPr>
        <w:pStyle w:val="8"/>
        <w:numPr>
          <w:ilvl w:val="255"/>
          <w:numId w:val="0"/>
        </w:numPr>
        <w:ind w:firstLine="560"/>
        <w:rPr>
          <w:rFonts w:hint="eastAsia" w:ascii="宋体" w:hAnsi="宋体" w:eastAsia="宋体"/>
          <w:color w:val="252525"/>
          <w:sz w:val="28"/>
          <w:szCs w:val="28"/>
        </w:rPr>
      </w:pPr>
      <w:r>
        <w:rPr>
          <w:rFonts w:hint="eastAsia" w:ascii="宋体" w:hAnsi="宋体" w:eastAsia="宋体"/>
          <w:color w:val="252525"/>
          <w:sz w:val="28"/>
          <w:szCs w:val="28"/>
        </w:rPr>
        <w:t>根据国家发改委发布的《绿色产业指导目录》及解释说明文件，全面梳理既有客户中应归属于绿色产业的或含绿色项目的客户，针对客户绿色项目加大信贷支持力度。</w:t>
      </w:r>
    </w:p>
    <w:p>
      <w:pPr>
        <w:pStyle w:val="8"/>
        <w:numPr>
          <w:ilvl w:val="255"/>
          <w:numId w:val="0"/>
        </w:numPr>
        <w:ind w:firstLine="560"/>
        <w:rPr>
          <w:rFonts w:hint="eastAsia" w:ascii="宋体" w:hAnsi="宋体" w:eastAsia="宋体"/>
          <w:color w:val="252525"/>
          <w:sz w:val="28"/>
          <w:szCs w:val="28"/>
        </w:rPr>
      </w:pPr>
      <w:r>
        <w:rPr>
          <w:rFonts w:hint="eastAsia" w:ascii="宋体" w:hAnsi="宋体" w:eastAsia="宋体"/>
          <w:color w:val="252525"/>
          <w:sz w:val="28"/>
          <w:szCs w:val="28"/>
        </w:rPr>
        <w:t>（</w:t>
      </w:r>
      <w:r>
        <w:rPr>
          <w:rFonts w:ascii="宋体" w:hAnsi="宋体" w:eastAsia="宋体"/>
          <w:color w:val="252525"/>
          <w:sz w:val="28"/>
          <w:szCs w:val="28"/>
        </w:rPr>
        <w:t>3）提升风险管理能力，推动可持续发展</w:t>
      </w:r>
      <w:r>
        <w:rPr>
          <w:rFonts w:hint="eastAsia" w:ascii="宋体" w:hAnsi="宋体" w:eastAsia="宋体"/>
          <w:color w:val="252525"/>
          <w:sz w:val="28"/>
          <w:szCs w:val="28"/>
        </w:rPr>
        <w:t>。</w:t>
      </w:r>
    </w:p>
    <w:p>
      <w:pPr>
        <w:pStyle w:val="8"/>
        <w:numPr>
          <w:ilvl w:val="255"/>
          <w:numId w:val="0"/>
        </w:numPr>
        <w:ind w:firstLine="560"/>
        <w:rPr>
          <w:rFonts w:hint="eastAsia" w:ascii="宋体" w:hAnsi="宋体" w:eastAsia="宋体"/>
          <w:color w:val="252525"/>
          <w:sz w:val="28"/>
          <w:szCs w:val="28"/>
        </w:rPr>
      </w:pPr>
      <w:r>
        <w:rPr>
          <w:rFonts w:hint="eastAsia" w:ascii="宋体" w:hAnsi="宋体" w:eastAsia="宋体"/>
          <w:color w:val="252525"/>
          <w:sz w:val="28"/>
          <w:szCs w:val="28"/>
        </w:rPr>
        <w:t>财务公司将加强同业交流和学习，通过引入先进的风险管理理念和技术手段，更加准确地识别和评估绿色金融中的风险，确保资金的安全性和回报率；通过开展绿色金融，大力支持集团内环保、清洁能源等绿色产业，推动可持续发展，在环境保护的同时，进一步助力成员企业竞争力和可持续经营能力的提升。</w:t>
      </w:r>
    </w:p>
    <w:p>
      <w:pPr>
        <w:pStyle w:val="8"/>
        <w:ind w:firstLine="560" w:firstLineChars="200"/>
        <w:rPr>
          <w:rFonts w:hint="eastAsia" w:ascii="宋体" w:hAnsi="宋体" w:eastAsia="宋体"/>
          <w:color w:val="252525"/>
          <w:sz w:val="28"/>
          <w:szCs w:val="28"/>
        </w:rPr>
      </w:pPr>
      <w:r>
        <w:rPr>
          <w:rFonts w:hint="eastAsia" w:ascii="宋体" w:hAnsi="宋体" w:eastAsia="宋体"/>
          <w:color w:val="252525"/>
          <w:sz w:val="28"/>
          <w:szCs w:val="28"/>
        </w:rPr>
        <w:t>（4）</w:t>
      </w:r>
      <w:r>
        <w:rPr>
          <w:rFonts w:ascii="宋体" w:hAnsi="宋体" w:eastAsia="宋体"/>
          <w:color w:val="252525"/>
          <w:sz w:val="28"/>
          <w:szCs w:val="28"/>
        </w:rPr>
        <w:t>不断推动绿色金融科技发展，提高风险管理的智能化水</w:t>
      </w:r>
      <w:r>
        <w:rPr>
          <w:rFonts w:hint="eastAsia" w:ascii="宋体" w:hAnsi="宋体" w:eastAsia="宋体"/>
          <w:color w:val="252525"/>
          <w:sz w:val="28"/>
          <w:szCs w:val="28"/>
        </w:rPr>
        <w:t>平。</w:t>
      </w:r>
    </w:p>
    <w:p>
      <w:pPr>
        <w:pStyle w:val="8"/>
        <w:ind w:firstLine="560" w:firstLineChars="200"/>
        <w:rPr>
          <w:rFonts w:hint="eastAsia"/>
        </w:rPr>
      </w:pPr>
      <w:r>
        <w:rPr>
          <w:rFonts w:hint="eastAsia" w:ascii="宋体" w:hAnsi="宋体" w:eastAsia="宋体"/>
          <w:color w:val="252525"/>
          <w:sz w:val="28"/>
          <w:szCs w:val="28"/>
        </w:rPr>
        <w:t>随着科技的不断发展、数字化水平的不断提高，财务公司将积极运用大数据、人工智能、区块链等先进技术，将环境相关指标纳入绿色信贷评级体系，加强绿色信贷系统建设，进一步提高业务效率和绿色信贷风险的识别与管理的自动化和智能化的程度</w:t>
      </w:r>
    </w:p>
    <w:p>
      <w:pPr>
        <w:pStyle w:val="8"/>
        <w:ind w:left="560"/>
        <w:rPr>
          <w:rFonts w:hint="eastAsia" w:ascii="宋体" w:hAnsi="宋体" w:eastAsia="宋体"/>
          <w:color w:val="252525"/>
          <w:sz w:val="28"/>
          <w:szCs w:val="28"/>
        </w:rPr>
      </w:pPr>
      <w:r>
        <w:rPr>
          <w:rFonts w:hint="eastAsia" w:ascii="宋体" w:hAnsi="宋体" w:eastAsia="宋体"/>
          <w:color w:val="252525"/>
          <w:sz w:val="28"/>
          <w:szCs w:val="28"/>
        </w:rPr>
        <w:t>（5）贯彻落实绿色金融发展理念，促进区域经济可持续发展。</w:t>
      </w:r>
    </w:p>
    <w:p>
      <w:pPr>
        <w:pStyle w:val="2"/>
        <w:ind w:firstLine="560" w:firstLineChars="200"/>
        <w:rPr>
          <w:rFonts w:hint="eastAsia" w:ascii="宋体" w:hAnsi="宋体" w:eastAsia="宋体"/>
          <w:color w:val="252525"/>
          <w:sz w:val="28"/>
          <w:szCs w:val="28"/>
        </w:rPr>
        <w:sectPr>
          <w:footerReference r:id="rId5" w:type="default"/>
          <w:pgSz w:w="11906" w:h="16838"/>
          <w:pgMar w:top="1440" w:right="1800" w:bottom="1440" w:left="1800" w:header="851" w:footer="992" w:gutter="0"/>
          <w:pgNumType w:start="1"/>
          <w:cols w:space="720" w:num="1"/>
          <w:docGrid w:type="lines" w:linePitch="312" w:charSpace="0"/>
        </w:sectPr>
      </w:pPr>
      <w:r>
        <w:rPr>
          <w:rFonts w:hint="eastAsia" w:ascii="宋体" w:hAnsi="宋体" w:eastAsia="宋体"/>
          <w:color w:val="252525"/>
          <w:sz w:val="28"/>
          <w:szCs w:val="28"/>
        </w:rPr>
        <w:t>财务公司将积极履行社会责任，关注环境、社会和治理（</w:t>
      </w:r>
      <w:r>
        <w:rPr>
          <w:rFonts w:ascii="宋体" w:hAnsi="宋体" w:eastAsia="宋体"/>
          <w:color w:val="252525"/>
          <w:sz w:val="28"/>
          <w:szCs w:val="28"/>
        </w:rPr>
        <w:t>ESG）问题，将ESG理念融入绿色信贷业务的全过程，通过绿色信贷支持更多具有可持续发展潜力的项目和企业，推动经济、社会和环境的协调发展。</w:t>
      </w:r>
    </w:p>
    <w:p>
      <w:pPr>
        <w:pStyle w:val="31"/>
        <w:numPr>
          <w:ilvl w:val="0"/>
          <w:numId w:val="9"/>
        </w:numPr>
        <w:spacing w:line="360" w:lineRule="auto"/>
        <w:ind w:firstLineChars="0"/>
        <w:jc w:val="left"/>
        <w:outlineLvl w:val="0"/>
        <w:rPr>
          <w:rFonts w:hint="eastAsia" w:ascii="宋体" w:hAnsi="宋体" w:eastAsia="宋体"/>
          <w:b/>
          <w:bCs/>
          <w:sz w:val="28"/>
          <w:szCs w:val="28"/>
        </w:rPr>
      </w:pPr>
      <w:bookmarkStart w:id="40" w:name="_Toc1717"/>
      <w:r>
        <w:rPr>
          <w:rFonts w:hint="eastAsia" w:ascii="宋体" w:hAnsi="宋体" w:eastAsia="宋体"/>
          <w:b/>
          <w:bCs/>
          <w:sz w:val="28"/>
          <w:szCs w:val="28"/>
        </w:rPr>
        <w:t>附录：金融机构环境信息披露指南索引目录</w:t>
      </w:r>
      <w:bookmarkEnd w:id="40"/>
    </w:p>
    <w:tbl>
      <w:tblPr>
        <w:tblStyle w:val="26"/>
        <w:tblW w:w="8306" w:type="dxa"/>
        <w:jc w:val="center"/>
        <w:tblInd w:w="0" w:type="dxa"/>
        <w:tblLayout w:type="fixed"/>
        <w:tblCellMar>
          <w:top w:w="0" w:type="dxa"/>
          <w:left w:w="0" w:type="dxa"/>
          <w:bottom w:w="0" w:type="dxa"/>
          <w:right w:w="0" w:type="dxa"/>
        </w:tblCellMar>
      </w:tblPr>
      <w:tblGrid>
        <w:gridCol w:w="6004"/>
        <w:gridCol w:w="2302"/>
      </w:tblGrid>
      <w:tr>
        <w:tblPrEx>
          <w:tblLayout w:type="fixed"/>
          <w:tblCellMar>
            <w:top w:w="0" w:type="dxa"/>
            <w:left w:w="0" w:type="dxa"/>
            <w:bottom w:w="0" w:type="dxa"/>
            <w:right w:w="0" w:type="dxa"/>
          </w:tblCellMar>
        </w:tblPrEx>
        <w:trPr>
          <w:trHeight w:val="709" w:hRule="atLeast"/>
          <w:jc w:val="center"/>
        </w:trPr>
        <w:tc>
          <w:tcPr>
            <w:tcW w:w="6004" w:type="dxa"/>
            <w:tcBorders>
              <w:top w:val="single" w:color="FFFFFF" w:sz="24" w:space="0"/>
              <w:right w:val="single" w:color="FFFFFF" w:sz="24" w:space="0"/>
            </w:tcBorders>
            <w:shd w:val="clear" w:color="auto" w:fill="008B89"/>
            <w:vAlign w:val="center"/>
          </w:tcPr>
          <w:p>
            <w:pPr>
              <w:jc w:val="center"/>
              <w:rPr>
                <w:rFonts w:hint="eastAsia" w:ascii="宋体" w:hAnsi="宋体" w:eastAsia="宋体"/>
                <w:b/>
                <w:bCs/>
                <w:szCs w:val="21"/>
              </w:rPr>
            </w:pPr>
            <w:r>
              <w:rPr>
                <w:rFonts w:hint="eastAsia" w:ascii="宋体" w:hAnsi="宋体" w:eastAsia="宋体"/>
                <w:b/>
                <w:bCs/>
                <w:szCs w:val="21"/>
              </w:rPr>
              <w:t>指标内容</w:t>
            </w:r>
          </w:p>
        </w:tc>
        <w:tc>
          <w:tcPr>
            <w:tcW w:w="2302" w:type="dxa"/>
            <w:tcBorders>
              <w:top w:val="single" w:color="FFFFFF" w:sz="24" w:space="0"/>
              <w:left w:val="single" w:color="FFFFFF" w:sz="24" w:space="0"/>
            </w:tcBorders>
            <w:shd w:val="clear" w:color="auto" w:fill="008B89"/>
            <w:vAlign w:val="center"/>
          </w:tcPr>
          <w:p>
            <w:pPr>
              <w:jc w:val="center"/>
              <w:rPr>
                <w:rFonts w:hint="eastAsia" w:ascii="宋体" w:hAnsi="宋体" w:eastAsia="宋体"/>
                <w:b/>
                <w:bCs/>
                <w:szCs w:val="21"/>
              </w:rPr>
            </w:pPr>
            <w:r>
              <w:rPr>
                <w:rFonts w:hint="eastAsia" w:ascii="宋体" w:hAnsi="宋体" w:eastAsia="宋体"/>
                <w:b/>
                <w:bCs/>
                <w:szCs w:val="21"/>
              </w:rPr>
              <w:t>对应披露内容索引</w:t>
            </w:r>
          </w:p>
        </w:tc>
      </w:tr>
      <w:tr>
        <w:tblPrEx>
          <w:tblLayout w:type="fixed"/>
          <w:tblCellMar>
            <w:top w:w="0" w:type="dxa"/>
            <w:left w:w="0" w:type="dxa"/>
            <w:bottom w:w="0" w:type="dxa"/>
            <w:right w:w="0" w:type="dxa"/>
          </w:tblCellMar>
        </w:tblPrEx>
        <w:trPr>
          <w:trHeight w:val="555" w:hRule="atLeast"/>
          <w:jc w:val="center"/>
        </w:trPr>
        <w:tc>
          <w:tcPr>
            <w:tcW w:w="6004" w:type="dxa"/>
            <w:tcBorders>
              <w:bottom w:val="single" w:color="008B89" w:sz="8" w:space="0"/>
              <w:right w:val="single" w:color="008B89" w:sz="8" w:space="0"/>
            </w:tcBorders>
            <w:shd w:val="clear" w:color="auto" w:fill="DEEEED"/>
            <w:vAlign w:val="center"/>
          </w:tcPr>
          <w:p>
            <w:pPr>
              <w:rPr>
                <w:rFonts w:hint="eastAsia" w:ascii="宋体" w:hAnsi="宋体" w:eastAsia="宋体"/>
                <w:b/>
                <w:bCs/>
                <w:szCs w:val="21"/>
              </w:rPr>
            </w:pPr>
            <w:bookmarkStart w:id="41" w:name="_Hlk70928613"/>
            <w:r>
              <w:rPr>
                <w:rFonts w:ascii="宋体" w:hAnsi="宋体" w:eastAsia="宋体"/>
                <w:b/>
                <w:bCs/>
                <w:szCs w:val="21"/>
              </w:rPr>
              <w:t>1.</w:t>
            </w:r>
            <w:r>
              <w:rPr>
                <w:rFonts w:hint="eastAsia" w:ascii="宋体" w:hAnsi="宋体" w:eastAsia="宋体"/>
                <w:b/>
                <w:bCs/>
                <w:szCs w:val="21"/>
              </w:rPr>
              <w:t>年度概况</w:t>
            </w:r>
          </w:p>
        </w:tc>
        <w:tc>
          <w:tcPr>
            <w:tcW w:w="2302" w:type="dxa"/>
            <w:tcBorders>
              <w:left w:val="single" w:color="008B89" w:sz="8" w:space="0"/>
              <w:bottom w:val="single" w:color="008B89" w:sz="8" w:space="0"/>
            </w:tcBorders>
            <w:vAlign w:val="center"/>
          </w:tcPr>
          <w:p>
            <w:pPr>
              <w:jc w:val="center"/>
              <w:rPr>
                <w:rFonts w:hint="eastAsia" w:ascii="宋体" w:hAnsi="宋体" w:eastAsia="宋体"/>
                <w:szCs w:val="21"/>
              </w:rPr>
            </w:pPr>
            <w:r>
              <w:rPr>
                <w:rFonts w:hint="eastAsia" w:ascii="宋体" w:hAnsi="宋体" w:eastAsia="宋体"/>
                <w:szCs w:val="21"/>
              </w:rPr>
              <w:t>P</w:t>
            </w:r>
            <w:r>
              <w:rPr>
                <w:rFonts w:ascii="宋体" w:hAnsi="宋体" w:eastAsia="宋体"/>
                <w:szCs w:val="21"/>
              </w:rPr>
              <w:t>1</w:t>
            </w:r>
            <w:r>
              <w:rPr>
                <w:rFonts w:hint="eastAsia" w:ascii="宋体" w:hAnsi="宋体" w:eastAsia="宋体"/>
                <w:szCs w:val="21"/>
              </w:rPr>
              <w:t>-P8</w:t>
            </w:r>
          </w:p>
        </w:tc>
      </w:tr>
      <w:tr>
        <w:tblPrEx>
          <w:tblLayout w:type="fixed"/>
          <w:tblCellMar>
            <w:top w:w="0" w:type="dxa"/>
            <w:left w:w="0" w:type="dxa"/>
            <w:bottom w:w="0" w:type="dxa"/>
            <w:right w:w="0" w:type="dxa"/>
          </w:tblCellMar>
        </w:tblPrEx>
        <w:trPr>
          <w:trHeight w:val="555" w:hRule="atLeast"/>
          <w:jc w:val="center"/>
        </w:trPr>
        <w:tc>
          <w:tcPr>
            <w:tcW w:w="6004" w:type="dxa"/>
            <w:tcBorders>
              <w:bottom w:val="single" w:color="008B89" w:sz="8" w:space="0"/>
              <w:right w:val="single" w:color="008B89" w:sz="8" w:space="0"/>
            </w:tcBorders>
            <w:shd w:val="clear" w:color="auto" w:fill="DEEEED"/>
            <w:vAlign w:val="center"/>
          </w:tcPr>
          <w:p>
            <w:pPr>
              <w:rPr>
                <w:rFonts w:hint="eastAsia" w:ascii="宋体" w:hAnsi="宋体" w:eastAsia="宋体"/>
                <w:b/>
                <w:bCs/>
                <w:szCs w:val="21"/>
              </w:rPr>
            </w:pPr>
            <w:bookmarkStart w:id="42" w:name="_Hlk83290575"/>
            <w:r>
              <w:rPr>
                <w:rFonts w:hint="eastAsia" w:ascii="宋体" w:hAnsi="宋体" w:eastAsia="宋体"/>
                <w:b/>
                <w:bCs/>
                <w:szCs w:val="21"/>
              </w:rPr>
              <w:t>2</w:t>
            </w:r>
            <w:r>
              <w:rPr>
                <w:rFonts w:ascii="宋体" w:hAnsi="宋体" w:eastAsia="宋体"/>
                <w:b/>
                <w:bCs/>
                <w:szCs w:val="21"/>
              </w:rPr>
              <w:t>.</w:t>
            </w:r>
            <w:r>
              <w:rPr>
                <w:rFonts w:hint="eastAsia" w:ascii="宋体" w:hAnsi="宋体" w:eastAsia="宋体"/>
                <w:b/>
                <w:bCs/>
                <w:szCs w:val="21"/>
              </w:rPr>
              <w:t>金融机构环境相关治理结构</w:t>
            </w:r>
          </w:p>
        </w:tc>
        <w:tc>
          <w:tcPr>
            <w:tcW w:w="2302" w:type="dxa"/>
            <w:tcBorders>
              <w:left w:val="single" w:color="008B89" w:sz="8" w:space="0"/>
              <w:bottom w:val="single" w:color="008B89" w:sz="8" w:space="0"/>
            </w:tcBorders>
            <w:vAlign w:val="center"/>
          </w:tcPr>
          <w:p>
            <w:pPr>
              <w:jc w:val="center"/>
              <w:rPr>
                <w:rFonts w:hint="eastAsia" w:ascii="宋体" w:hAnsi="宋体" w:eastAsia="宋体"/>
                <w:szCs w:val="21"/>
              </w:rPr>
            </w:pPr>
            <w:r>
              <w:rPr>
                <w:rFonts w:hint="eastAsia" w:ascii="宋体" w:hAnsi="宋体" w:eastAsia="宋体"/>
                <w:szCs w:val="21"/>
              </w:rPr>
              <w:t>P8-P9</w:t>
            </w:r>
          </w:p>
        </w:tc>
      </w:tr>
      <w:bookmarkEnd w:id="42"/>
      <w:tr>
        <w:tblPrEx>
          <w:tblLayout w:type="fixed"/>
          <w:tblCellMar>
            <w:top w:w="0" w:type="dxa"/>
            <w:left w:w="0" w:type="dxa"/>
            <w:bottom w:w="0" w:type="dxa"/>
            <w:right w:w="0" w:type="dxa"/>
          </w:tblCellMar>
        </w:tblPrEx>
        <w:trPr>
          <w:trHeight w:val="555" w:hRule="atLeast"/>
          <w:jc w:val="center"/>
        </w:trPr>
        <w:tc>
          <w:tcPr>
            <w:tcW w:w="6004" w:type="dxa"/>
            <w:tcBorders>
              <w:bottom w:val="single" w:color="008B89" w:sz="8" w:space="0"/>
              <w:right w:val="single" w:color="008B89" w:sz="8" w:space="0"/>
            </w:tcBorders>
            <w:shd w:val="clear" w:color="auto" w:fill="DEEEED"/>
            <w:vAlign w:val="center"/>
          </w:tcPr>
          <w:p>
            <w:pPr>
              <w:rPr>
                <w:rFonts w:hint="eastAsia" w:ascii="宋体" w:hAnsi="宋体" w:eastAsia="宋体"/>
                <w:b/>
                <w:bCs/>
                <w:szCs w:val="21"/>
              </w:rPr>
            </w:pPr>
            <w:r>
              <w:rPr>
                <w:rFonts w:hint="eastAsia" w:ascii="宋体" w:hAnsi="宋体" w:eastAsia="宋体"/>
                <w:b/>
                <w:bCs/>
                <w:szCs w:val="21"/>
              </w:rPr>
              <w:t>3</w:t>
            </w:r>
            <w:r>
              <w:rPr>
                <w:rFonts w:ascii="宋体" w:hAnsi="宋体" w:eastAsia="宋体"/>
                <w:b/>
                <w:bCs/>
                <w:szCs w:val="21"/>
              </w:rPr>
              <w:t>.</w:t>
            </w:r>
            <w:r>
              <w:rPr>
                <w:rFonts w:hint="eastAsia" w:ascii="宋体" w:hAnsi="宋体" w:eastAsia="宋体"/>
                <w:b/>
                <w:bCs/>
                <w:szCs w:val="21"/>
              </w:rPr>
              <w:t>金融机构环境相关政策制度</w:t>
            </w:r>
          </w:p>
        </w:tc>
        <w:tc>
          <w:tcPr>
            <w:tcW w:w="2302" w:type="dxa"/>
            <w:tcBorders>
              <w:left w:val="single" w:color="008B89" w:sz="8" w:space="0"/>
              <w:bottom w:val="single" w:color="008B89" w:sz="8" w:space="0"/>
            </w:tcBorders>
            <w:vAlign w:val="center"/>
          </w:tcPr>
          <w:p>
            <w:pPr>
              <w:jc w:val="center"/>
              <w:rPr>
                <w:rFonts w:hint="eastAsia" w:ascii="宋体" w:hAnsi="宋体" w:eastAsia="宋体"/>
                <w:szCs w:val="21"/>
              </w:rPr>
            </w:pPr>
            <w:r>
              <w:rPr>
                <w:rFonts w:hint="eastAsia" w:ascii="宋体" w:hAnsi="宋体" w:eastAsia="宋体"/>
                <w:szCs w:val="21"/>
              </w:rPr>
              <w:t>P9-P13</w:t>
            </w:r>
          </w:p>
        </w:tc>
      </w:tr>
      <w:bookmarkEnd w:id="41"/>
      <w:tr>
        <w:tblPrEx>
          <w:tblLayout w:type="fixed"/>
          <w:tblCellMar>
            <w:top w:w="0" w:type="dxa"/>
            <w:left w:w="0" w:type="dxa"/>
            <w:bottom w:w="0" w:type="dxa"/>
            <w:right w:w="0" w:type="dxa"/>
          </w:tblCellMar>
        </w:tblPrEx>
        <w:trPr>
          <w:trHeight w:val="555" w:hRule="atLeast"/>
          <w:jc w:val="center"/>
        </w:trPr>
        <w:tc>
          <w:tcPr>
            <w:tcW w:w="6004" w:type="dxa"/>
            <w:tcBorders>
              <w:bottom w:val="single" w:color="008B89" w:sz="8" w:space="0"/>
              <w:right w:val="single" w:color="008B89" w:sz="8" w:space="0"/>
            </w:tcBorders>
            <w:shd w:val="clear" w:color="auto" w:fill="DEEEED"/>
            <w:vAlign w:val="center"/>
          </w:tcPr>
          <w:p>
            <w:pPr>
              <w:rPr>
                <w:rFonts w:hint="eastAsia" w:ascii="宋体" w:hAnsi="宋体" w:eastAsia="宋体"/>
                <w:b/>
                <w:bCs/>
                <w:szCs w:val="21"/>
              </w:rPr>
            </w:pPr>
            <w:r>
              <w:rPr>
                <w:rFonts w:hint="eastAsia" w:ascii="宋体" w:hAnsi="宋体" w:eastAsia="宋体"/>
                <w:b/>
                <w:bCs/>
                <w:szCs w:val="21"/>
              </w:rPr>
              <w:t>4</w:t>
            </w:r>
            <w:r>
              <w:rPr>
                <w:rFonts w:ascii="宋体" w:hAnsi="宋体" w:eastAsia="宋体"/>
                <w:b/>
                <w:bCs/>
                <w:szCs w:val="21"/>
              </w:rPr>
              <w:t>.</w:t>
            </w:r>
            <w:r>
              <w:rPr>
                <w:rFonts w:hint="eastAsia" w:ascii="宋体" w:hAnsi="宋体" w:eastAsia="宋体"/>
                <w:b/>
                <w:bCs/>
                <w:szCs w:val="21"/>
              </w:rPr>
              <w:t>金融机构环境相关产品与服务创新</w:t>
            </w:r>
          </w:p>
        </w:tc>
        <w:tc>
          <w:tcPr>
            <w:tcW w:w="2302" w:type="dxa"/>
            <w:tcBorders>
              <w:left w:val="single" w:color="008B89" w:sz="8" w:space="0"/>
              <w:bottom w:val="single" w:color="008B89" w:sz="8" w:space="0"/>
            </w:tcBorders>
            <w:vAlign w:val="center"/>
          </w:tcPr>
          <w:p>
            <w:pPr>
              <w:jc w:val="center"/>
              <w:rPr>
                <w:rFonts w:hint="eastAsia" w:ascii="宋体" w:hAnsi="宋体" w:eastAsia="宋体"/>
                <w:szCs w:val="21"/>
              </w:rPr>
            </w:pPr>
            <w:r>
              <w:rPr>
                <w:rFonts w:hint="eastAsia" w:ascii="宋体" w:hAnsi="宋体" w:eastAsia="宋体"/>
                <w:szCs w:val="21"/>
              </w:rPr>
              <w:t>P13-P14</w:t>
            </w:r>
          </w:p>
        </w:tc>
      </w:tr>
      <w:tr>
        <w:tblPrEx>
          <w:tblLayout w:type="fixed"/>
        </w:tblPrEx>
        <w:trPr>
          <w:trHeight w:val="555" w:hRule="atLeast"/>
          <w:jc w:val="center"/>
        </w:trPr>
        <w:tc>
          <w:tcPr>
            <w:tcW w:w="6004" w:type="dxa"/>
            <w:tcBorders>
              <w:bottom w:val="single" w:color="008B89" w:sz="8" w:space="0"/>
              <w:right w:val="single" w:color="008B89" w:sz="8" w:space="0"/>
            </w:tcBorders>
            <w:shd w:val="clear" w:color="auto" w:fill="DEEEED"/>
            <w:vAlign w:val="center"/>
          </w:tcPr>
          <w:p>
            <w:pPr>
              <w:rPr>
                <w:rFonts w:hint="eastAsia" w:ascii="宋体" w:hAnsi="宋体" w:eastAsia="宋体"/>
                <w:b/>
                <w:bCs/>
                <w:szCs w:val="21"/>
              </w:rPr>
            </w:pPr>
            <w:bookmarkStart w:id="43" w:name="_Hlk83289770"/>
            <w:r>
              <w:rPr>
                <w:rFonts w:ascii="宋体" w:hAnsi="宋体" w:eastAsia="宋体"/>
                <w:b/>
                <w:bCs/>
                <w:szCs w:val="21"/>
              </w:rPr>
              <w:t>5.</w:t>
            </w:r>
            <w:r>
              <w:rPr>
                <w:rFonts w:hint="eastAsia" w:ascii="宋体" w:hAnsi="宋体" w:eastAsia="宋体"/>
                <w:b/>
                <w:bCs/>
                <w:szCs w:val="21"/>
              </w:rPr>
              <w:t>金融机构环境风险管理流程</w:t>
            </w:r>
          </w:p>
        </w:tc>
        <w:tc>
          <w:tcPr>
            <w:tcW w:w="2302" w:type="dxa"/>
            <w:tcBorders>
              <w:left w:val="single" w:color="008B89" w:sz="8" w:space="0"/>
              <w:bottom w:val="single" w:color="008B89" w:sz="8" w:space="0"/>
            </w:tcBorders>
            <w:vAlign w:val="center"/>
          </w:tcPr>
          <w:p>
            <w:pPr>
              <w:jc w:val="center"/>
              <w:rPr>
                <w:rFonts w:hint="eastAsia" w:ascii="宋体" w:hAnsi="宋体" w:eastAsia="宋体"/>
                <w:szCs w:val="21"/>
              </w:rPr>
            </w:pPr>
            <w:r>
              <w:rPr>
                <w:rFonts w:hint="eastAsia" w:ascii="宋体" w:hAnsi="宋体" w:eastAsia="宋体"/>
                <w:szCs w:val="21"/>
              </w:rPr>
              <w:t>P14-P15</w:t>
            </w:r>
          </w:p>
        </w:tc>
      </w:tr>
      <w:tr>
        <w:tblPrEx>
          <w:tblLayout w:type="fixed"/>
          <w:tblCellMar>
            <w:top w:w="0" w:type="dxa"/>
            <w:left w:w="0" w:type="dxa"/>
            <w:bottom w:w="0" w:type="dxa"/>
            <w:right w:w="0" w:type="dxa"/>
          </w:tblCellMar>
        </w:tblPrEx>
        <w:trPr>
          <w:trHeight w:val="555" w:hRule="atLeast"/>
          <w:jc w:val="center"/>
        </w:trPr>
        <w:tc>
          <w:tcPr>
            <w:tcW w:w="8306" w:type="dxa"/>
            <w:gridSpan w:val="2"/>
            <w:tcBorders>
              <w:bottom w:val="single" w:color="008B89" w:sz="8" w:space="0"/>
            </w:tcBorders>
            <w:shd w:val="clear" w:color="auto" w:fill="DEEEED"/>
            <w:vAlign w:val="center"/>
          </w:tcPr>
          <w:p>
            <w:pPr>
              <w:jc w:val="left"/>
              <w:rPr>
                <w:rFonts w:hint="eastAsia" w:ascii="宋体" w:hAnsi="宋体" w:eastAsia="宋体"/>
                <w:szCs w:val="21"/>
              </w:rPr>
            </w:pPr>
            <w:r>
              <w:rPr>
                <w:rFonts w:ascii="宋体" w:hAnsi="宋体" w:eastAsia="宋体"/>
                <w:b/>
                <w:bCs/>
                <w:szCs w:val="21"/>
              </w:rPr>
              <w:t>6.</w:t>
            </w:r>
            <w:r>
              <w:rPr>
                <w:rFonts w:hint="eastAsia" w:ascii="宋体" w:hAnsi="宋体" w:eastAsia="宋体"/>
                <w:b/>
                <w:bCs/>
                <w:szCs w:val="21"/>
              </w:rPr>
              <w:t>环境因素对金融机构的影响</w:t>
            </w:r>
          </w:p>
        </w:tc>
      </w:tr>
      <w:tr>
        <w:tblPrEx>
          <w:tblLayout w:type="fixed"/>
          <w:tblCellMar>
            <w:top w:w="0" w:type="dxa"/>
            <w:left w:w="0" w:type="dxa"/>
            <w:bottom w:w="0" w:type="dxa"/>
            <w:right w:w="0" w:type="dxa"/>
          </w:tblCellMar>
        </w:tblPrEx>
        <w:trPr>
          <w:trHeight w:val="555" w:hRule="atLeast"/>
          <w:jc w:val="center"/>
        </w:trPr>
        <w:tc>
          <w:tcPr>
            <w:tcW w:w="6004" w:type="dxa"/>
            <w:tcBorders>
              <w:bottom w:val="single" w:color="008B89" w:sz="8" w:space="0"/>
              <w:right w:val="single" w:color="008B89" w:sz="8" w:space="0"/>
            </w:tcBorders>
            <w:shd w:val="clear" w:color="auto" w:fill="FFFFFF" w:themeFill="background1"/>
            <w:vAlign w:val="center"/>
          </w:tcPr>
          <w:p>
            <w:pPr>
              <w:rPr>
                <w:rFonts w:hint="eastAsia" w:ascii="宋体" w:hAnsi="宋体" w:eastAsia="宋体"/>
                <w:szCs w:val="21"/>
              </w:rPr>
            </w:pPr>
            <w:r>
              <w:rPr>
                <w:rFonts w:hint="eastAsia" w:ascii="宋体" w:hAnsi="宋体" w:eastAsia="宋体"/>
                <w:szCs w:val="21"/>
              </w:rPr>
              <w:t>6.1 环境风险分析</w:t>
            </w:r>
          </w:p>
        </w:tc>
        <w:tc>
          <w:tcPr>
            <w:tcW w:w="2302" w:type="dxa"/>
            <w:tcBorders>
              <w:left w:val="single" w:color="008B89" w:sz="8" w:space="0"/>
              <w:bottom w:val="single" w:color="008B89" w:sz="8" w:space="0"/>
            </w:tcBorders>
            <w:vAlign w:val="center"/>
          </w:tcPr>
          <w:p>
            <w:pPr>
              <w:jc w:val="center"/>
              <w:rPr>
                <w:rFonts w:hint="eastAsia" w:ascii="宋体" w:hAnsi="宋体" w:eastAsia="宋体"/>
                <w:szCs w:val="21"/>
              </w:rPr>
            </w:pPr>
            <w:r>
              <w:rPr>
                <w:rFonts w:hint="eastAsia" w:ascii="宋体" w:hAnsi="宋体" w:eastAsia="宋体"/>
                <w:szCs w:val="21"/>
              </w:rPr>
              <w:t>P15-P17</w:t>
            </w:r>
          </w:p>
        </w:tc>
      </w:tr>
      <w:tr>
        <w:tblPrEx>
          <w:tblLayout w:type="fixed"/>
          <w:tblCellMar>
            <w:top w:w="0" w:type="dxa"/>
            <w:left w:w="0" w:type="dxa"/>
            <w:bottom w:w="0" w:type="dxa"/>
            <w:right w:w="0" w:type="dxa"/>
          </w:tblCellMar>
        </w:tblPrEx>
        <w:trPr>
          <w:trHeight w:val="555" w:hRule="atLeast"/>
          <w:jc w:val="center"/>
        </w:trPr>
        <w:tc>
          <w:tcPr>
            <w:tcW w:w="6004" w:type="dxa"/>
            <w:tcBorders>
              <w:bottom w:val="single" w:color="008B89" w:sz="8" w:space="0"/>
              <w:right w:val="single" w:color="008B89" w:sz="8" w:space="0"/>
            </w:tcBorders>
            <w:shd w:val="clear" w:color="auto" w:fill="FFFFFF" w:themeFill="background1"/>
            <w:vAlign w:val="center"/>
          </w:tcPr>
          <w:p>
            <w:pPr>
              <w:rPr>
                <w:rFonts w:hint="eastAsia" w:ascii="宋体" w:hAnsi="宋体" w:eastAsia="宋体"/>
                <w:szCs w:val="21"/>
              </w:rPr>
            </w:pPr>
            <w:r>
              <w:rPr>
                <w:rFonts w:hint="eastAsia" w:ascii="宋体" w:hAnsi="宋体" w:eastAsia="宋体"/>
                <w:szCs w:val="21"/>
              </w:rPr>
              <w:t>6.2环境机遇分析</w:t>
            </w:r>
          </w:p>
        </w:tc>
        <w:tc>
          <w:tcPr>
            <w:tcW w:w="2302" w:type="dxa"/>
            <w:tcBorders>
              <w:left w:val="single" w:color="008B89" w:sz="8" w:space="0"/>
              <w:bottom w:val="single" w:color="008B89" w:sz="8" w:space="0"/>
            </w:tcBorders>
            <w:vAlign w:val="center"/>
          </w:tcPr>
          <w:p>
            <w:pPr>
              <w:jc w:val="center"/>
              <w:rPr>
                <w:rFonts w:hint="eastAsia" w:ascii="宋体" w:hAnsi="宋体" w:eastAsia="宋体"/>
                <w:color w:val="FFFFFF" w:themeColor="background1"/>
                <w:szCs w:val="21"/>
                <w14:textFill>
                  <w14:solidFill>
                    <w14:schemeClr w14:val="bg1"/>
                  </w14:solidFill>
                </w14:textFill>
              </w:rPr>
            </w:pPr>
            <w:r>
              <w:rPr>
                <w:rFonts w:hint="eastAsia" w:ascii="宋体" w:hAnsi="宋体" w:eastAsia="宋体"/>
                <w:szCs w:val="21"/>
              </w:rPr>
              <w:t>P17-P18</w:t>
            </w:r>
          </w:p>
        </w:tc>
      </w:tr>
      <w:tr>
        <w:tblPrEx>
          <w:tblLayout w:type="fixed"/>
          <w:tblCellMar>
            <w:top w:w="0" w:type="dxa"/>
            <w:left w:w="0" w:type="dxa"/>
            <w:bottom w:w="0" w:type="dxa"/>
            <w:right w:w="0" w:type="dxa"/>
          </w:tblCellMar>
        </w:tblPrEx>
        <w:trPr>
          <w:trHeight w:val="555" w:hRule="atLeast"/>
          <w:jc w:val="center"/>
        </w:trPr>
        <w:tc>
          <w:tcPr>
            <w:tcW w:w="6004" w:type="dxa"/>
            <w:tcBorders>
              <w:bottom w:val="single" w:color="008B89" w:sz="8" w:space="0"/>
              <w:right w:val="single" w:color="008B89" w:sz="8" w:space="0"/>
            </w:tcBorders>
            <w:shd w:val="clear" w:color="auto" w:fill="FFFFFF" w:themeFill="background1"/>
            <w:vAlign w:val="center"/>
          </w:tcPr>
          <w:p>
            <w:pPr>
              <w:rPr>
                <w:rFonts w:hint="eastAsia" w:ascii="宋体" w:hAnsi="宋体" w:eastAsia="宋体"/>
                <w:szCs w:val="21"/>
              </w:rPr>
            </w:pPr>
            <w:r>
              <w:rPr>
                <w:rFonts w:hint="eastAsia" w:ascii="宋体" w:hAnsi="宋体" w:eastAsia="宋体"/>
                <w:szCs w:val="21"/>
              </w:rPr>
              <w:t>6.3 环境因素定量分析-压力测试</w:t>
            </w:r>
          </w:p>
        </w:tc>
        <w:tc>
          <w:tcPr>
            <w:tcW w:w="2302" w:type="dxa"/>
            <w:tcBorders>
              <w:left w:val="single" w:color="008B89" w:sz="8" w:space="0"/>
              <w:bottom w:val="single" w:color="008B89" w:sz="8" w:space="0"/>
            </w:tcBorders>
            <w:vAlign w:val="center"/>
          </w:tcPr>
          <w:p>
            <w:pPr>
              <w:jc w:val="center"/>
              <w:rPr>
                <w:rFonts w:hint="eastAsia" w:ascii="宋体" w:hAnsi="宋体" w:eastAsia="宋体"/>
                <w:color w:val="FFFFFF" w:themeColor="background1"/>
                <w:szCs w:val="21"/>
                <w14:textFill>
                  <w14:solidFill>
                    <w14:schemeClr w14:val="bg1"/>
                  </w14:solidFill>
                </w14:textFill>
              </w:rPr>
            </w:pPr>
            <w:r>
              <w:rPr>
                <w:rFonts w:hint="eastAsia" w:ascii="宋体" w:hAnsi="宋体" w:eastAsia="宋体"/>
                <w:szCs w:val="21"/>
              </w:rPr>
              <w:t>P18-P19</w:t>
            </w:r>
          </w:p>
        </w:tc>
      </w:tr>
      <w:tr>
        <w:tblPrEx>
          <w:tblLayout w:type="fixed"/>
          <w:tblCellMar>
            <w:top w:w="0" w:type="dxa"/>
            <w:left w:w="0" w:type="dxa"/>
            <w:bottom w:w="0" w:type="dxa"/>
            <w:right w:w="0" w:type="dxa"/>
          </w:tblCellMar>
        </w:tblPrEx>
        <w:trPr>
          <w:trHeight w:val="544" w:hRule="atLeast"/>
          <w:jc w:val="center"/>
        </w:trPr>
        <w:tc>
          <w:tcPr>
            <w:tcW w:w="8306" w:type="dxa"/>
            <w:gridSpan w:val="2"/>
            <w:tcBorders>
              <w:top w:val="single" w:color="008B89" w:sz="8" w:space="0"/>
              <w:left w:val="single" w:color="FFFFFF" w:sz="24" w:space="0"/>
              <w:bottom w:val="single" w:color="008B89" w:sz="8" w:space="0"/>
            </w:tcBorders>
            <w:shd w:val="clear" w:color="auto" w:fill="DEEEED"/>
            <w:vAlign w:val="center"/>
          </w:tcPr>
          <w:p>
            <w:pPr>
              <w:jc w:val="left"/>
              <w:rPr>
                <w:rFonts w:hint="eastAsia" w:ascii="宋体" w:hAnsi="宋体" w:eastAsia="宋体"/>
                <w:b/>
                <w:bCs/>
                <w:szCs w:val="21"/>
              </w:rPr>
            </w:pPr>
            <w:r>
              <w:rPr>
                <w:rFonts w:ascii="宋体" w:hAnsi="宋体" w:eastAsia="宋体"/>
                <w:b/>
                <w:bCs/>
                <w:szCs w:val="21"/>
              </w:rPr>
              <w:t>7.</w:t>
            </w:r>
            <w:r>
              <w:rPr>
                <w:rFonts w:hint="eastAsia" w:ascii="宋体" w:hAnsi="宋体" w:eastAsia="宋体"/>
                <w:b/>
                <w:bCs/>
                <w:szCs w:val="21"/>
              </w:rPr>
              <w:t>金融机构投融资活动的环境影响</w:t>
            </w:r>
          </w:p>
        </w:tc>
      </w:tr>
      <w:tr>
        <w:tblPrEx>
          <w:tblLayout w:type="fixed"/>
          <w:tblCellMar>
            <w:top w:w="0" w:type="dxa"/>
            <w:left w:w="0" w:type="dxa"/>
            <w:bottom w:w="0" w:type="dxa"/>
            <w:right w:w="0" w:type="dxa"/>
          </w:tblCellMar>
        </w:tblPrEx>
        <w:trPr>
          <w:trHeight w:val="544" w:hRule="atLeast"/>
          <w:jc w:val="center"/>
        </w:trPr>
        <w:tc>
          <w:tcPr>
            <w:tcW w:w="6004" w:type="dxa"/>
            <w:tcBorders>
              <w:top w:val="single" w:color="008B89" w:sz="8" w:space="0"/>
              <w:left w:val="single" w:color="FFFFFF" w:sz="24" w:space="0"/>
              <w:bottom w:val="single" w:color="008B89" w:sz="8" w:space="0"/>
              <w:right w:val="single" w:color="008B89" w:sz="8" w:space="0"/>
            </w:tcBorders>
            <w:vAlign w:val="center"/>
          </w:tcPr>
          <w:p>
            <w:pPr>
              <w:rPr>
                <w:rFonts w:hint="eastAsia" w:ascii="宋体" w:hAnsi="宋体" w:eastAsia="宋体"/>
                <w:szCs w:val="21"/>
              </w:rPr>
            </w:pPr>
            <w:r>
              <w:rPr>
                <w:rFonts w:hint="eastAsia" w:ascii="宋体" w:hAnsi="宋体" w:eastAsia="宋体"/>
                <w:szCs w:val="21"/>
              </w:rPr>
              <w:t>7</w:t>
            </w:r>
            <w:r>
              <w:rPr>
                <w:rFonts w:ascii="宋体" w:hAnsi="宋体" w:eastAsia="宋体"/>
                <w:szCs w:val="21"/>
              </w:rPr>
              <w:t xml:space="preserve">.1 </w:t>
            </w:r>
            <w:r>
              <w:rPr>
                <w:rFonts w:hint="eastAsia" w:ascii="宋体" w:hAnsi="宋体" w:eastAsia="宋体"/>
                <w:szCs w:val="21"/>
              </w:rPr>
              <w:t>投融资所产生的环境影响</w:t>
            </w:r>
          </w:p>
        </w:tc>
        <w:tc>
          <w:tcPr>
            <w:tcW w:w="2302" w:type="dxa"/>
            <w:tcBorders>
              <w:top w:val="single" w:color="008B89" w:sz="8" w:space="0"/>
              <w:left w:val="single" w:color="008B89" w:sz="8" w:space="0"/>
              <w:bottom w:val="single" w:color="008B89" w:sz="8" w:space="0"/>
            </w:tcBorders>
            <w:vAlign w:val="center"/>
          </w:tcPr>
          <w:p>
            <w:pPr>
              <w:jc w:val="center"/>
              <w:rPr>
                <w:rFonts w:hint="eastAsia" w:ascii="宋体" w:hAnsi="宋体" w:eastAsia="宋体"/>
                <w:szCs w:val="21"/>
              </w:rPr>
            </w:pPr>
            <w:r>
              <w:rPr>
                <w:rFonts w:hint="eastAsia" w:ascii="宋体" w:hAnsi="宋体" w:eastAsia="宋体"/>
                <w:szCs w:val="21"/>
              </w:rPr>
              <w:t>P</w:t>
            </w:r>
            <w:r>
              <w:rPr>
                <w:rFonts w:ascii="宋体" w:hAnsi="宋体" w:eastAsia="宋体"/>
                <w:szCs w:val="21"/>
              </w:rPr>
              <w:t>1</w:t>
            </w:r>
            <w:r>
              <w:rPr>
                <w:rFonts w:hint="eastAsia" w:ascii="宋体" w:hAnsi="宋体" w:eastAsia="宋体"/>
                <w:szCs w:val="21"/>
              </w:rPr>
              <w:t>9-P20</w:t>
            </w:r>
          </w:p>
        </w:tc>
      </w:tr>
      <w:tr>
        <w:tblPrEx>
          <w:tblLayout w:type="fixed"/>
          <w:tblCellMar>
            <w:top w:w="0" w:type="dxa"/>
            <w:left w:w="0" w:type="dxa"/>
            <w:bottom w:w="0" w:type="dxa"/>
            <w:right w:w="0" w:type="dxa"/>
          </w:tblCellMar>
        </w:tblPrEx>
        <w:trPr>
          <w:trHeight w:val="544" w:hRule="atLeast"/>
          <w:jc w:val="center"/>
        </w:trPr>
        <w:tc>
          <w:tcPr>
            <w:tcW w:w="6004" w:type="dxa"/>
            <w:tcBorders>
              <w:top w:val="single" w:color="008B89" w:sz="8" w:space="0"/>
              <w:left w:val="single" w:color="FFFFFF" w:sz="24" w:space="0"/>
              <w:bottom w:val="single" w:color="008B89" w:sz="8" w:space="0"/>
              <w:right w:val="single" w:color="008B89" w:sz="8" w:space="0"/>
            </w:tcBorders>
            <w:vAlign w:val="center"/>
          </w:tcPr>
          <w:p>
            <w:pPr>
              <w:rPr>
                <w:rFonts w:hint="eastAsia" w:ascii="宋体" w:hAnsi="宋体" w:eastAsia="宋体"/>
                <w:szCs w:val="21"/>
              </w:rPr>
            </w:pPr>
            <w:r>
              <w:rPr>
                <w:rFonts w:hint="eastAsia" w:ascii="宋体" w:hAnsi="宋体" w:eastAsia="宋体"/>
                <w:szCs w:val="21"/>
              </w:rPr>
              <w:t>7</w:t>
            </w:r>
            <w:r>
              <w:rPr>
                <w:rFonts w:ascii="宋体" w:hAnsi="宋体" w:eastAsia="宋体"/>
                <w:szCs w:val="21"/>
              </w:rPr>
              <w:t xml:space="preserve">.2 </w:t>
            </w:r>
            <w:r>
              <w:rPr>
                <w:rFonts w:hint="eastAsia" w:ascii="宋体" w:hAnsi="宋体" w:eastAsia="宋体"/>
                <w:szCs w:val="21"/>
              </w:rPr>
              <w:t>投融资环境影响的量化测算与表达</w:t>
            </w:r>
          </w:p>
        </w:tc>
        <w:tc>
          <w:tcPr>
            <w:tcW w:w="2302" w:type="dxa"/>
            <w:tcBorders>
              <w:top w:val="single" w:color="008B89" w:sz="8" w:space="0"/>
              <w:left w:val="single" w:color="008B89" w:sz="8" w:space="0"/>
              <w:bottom w:val="single" w:color="008B89" w:sz="8" w:space="0"/>
            </w:tcBorders>
            <w:vAlign w:val="center"/>
          </w:tcPr>
          <w:p>
            <w:pPr>
              <w:jc w:val="center"/>
              <w:rPr>
                <w:rFonts w:hint="eastAsia" w:ascii="宋体" w:hAnsi="宋体" w:eastAsia="宋体"/>
                <w:szCs w:val="21"/>
              </w:rPr>
            </w:pPr>
            <w:r>
              <w:rPr>
                <w:rFonts w:hint="eastAsia" w:ascii="宋体" w:hAnsi="宋体" w:eastAsia="宋体"/>
                <w:szCs w:val="21"/>
              </w:rPr>
              <w:t>P20-P21</w:t>
            </w:r>
          </w:p>
        </w:tc>
      </w:tr>
      <w:bookmarkEnd w:id="43"/>
      <w:tr>
        <w:tblPrEx>
          <w:tblLayout w:type="fixed"/>
          <w:tblCellMar>
            <w:top w:w="0" w:type="dxa"/>
            <w:left w:w="0" w:type="dxa"/>
            <w:bottom w:w="0" w:type="dxa"/>
            <w:right w:w="0" w:type="dxa"/>
          </w:tblCellMar>
        </w:tblPrEx>
        <w:trPr>
          <w:trHeight w:val="544" w:hRule="atLeast"/>
          <w:jc w:val="center"/>
        </w:trPr>
        <w:tc>
          <w:tcPr>
            <w:tcW w:w="8306" w:type="dxa"/>
            <w:gridSpan w:val="2"/>
            <w:tcBorders>
              <w:top w:val="single" w:color="008B89" w:sz="8" w:space="0"/>
              <w:left w:val="single" w:color="FFFFFF" w:sz="24" w:space="0"/>
              <w:bottom w:val="single" w:color="008B89" w:sz="8" w:space="0"/>
            </w:tcBorders>
            <w:shd w:val="clear" w:color="auto" w:fill="DEEEED"/>
            <w:vAlign w:val="center"/>
          </w:tcPr>
          <w:p>
            <w:pPr>
              <w:jc w:val="left"/>
              <w:rPr>
                <w:rFonts w:hint="eastAsia" w:ascii="宋体" w:hAnsi="宋体" w:eastAsia="宋体"/>
                <w:b/>
                <w:bCs/>
                <w:szCs w:val="21"/>
              </w:rPr>
            </w:pPr>
            <w:r>
              <w:rPr>
                <w:rFonts w:ascii="宋体" w:hAnsi="宋体" w:eastAsia="宋体"/>
                <w:b/>
                <w:bCs/>
                <w:szCs w:val="21"/>
              </w:rPr>
              <w:t>8.</w:t>
            </w:r>
            <w:r>
              <w:rPr>
                <w:rFonts w:hint="eastAsia" w:ascii="宋体" w:hAnsi="宋体" w:eastAsia="宋体"/>
                <w:b/>
                <w:bCs/>
                <w:szCs w:val="21"/>
              </w:rPr>
              <w:t>金融机构经营活动的环境影响</w:t>
            </w:r>
          </w:p>
        </w:tc>
      </w:tr>
      <w:tr>
        <w:tblPrEx>
          <w:tblLayout w:type="fixed"/>
          <w:tblCellMar>
            <w:top w:w="0" w:type="dxa"/>
            <w:left w:w="0" w:type="dxa"/>
            <w:bottom w:w="0" w:type="dxa"/>
            <w:right w:w="0" w:type="dxa"/>
          </w:tblCellMar>
        </w:tblPrEx>
        <w:trPr>
          <w:trHeight w:val="545" w:hRule="atLeast"/>
          <w:jc w:val="center"/>
        </w:trPr>
        <w:tc>
          <w:tcPr>
            <w:tcW w:w="6004" w:type="dxa"/>
            <w:tcBorders>
              <w:top w:val="single" w:color="008B89" w:sz="8" w:space="0"/>
              <w:left w:val="single" w:color="FFFFFF" w:sz="24" w:space="0"/>
              <w:bottom w:val="single" w:color="008B89" w:sz="8" w:space="0"/>
              <w:right w:val="single" w:color="008B89" w:sz="8" w:space="0"/>
            </w:tcBorders>
            <w:vAlign w:val="center"/>
          </w:tcPr>
          <w:p>
            <w:pPr>
              <w:rPr>
                <w:rFonts w:hint="eastAsia" w:ascii="宋体" w:hAnsi="宋体" w:eastAsia="宋体"/>
                <w:szCs w:val="21"/>
              </w:rPr>
            </w:pPr>
            <w:r>
              <w:rPr>
                <w:rFonts w:ascii="宋体" w:hAnsi="宋体" w:eastAsia="宋体"/>
                <w:szCs w:val="21"/>
              </w:rPr>
              <w:t xml:space="preserve">8.1 </w:t>
            </w:r>
            <w:r>
              <w:rPr>
                <w:rFonts w:hint="eastAsia" w:ascii="宋体" w:hAnsi="宋体" w:eastAsia="宋体"/>
                <w:szCs w:val="21"/>
              </w:rPr>
              <w:t>温室气体排放和自然资源消耗</w:t>
            </w:r>
          </w:p>
        </w:tc>
        <w:tc>
          <w:tcPr>
            <w:tcW w:w="2302" w:type="dxa"/>
            <w:tcBorders>
              <w:top w:val="single" w:color="008B89" w:sz="8" w:space="0"/>
              <w:left w:val="single" w:color="008B89" w:sz="8" w:space="0"/>
              <w:bottom w:val="single" w:color="008B89" w:sz="8" w:space="0"/>
            </w:tcBorders>
            <w:vAlign w:val="center"/>
          </w:tcPr>
          <w:p>
            <w:pPr>
              <w:jc w:val="center"/>
              <w:rPr>
                <w:rFonts w:hint="eastAsia" w:ascii="宋体" w:hAnsi="宋体" w:eastAsia="宋体"/>
                <w:szCs w:val="21"/>
              </w:rPr>
            </w:pPr>
            <w:r>
              <w:rPr>
                <w:rFonts w:hint="eastAsia" w:ascii="宋体" w:hAnsi="宋体" w:eastAsia="宋体"/>
                <w:szCs w:val="21"/>
              </w:rPr>
              <w:t>P21-P22</w:t>
            </w:r>
          </w:p>
        </w:tc>
      </w:tr>
      <w:tr>
        <w:tblPrEx>
          <w:tblLayout w:type="fixed"/>
          <w:tblCellMar>
            <w:top w:w="0" w:type="dxa"/>
            <w:left w:w="0" w:type="dxa"/>
            <w:bottom w:w="0" w:type="dxa"/>
            <w:right w:w="0" w:type="dxa"/>
          </w:tblCellMar>
        </w:tblPrEx>
        <w:trPr>
          <w:trHeight w:val="556" w:hRule="atLeast"/>
          <w:jc w:val="center"/>
        </w:trPr>
        <w:tc>
          <w:tcPr>
            <w:tcW w:w="6004" w:type="dxa"/>
            <w:tcBorders>
              <w:top w:val="single" w:color="008B89" w:sz="8" w:space="0"/>
              <w:left w:val="single" w:color="FFFFFF" w:sz="24" w:space="0"/>
              <w:bottom w:val="single" w:color="008B89" w:sz="8" w:space="0"/>
              <w:right w:val="single" w:color="008B89" w:sz="8" w:space="0"/>
            </w:tcBorders>
            <w:vAlign w:val="center"/>
          </w:tcPr>
          <w:p>
            <w:pPr>
              <w:rPr>
                <w:rFonts w:hint="eastAsia" w:ascii="宋体" w:hAnsi="宋体" w:eastAsia="宋体"/>
                <w:szCs w:val="21"/>
              </w:rPr>
            </w:pPr>
            <w:r>
              <w:rPr>
                <w:rFonts w:ascii="宋体" w:hAnsi="宋体" w:eastAsia="宋体"/>
                <w:szCs w:val="21"/>
              </w:rPr>
              <w:t>8.</w:t>
            </w:r>
            <w:r>
              <w:rPr>
                <w:rFonts w:hint="eastAsia" w:ascii="宋体" w:hAnsi="宋体" w:eastAsia="宋体"/>
                <w:szCs w:val="21"/>
              </w:rPr>
              <w:t>2</w:t>
            </w:r>
            <w:r>
              <w:rPr>
                <w:rFonts w:ascii="宋体" w:hAnsi="宋体" w:eastAsia="宋体"/>
                <w:szCs w:val="21"/>
              </w:rPr>
              <w:t xml:space="preserve"> </w:t>
            </w:r>
            <w:r>
              <w:rPr>
                <w:rFonts w:hint="eastAsia" w:ascii="宋体" w:hAnsi="宋体" w:eastAsia="宋体"/>
                <w:szCs w:val="21"/>
              </w:rPr>
              <w:t>金融机构环保措施所产生的环境效益</w:t>
            </w:r>
          </w:p>
        </w:tc>
        <w:tc>
          <w:tcPr>
            <w:tcW w:w="2302" w:type="dxa"/>
            <w:tcBorders>
              <w:top w:val="single" w:color="008B89" w:sz="8" w:space="0"/>
              <w:left w:val="single" w:color="008B89" w:sz="8" w:space="0"/>
              <w:bottom w:val="single" w:color="008B89" w:sz="8" w:space="0"/>
            </w:tcBorders>
            <w:vAlign w:val="center"/>
          </w:tcPr>
          <w:p>
            <w:pPr>
              <w:jc w:val="center"/>
              <w:rPr>
                <w:rFonts w:hint="eastAsia" w:ascii="宋体" w:hAnsi="宋体" w:eastAsia="宋体"/>
                <w:szCs w:val="21"/>
              </w:rPr>
            </w:pPr>
            <w:r>
              <w:rPr>
                <w:rFonts w:hint="eastAsia" w:ascii="宋体" w:hAnsi="宋体" w:eastAsia="宋体"/>
                <w:szCs w:val="21"/>
              </w:rPr>
              <w:t>P22-P23</w:t>
            </w:r>
          </w:p>
        </w:tc>
      </w:tr>
      <w:tr>
        <w:tblPrEx>
          <w:tblLayout w:type="fixed"/>
          <w:tblCellMar>
            <w:top w:w="0" w:type="dxa"/>
            <w:left w:w="0" w:type="dxa"/>
            <w:bottom w:w="0" w:type="dxa"/>
            <w:right w:w="0" w:type="dxa"/>
          </w:tblCellMar>
        </w:tblPrEx>
        <w:trPr>
          <w:trHeight w:val="544" w:hRule="atLeast"/>
          <w:jc w:val="center"/>
        </w:trPr>
        <w:tc>
          <w:tcPr>
            <w:tcW w:w="6004" w:type="dxa"/>
            <w:tcBorders>
              <w:top w:val="single" w:color="008B89" w:sz="8" w:space="0"/>
              <w:left w:val="single" w:color="FFFFFF" w:sz="24" w:space="0"/>
              <w:bottom w:val="single" w:color="008B89" w:sz="8" w:space="0"/>
              <w:right w:val="single" w:color="008B89" w:sz="8" w:space="0"/>
            </w:tcBorders>
            <w:vAlign w:val="center"/>
          </w:tcPr>
          <w:p>
            <w:pPr>
              <w:rPr>
                <w:rFonts w:hint="eastAsia" w:ascii="宋体" w:hAnsi="宋体" w:eastAsia="宋体"/>
                <w:szCs w:val="21"/>
              </w:rPr>
            </w:pPr>
            <w:r>
              <w:rPr>
                <w:rFonts w:ascii="宋体" w:hAnsi="宋体" w:eastAsia="宋体"/>
                <w:szCs w:val="21"/>
              </w:rPr>
              <w:t>8.</w:t>
            </w:r>
            <w:r>
              <w:rPr>
                <w:rFonts w:hint="eastAsia" w:ascii="宋体" w:hAnsi="宋体" w:eastAsia="宋体"/>
                <w:szCs w:val="21"/>
              </w:rPr>
              <w:t>3</w:t>
            </w:r>
            <w:r>
              <w:rPr>
                <w:rFonts w:ascii="宋体" w:hAnsi="宋体" w:eastAsia="宋体"/>
                <w:szCs w:val="21"/>
              </w:rPr>
              <w:t xml:space="preserve"> </w:t>
            </w:r>
            <w:r>
              <w:rPr>
                <w:rFonts w:hint="eastAsia" w:ascii="宋体" w:hAnsi="宋体" w:eastAsia="宋体"/>
                <w:szCs w:val="21"/>
              </w:rPr>
              <w:t>经营活动环境影响的量化测算</w:t>
            </w:r>
          </w:p>
        </w:tc>
        <w:tc>
          <w:tcPr>
            <w:tcW w:w="2302" w:type="dxa"/>
            <w:tcBorders>
              <w:top w:val="single" w:color="008B89" w:sz="8" w:space="0"/>
              <w:left w:val="single" w:color="008B89" w:sz="8" w:space="0"/>
              <w:bottom w:val="single" w:color="008B89" w:sz="8" w:space="0"/>
            </w:tcBorders>
            <w:vAlign w:val="center"/>
          </w:tcPr>
          <w:p>
            <w:pPr>
              <w:jc w:val="center"/>
              <w:rPr>
                <w:rFonts w:hint="eastAsia" w:ascii="宋体" w:hAnsi="宋体" w:eastAsia="宋体"/>
                <w:szCs w:val="21"/>
              </w:rPr>
            </w:pPr>
            <w:r>
              <w:rPr>
                <w:rFonts w:hint="eastAsia" w:ascii="宋体" w:hAnsi="宋体" w:eastAsia="宋体"/>
                <w:szCs w:val="21"/>
              </w:rPr>
              <w:t>P23-P24</w:t>
            </w:r>
          </w:p>
        </w:tc>
      </w:tr>
      <w:tr>
        <w:tblPrEx>
          <w:tblLayout w:type="fixed"/>
          <w:tblCellMar>
            <w:top w:w="0" w:type="dxa"/>
            <w:left w:w="0" w:type="dxa"/>
            <w:bottom w:w="0" w:type="dxa"/>
            <w:right w:w="0" w:type="dxa"/>
          </w:tblCellMar>
        </w:tblPrEx>
        <w:trPr>
          <w:trHeight w:val="555" w:hRule="atLeast"/>
          <w:jc w:val="center"/>
        </w:trPr>
        <w:tc>
          <w:tcPr>
            <w:tcW w:w="6004" w:type="dxa"/>
            <w:tcBorders>
              <w:bottom w:val="single" w:color="008B89" w:sz="8" w:space="0"/>
              <w:right w:val="single" w:color="008B89" w:sz="8" w:space="0"/>
            </w:tcBorders>
            <w:shd w:val="clear" w:color="auto" w:fill="DEEEED"/>
            <w:vAlign w:val="center"/>
          </w:tcPr>
          <w:p>
            <w:pPr>
              <w:rPr>
                <w:rFonts w:hint="eastAsia" w:ascii="宋体" w:hAnsi="宋体" w:eastAsia="宋体"/>
                <w:b/>
                <w:bCs/>
                <w:szCs w:val="21"/>
              </w:rPr>
            </w:pPr>
            <w:bookmarkStart w:id="44" w:name="_Hlk83290340"/>
            <w:r>
              <w:rPr>
                <w:rFonts w:ascii="宋体" w:hAnsi="宋体" w:eastAsia="宋体"/>
                <w:b/>
                <w:bCs/>
                <w:szCs w:val="21"/>
              </w:rPr>
              <w:t>9.</w:t>
            </w:r>
            <w:r>
              <w:rPr>
                <w:rFonts w:hint="eastAsia" w:ascii="宋体" w:hAnsi="宋体" w:eastAsia="宋体"/>
              </w:rPr>
              <w:t xml:space="preserve"> </w:t>
            </w:r>
            <w:r>
              <w:rPr>
                <w:rFonts w:hint="eastAsia" w:ascii="宋体" w:hAnsi="宋体" w:eastAsia="宋体"/>
                <w:b/>
                <w:bCs/>
                <w:szCs w:val="21"/>
              </w:rPr>
              <w:t>数据梳理、校验及保护</w:t>
            </w:r>
          </w:p>
        </w:tc>
        <w:tc>
          <w:tcPr>
            <w:tcW w:w="2302" w:type="dxa"/>
            <w:tcBorders>
              <w:left w:val="single" w:color="008B89" w:sz="8" w:space="0"/>
              <w:bottom w:val="single" w:color="008B89" w:sz="8" w:space="0"/>
            </w:tcBorders>
            <w:vAlign w:val="center"/>
          </w:tcPr>
          <w:p>
            <w:pPr>
              <w:jc w:val="center"/>
              <w:rPr>
                <w:rFonts w:hint="eastAsia" w:ascii="宋体" w:hAnsi="宋体" w:eastAsia="宋体"/>
                <w:szCs w:val="21"/>
              </w:rPr>
            </w:pPr>
            <w:r>
              <w:rPr>
                <w:rFonts w:hint="eastAsia" w:ascii="宋体" w:hAnsi="宋体" w:eastAsia="宋体"/>
                <w:szCs w:val="21"/>
              </w:rPr>
              <w:t>P24-P25</w:t>
            </w:r>
          </w:p>
        </w:tc>
      </w:tr>
      <w:bookmarkEnd w:id="44"/>
      <w:tr>
        <w:tblPrEx>
          <w:tblLayout w:type="fixed"/>
          <w:tblCellMar>
            <w:top w:w="0" w:type="dxa"/>
            <w:left w:w="0" w:type="dxa"/>
            <w:bottom w:w="0" w:type="dxa"/>
            <w:right w:w="0" w:type="dxa"/>
          </w:tblCellMar>
        </w:tblPrEx>
        <w:trPr>
          <w:trHeight w:val="555" w:hRule="atLeast"/>
          <w:jc w:val="center"/>
        </w:trPr>
        <w:tc>
          <w:tcPr>
            <w:tcW w:w="6004" w:type="dxa"/>
            <w:tcBorders>
              <w:bottom w:val="single" w:color="008B89" w:sz="8" w:space="0"/>
              <w:right w:val="single" w:color="008B89" w:sz="8" w:space="0"/>
            </w:tcBorders>
            <w:shd w:val="clear" w:color="auto" w:fill="DEEEED"/>
            <w:vAlign w:val="center"/>
          </w:tcPr>
          <w:p>
            <w:pPr>
              <w:rPr>
                <w:rFonts w:hint="eastAsia" w:ascii="宋体" w:hAnsi="宋体" w:eastAsia="宋体"/>
                <w:b/>
                <w:bCs/>
                <w:szCs w:val="21"/>
              </w:rPr>
            </w:pPr>
            <w:r>
              <w:rPr>
                <w:rFonts w:ascii="宋体" w:hAnsi="宋体" w:eastAsia="宋体"/>
                <w:b/>
                <w:bCs/>
                <w:szCs w:val="21"/>
              </w:rPr>
              <w:t>10.</w:t>
            </w:r>
            <w:r>
              <w:rPr>
                <w:rFonts w:hint="eastAsia" w:ascii="宋体" w:hAnsi="宋体" w:eastAsia="宋体"/>
                <w:b/>
                <w:bCs/>
                <w:szCs w:val="21"/>
              </w:rPr>
              <w:t>绿色金融创新及研究成果</w:t>
            </w:r>
          </w:p>
        </w:tc>
        <w:tc>
          <w:tcPr>
            <w:tcW w:w="2302" w:type="dxa"/>
            <w:tcBorders>
              <w:left w:val="single" w:color="008B89" w:sz="8" w:space="0"/>
              <w:bottom w:val="single" w:color="008B89" w:sz="8" w:space="0"/>
            </w:tcBorders>
            <w:vAlign w:val="center"/>
          </w:tcPr>
          <w:p>
            <w:pPr>
              <w:jc w:val="center"/>
              <w:rPr>
                <w:rFonts w:hint="eastAsia" w:ascii="宋体" w:hAnsi="宋体" w:eastAsia="宋体"/>
                <w:szCs w:val="21"/>
              </w:rPr>
            </w:pPr>
            <w:r>
              <w:rPr>
                <w:rFonts w:hint="eastAsia" w:ascii="宋体" w:hAnsi="宋体" w:eastAsia="宋体"/>
                <w:szCs w:val="21"/>
              </w:rPr>
              <w:t>P25</w:t>
            </w:r>
          </w:p>
        </w:tc>
      </w:tr>
      <w:tr>
        <w:tblPrEx>
          <w:tblLayout w:type="fixed"/>
          <w:tblCellMar>
            <w:top w:w="0" w:type="dxa"/>
            <w:left w:w="0" w:type="dxa"/>
            <w:bottom w:w="0" w:type="dxa"/>
            <w:right w:w="0" w:type="dxa"/>
          </w:tblCellMar>
        </w:tblPrEx>
        <w:trPr>
          <w:trHeight w:val="555" w:hRule="atLeast"/>
          <w:jc w:val="center"/>
        </w:trPr>
        <w:tc>
          <w:tcPr>
            <w:tcW w:w="6004" w:type="dxa"/>
            <w:tcBorders>
              <w:right w:val="single" w:color="008B89" w:sz="8" w:space="0"/>
            </w:tcBorders>
            <w:shd w:val="clear" w:color="auto" w:fill="DEEEED"/>
            <w:vAlign w:val="center"/>
          </w:tcPr>
          <w:p>
            <w:pPr>
              <w:rPr>
                <w:rFonts w:hint="eastAsia" w:ascii="宋体" w:hAnsi="宋体" w:eastAsia="宋体"/>
                <w:b/>
                <w:bCs/>
                <w:szCs w:val="21"/>
              </w:rPr>
            </w:pPr>
            <w:r>
              <w:rPr>
                <w:rFonts w:ascii="宋体" w:hAnsi="宋体" w:eastAsia="宋体"/>
                <w:b/>
                <w:bCs/>
                <w:szCs w:val="21"/>
              </w:rPr>
              <w:t>11.</w:t>
            </w:r>
            <w:r>
              <w:rPr>
                <w:rFonts w:hint="eastAsia" w:ascii="宋体" w:hAnsi="宋体" w:eastAsia="宋体"/>
                <w:b/>
                <w:bCs/>
                <w:szCs w:val="21"/>
              </w:rPr>
              <w:t>未来展望</w:t>
            </w:r>
            <w:r>
              <w:rPr>
                <w:rFonts w:ascii="宋体" w:hAnsi="宋体" w:eastAsia="宋体"/>
                <w:b/>
                <w:bCs/>
                <w:szCs w:val="21"/>
              </w:rPr>
              <w:t xml:space="preserve"> </w:t>
            </w:r>
          </w:p>
        </w:tc>
        <w:tc>
          <w:tcPr>
            <w:tcW w:w="2302" w:type="dxa"/>
            <w:tcBorders>
              <w:left w:val="single" w:color="008B89" w:sz="8" w:space="0"/>
            </w:tcBorders>
            <w:vAlign w:val="center"/>
          </w:tcPr>
          <w:p>
            <w:pPr>
              <w:jc w:val="center"/>
              <w:rPr>
                <w:rFonts w:hint="eastAsia" w:ascii="宋体" w:hAnsi="宋体" w:eastAsia="宋体"/>
                <w:szCs w:val="21"/>
              </w:rPr>
            </w:pPr>
            <w:r>
              <w:rPr>
                <w:rFonts w:hint="eastAsia" w:ascii="宋体" w:hAnsi="宋体" w:eastAsia="宋体"/>
                <w:szCs w:val="21"/>
              </w:rPr>
              <w:t>P25-P27</w:t>
            </w:r>
          </w:p>
        </w:tc>
      </w:tr>
    </w:tbl>
    <w:p>
      <w:pPr>
        <w:spacing w:line="360" w:lineRule="auto"/>
        <w:jc w:val="left"/>
        <w:rPr>
          <w:rFonts w:hint="eastAsia" w:ascii="宋体" w:hAnsi="宋体" w:eastAsia="宋体"/>
          <w:b/>
          <w:bCs/>
          <w:sz w:val="28"/>
          <w:szCs w:val="28"/>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等线">
    <w:altName w:val="微软雅黑"/>
    <w:panose1 w:val="02010600030101010101"/>
    <w:charset w:val="86"/>
    <w:family w:val="auto"/>
    <w:pitch w:val="default"/>
    <w:sig w:usb0="00000000" w:usb1="00000000" w:usb2="00000016" w:usb3="00000000" w:csb0="0004000F" w:csb1="00000000"/>
  </w:font>
  <w:font w:name="楷体">
    <w:altName w:val="楷体_GB2312"/>
    <w:panose1 w:val="02010609060101010101"/>
    <w:charset w:val="86"/>
    <w:family w:val="modern"/>
    <w:pitch w:val="default"/>
    <w:sig w:usb0="00000000" w:usb1="00000000"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FZLanTingKanHei-R-GBK">
    <w:altName w:val="微软雅黑"/>
    <w:panose1 w:val="00000000000000000000"/>
    <w:charset w:val="86"/>
    <w:family w:val="auto"/>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PMingLiU">
    <w:panose1 w:val="02020300000000000000"/>
    <w:charset w:val="88"/>
    <w:family w:val="roman"/>
    <w:pitch w:val="default"/>
    <w:sig w:usb0="00000003" w:usb1="082E0000" w:usb2="00000016" w:usb3="00000000" w:csb0="0010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rPr>
    </w:pPr>
  </w:p>
  <w:p>
    <w:pPr>
      <w:pStyle w:val="14"/>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rPr>
    </w:pPr>
    <w:r>
      <w:rPr>
        <w:rFonts w:ascii="等线 Light" w:hAnsi="等线 Light" w:eastAsia="等线 Light"/>
        <w:sz w:val="28"/>
        <w:szCs w:val="28"/>
      </w:rPr>
      <mc:AlternateContent>
        <mc:Choice Requires="wps">
          <w:drawing>
            <wp:anchor distT="0" distB="0" distL="114300" distR="114300" simplePos="0" relativeHeight="251665408" behindDoc="0" locked="0" layoutInCell="1" allowOverlap="1">
              <wp:simplePos x="0" y="0"/>
              <wp:positionH relativeFrom="page">
                <wp:posOffset>6732270</wp:posOffset>
              </wp:positionH>
              <wp:positionV relativeFrom="page">
                <wp:posOffset>10013950</wp:posOffset>
              </wp:positionV>
              <wp:extent cx="512445" cy="441325"/>
              <wp:effectExtent l="0" t="3175" r="3810" b="3175"/>
              <wp:wrapNone/>
              <wp:docPr id="1" name="AutoShape 2"/>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wps:spPr>
                    <wps:txbx>
                      <w:txbxContent>
                        <w:p>
                          <w:pPr>
                            <w:pStyle w:val="14"/>
                            <w:pBdr>
                              <w:top w:val="single" w:color="C0CF3A" w:sz="12" w:space="1"/>
                              <w:bottom w:val="single" w:color="C0CF3A" w:sz="48" w:space="1"/>
                            </w:pBdr>
                            <w:jc w:val="center"/>
                            <w:rPr>
                              <w:rFonts w:hint="eastAsia" w:ascii="宋体" w:hAnsi="宋体" w:eastAsia="宋体"/>
                              <w:sz w:val="21"/>
                              <w:szCs w:val="21"/>
                            </w:rPr>
                          </w:pPr>
                          <w:r>
                            <w:rPr>
                              <w:rFonts w:ascii="宋体" w:hAnsi="宋体" w:eastAsia="宋体"/>
                              <w:sz w:val="21"/>
                              <w:szCs w:val="21"/>
                            </w:rPr>
                            <w:fldChar w:fldCharType="begin"/>
                          </w:r>
                          <w:r>
                            <w:rPr>
                              <w:rFonts w:ascii="宋体" w:hAnsi="宋体" w:eastAsia="宋体"/>
                              <w:sz w:val="21"/>
                              <w:szCs w:val="21"/>
                            </w:rPr>
                            <w:instrText xml:space="preserve">PAGE    \* MERGEFORMAT</w:instrText>
                          </w:r>
                          <w:r>
                            <w:rPr>
                              <w:rFonts w:ascii="宋体" w:hAnsi="宋体" w:eastAsia="宋体"/>
                              <w:sz w:val="21"/>
                              <w:szCs w:val="21"/>
                            </w:rPr>
                            <w:fldChar w:fldCharType="separate"/>
                          </w:r>
                          <w:r>
                            <w:rPr>
                              <w:rFonts w:ascii="宋体" w:hAnsi="宋体" w:eastAsia="宋体"/>
                              <w:sz w:val="21"/>
                              <w:szCs w:val="21"/>
                              <w:lang w:val="zh-CN"/>
                            </w:rPr>
                            <w:t>27</w:t>
                          </w:r>
                          <w:r>
                            <w:rPr>
                              <w:rFonts w:ascii="宋体" w:hAnsi="宋体" w:eastAsia="宋体"/>
                              <w:sz w:val="21"/>
                              <w:szCs w:val="21"/>
                            </w:rPr>
                            <w:fldChar w:fldCharType="end"/>
                          </w:r>
                        </w:p>
                      </w:txbxContent>
                    </wps:txbx>
                    <wps:bodyPr rot="0" vert="horz" wrap="square" lIns="91440" tIns="45720" rIns="91440" bIns="45720" anchor="t" anchorCtr="0" upright="1">
                      <a:noAutofit/>
                    </wps:bodyPr>
                  </wps:wsp>
                </a:graphicData>
              </a:graphic>
            </wp:anchor>
          </w:drawing>
        </mc:Choice>
        <mc:Fallback>
          <w:pict>
            <v:shape id="AutoShape 2" o:spid="_x0000_s1026" o:spt="176" type="#_x0000_t176" style="position:absolute;left:0pt;margin-left:530.1pt;margin-top:788.5pt;height:34.75pt;width:40.35pt;mso-position-horizontal-relative:page;mso-position-vertical-relative:page;z-index:251665408;mso-width-relative:page;mso-height-relative:page;" filled="f" stroked="f" coordsize="21600,21600" o:gfxdata="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ZfkZR2wAAAA8BAAAPAAAAAAAAAAEAIAAAACIAAABkcnMvZG93bnJldi54bWxQSwEC&#10;FAAUAAAACACHTuJAAC2NPPEBAADRAwAADgAAAAAAAAABACAAAAAqAQAAZHJzL2Uyb0RvYy54bWxQ&#10;SwUGAAAAAAYABgBZAQAAjQUAAAAA&#10;">
              <v:fill on="f" focussize="0,0"/>
              <v:stroke on="f"/>
              <v:imagedata o:title=""/>
              <o:lock v:ext="edit" aspectratio="f"/>
              <v:textbox>
                <w:txbxContent>
                  <w:p>
                    <w:pPr>
                      <w:pStyle w:val="14"/>
                      <w:pBdr>
                        <w:top w:val="single" w:color="C0CF3A" w:sz="12" w:space="1"/>
                        <w:bottom w:val="single" w:color="C0CF3A" w:sz="48" w:space="1"/>
                      </w:pBdr>
                      <w:jc w:val="center"/>
                      <w:rPr>
                        <w:rFonts w:hint="eastAsia" w:ascii="宋体" w:hAnsi="宋体" w:eastAsia="宋体"/>
                        <w:sz w:val="21"/>
                        <w:szCs w:val="21"/>
                      </w:rPr>
                    </w:pPr>
                    <w:r>
                      <w:rPr>
                        <w:rFonts w:ascii="宋体" w:hAnsi="宋体" w:eastAsia="宋体"/>
                        <w:sz w:val="21"/>
                        <w:szCs w:val="21"/>
                      </w:rPr>
                      <w:fldChar w:fldCharType="begin"/>
                    </w:r>
                    <w:r>
                      <w:rPr>
                        <w:rFonts w:ascii="宋体" w:hAnsi="宋体" w:eastAsia="宋体"/>
                        <w:sz w:val="21"/>
                        <w:szCs w:val="21"/>
                      </w:rPr>
                      <w:instrText xml:space="preserve">PAGE    \* MERGEFORMAT</w:instrText>
                    </w:r>
                    <w:r>
                      <w:rPr>
                        <w:rFonts w:ascii="宋体" w:hAnsi="宋体" w:eastAsia="宋体"/>
                        <w:sz w:val="21"/>
                        <w:szCs w:val="21"/>
                      </w:rPr>
                      <w:fldChar w:fldCharType="separate"/>
                    </w:r>
                    <w:r>
                      <w:rPr>
                        <w:rFonts w:ascii="宋体" w:hAnsi="宋体" w:eastAsia="宋体"/>
                        <w:sz w:val="21"/>
                        <w:szCs w:val="21"/>
                        <w:lang w:val="zh-CN"/>
                      </w:rPr>
                      <w:t>27</w:t>
                    </w:r>
                    <w:r>
                      <w:rPr>
                        <w:rFonts w:ascii="宋体" w:hAnsi="宋体" w:eastAsia="宋体"/>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ascii="宋体" w:hAnsi="宋体" w:eastAsia="宋体"/>
      </w:rPr>
    </w:pPr>
    <w:r>
      <w:rPr>
        <w:rFonts w:hint="eastAsia" w:ascii="宋体" w:hAnsi="宋体" w:eastAsia="宋体"/>
      </w:rPr>
      <w:t>四川长虹集团财务有限公司2</w:t>
    </w:r>
    <w:r>
      <w:rPr>
        <w:rFonts w:ascii="宋体" w:hAnsi="宋体" w:eastAsia="宋体"/>
      </w:rPr>
      <w:t>02</w:t>
    </w:r>
    <w:r>
      <w:rPr>
        <w:rFonts w:hint="eastAsia" w:ascii="宋体" w:hAnsi="宋体" w:eastAsia="宋体"/>
      </w:rPr>
      <w:t>3年度环境信息披露报告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DB6DFB"/>
    <w:multiLevelType w:val="singleLevel"/>
    <w:tmpl w:val="F7DB6DFB"/>
    <w:lvl w:ilvl="0" w:tentative="0">
      <w:start w:val="1"/>
      <w:numFmt w:val="decimal"/>
      <w:lvlText w:val="%1."/>
      <w:lvlJc w:val="left"/>
      <w:pPr>
        <w:ind w:left="425" w:hanging="425"/>
      </w:pPr>
      <w:rPr>
        <w:rFonts w:hint="default"/>
      </w:rPr>
    </w:lvl>
  </w:abstractNum>
  <w:abstractNum w:abstractNumId="1">
    <w:nsid w:val="1C46EFF5"/>
    <w:multiLevelType w:val="singleLevel"/>
    <w:tmpl w:val="1C46EFF5"/>
    <w:lvl w:ilvl="0" w:tentative="0">
      <w:start w:val="1"/>
      <w:numFmt w:val="decimal"/>
      <w:suff w:val="nothing"/>
      <w:lvlText w:val="（%1）"/>
      <w:lvlJc w:val="left"/>
    </w:lvl>
  </w:abstractNum>
  <w:abstractNum w:abstractNumId="2">
    <w:nsid w:val="2BA45D5F"/>
    <w:multiLevelType w:val="multilevel"/>
    <w:tmpl w:val="2BA45D5F"/>
    <w:lvl w:ilvl="0" w:tentative="0">
      <w:start w:val="1"/>
      <w:numFmt w:val="decimal"/>
      <w:lvlText w:val="%1."/>
      <w:lvlJc w:val="left"/>
      <w:pPr>
        <w:ind w:left="360" w:hanging="360"/>
      </w:pPr>
      <w:rPr>
        <w:rFonts w:hint="default"/>
        <w:color w:val="auto"/>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800" w:hanging="1800"/>
      </w:pPr>
      <w:rPr>
        <w:rFonts w:hint="default"/>
      </w:rPr>
    </w:lvl>
    <w:lvl w:ilvl="6" w:tentative="0">
      <w:start w:val="1"/>
      <w:numFmt w:val="decimal"/>
      <w:isLgl/>
      <w:lvlText w:val="%1.%2.%3.%4.%5.%6.%7"/>
      <w:lvlJc w:val="left"/>
      <w:pPr>
        <w:ind w:left="2160" w:hanging="216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520" w:hanging="2520"/>
      </w:pPr>
      <w:rPr>
        <w:rFonts w:hint="default"/>
      </w:rPr>
    </w:lvl>
  </w:abstractNum>
  <w:abstractNum w:abstractNumId="3">
    <w:nsid w:val="2C487486"/>
    <w:multiLevelType w:val="multilevel"/>
    <w:tmpl w:val="2C487486"/>
    <w:lvl w:ilvl="0" w:tentative="0">
      <w:start w:val="1"/>
      <w:numFmt w:val="decimal"/>
      <w:lvlText w:val="%1"/>
      <w:lvlJc w:val="left"/>
      <w:pPr>
        <w:ind w:left="425" w:hanging="425"/>
      </w:pPr>
    </w:lvl>
    <w:lvl w:ilvl="1" w:tentative="0">
      <w:start w:val="1"/>
      <w:numFmt w:val="decimal"/>
      <w:lvlText w:val="%1.%2"/>
      <w:lvlJc w:val="left"/>
      <w:pPr>
        <w:ind w:left="992" w:hanging="567"/>
      </w:pPr>
      <w:rPr>
        <w:i w:val="0"/>
        <w:iCs w:val="0"/>
        <w:color w:val="000000"/>
        <w:sz w:val="28"/>
        <w:szCs w:val="28"/>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
    <w:nsid w:val="329D6B29"/>
    <w:multiLevelType w:val="multilevel"/>
    <w:tmpl w:val="329D6B29"/>
    <w:lvl w:ilvl="0" w:tentative="0">
      <w:start w:val="1"/>
      <w:numFmt w:val="decimal"/>
      <w:lvlText w:val="%1."/>
      <w:lvlJc w:val="left"/>
      <w:pPr>
        <w:ind w:left="200" w:hanging="2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2E83394"/>
    <w:multiLevelType w:val="multilevel"/>
    <w:tmpl w:val="32E8339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44077014"/>
    <w:multiLevelType w:val="multilevel"/>
    <w:tmpl w:val="4407701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66738E71"/>
    <w:multiLevelType w:val="singleLevel"/>
    <w:tmpl w:val="66738E71"/>
    <w:lvl w:ilvl="0" w:tentative="0">
      <w:start w:val="2"/>
      <w:numFmt w:val="decimal"/>
      <w:suff w:val="nothing"/>
      <w:lvlText w:val="（%1）"/>
      <w:lvlJc w:val="left"/>
    </w:lvl>
  </w:abstractNum>
  <w:abstractNum w:abstractNumId="8">
    <w:nsid w:val="743BA6A9"/>
    <w:multiLevelType w:val="singleLevel"/>
    <w:tmpl w:val="743BA6A9"/>
    <w:lvl w:ilvl="0" w:tentative="0">
      <w:start w:val="3"/>
      <w:numFmt w:val="decimal"/>
      <w:lvlText w:val="(%1)"/>
      <w:lvlJc w:val="left"/>
      <w:pPr>
        <w:tabs>
          <w:tab w:val="left" w:pos="312"/>
        </w:tabs>
      </w:pPr>
    </w:lvl>
  </w:abstractNum>
  <w:num w:numId="1">
    <w:abstractNumId w:val="2"/>
  </w:num>
  <w:num w:numId="2">
    <w:abstractNumId w:val="3"/>
  </w:num>
  <w:num w:numId="3">
    <w:abstractNumId w:val="4"/>
  </w:num>
  <w:num w:numId="4">
    <w:abstractNumId w:val="1"/>
  </w:num>
  <w:num w:numId="5">
    <w:abstractNumId w:val="0"/>
  </w:num>
  <w:num w:numId="6">
    <w:abstractNumId w:val="5"/>
  </w:num>
  <w:num w:numId="7">
    <w:abstractNumId w:val="8"/>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noPunctuationKerning w:val="1"/>
  <w:characterSpacingControl w:val="doNotCompress"/>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JkMmE1OTYyMmU3YjdhNWI1NTFjZTUyNzY4ZjRjZjYifQ=="/>
  </w:docVars>
  <w:rsids>
    <w:rsidRoot w:val="00094143"/>
    <w:rsid w:val="000017D4"/>
    <w:rsid w:val="00002CAA"/>
    <w:rsid w:val="00003C1F"/>
    <w:rsid w:val="000073E8"/>
    <w:rsid w:val="00011357"/>
    <w:rsid w:val="00011486"/>
    <w:rsid w:val="000143D1"/>
    <w:rsid w:val="00015EF9"/>
    <w:rsid w:val="00016D98"/>
    <w:rsid w:val="00017354"/>
    <w:rsid w:val="00017672"/>
    <w:rsid w:val="00017A6C"/>
    <w:rsid w:val="00020B49"/>
    <w:rsid w:val="00021B5F"/>
    <w:rsid w:val="000221D9"/>
    <w:rsid w:val="00022C50"/>
    <w:rsid w:val="00023653"/>
    <w:rsid w:val="000239BF"/>
    <w:rsid w:val="00025D17"/>
    <w:rsid w:val="00027FA4"/>
    <w:rsid w:val="0003029D"/>
    <w:rsid w:val="00033FC9"/>
    <w:rsid w:val="00034106"/>
    <w:rsid w:val="000346F3"/>
    <w:rsid w:val="00035292"/>
    <w:rsid w:val="00037118"/>
    <w:rsid w:val="00040D53"/>
    <w:rsid w:val="00040D99"/>
    <w:rsid w:val="0004278E"/>
    <w:rsid w:val="00043E41"/>
    <w:rsid w:val="00043FEA"/>
    <w:rsid w:val="00044E90"/>
    <w:rsid w:val="00046DAF"/>
    <w:rsid w:val="00047B52"/>
    <w:rsid w:val="00052778"/>
    <w:rsid w:val="00053708"/>
    <w:rsid w:val="000565E7"/>
    <w:rsid w:val="00056C10"/>
    <w:rsid w:val="000575EB"/>
    <w:rsid w:val="00060EAB"/>
    <w:rsid w:val="00062CAA"/>
    <w:rsid w:val="00063011"/>
    <w:rsid w:val="00063408"/>
    <w:rsid w:val="00063DCB"/>
    <w:rsid w:val="00065667"/>
    <w:rsid w:val="0007085D"/>
    <w:rsid w:val="0007141F"/>
    <w:rsid w:val="00071453"/>
    <w:rsid w:val="00072B88"/>
    <w:rsid w:val="00073A29"/>
    <w:rsid w:val="00073FF6"/>
    <w:rsid w:val="000744EA"/>
    <w:rsid w:val="00076C5E"/>
    <w:rsid w:val="0008009E"/>
    <w:rsid w:val="00083D24"/>
    <w:rsid w:val="00083FF2"/>
    <w:rsid w:val="000842C8"/>
    <w:rsid w:val="00084A05"/>
    <w:rsid w:val="00085C0F"/>
    <w:rsid w:val="00086061"/>
    <w:rsid w:val="00086F3A"/>
    <w:rsid w:val="0009399C"/>
    <w:rsid w:val="00093E0B"/>
    <w:rsid w:val="00094143"/>
    <w:rsid w:val="00094633"/>
    <w:rsid w:val="000A0618"/>
    <w:rsid w:val="000A1656"/>
    <w:rsid w:val="000A278B"/>
    <w:rsid w:val="000A2869"/>
    <w:rsid w:val="000A33AD"/>
    <w:rsid w:val="000A78AE"/>
    <w:rsid w:val="000B1028"/>
    <w:rsid w:val="000B38CD"/>
    <w:rsid w:val="000B4EE2"/>
    <w:rsid w:val="000B57D6"/>
    <w:rsid w:val="000B6813"/>
    <w:rsid w:val="000B7CF1"/>
    <w:rsid w:val="000C0F02"/>
    <w:rsid w:val="000C1100"/>
    <w:rsid w:val="000C1C79"/>
    <w:rsid w:val="000C60AA"/>
    <w:rsid w:val="000C7349"/>
    <w:rsid w:val="000C7A08"/>
    <w:rsid w:val="000D07EB"/>
    <w:rsid w:val="000D0E7C"/>
    <w:rsid w:val="000D0FE9"/>
    <w:rsid w:val="000D36EE"/>
    <w:rsid w:val="000D51A0"/>
    <w:rsid w:val="000D570B"/>
    <w:rsid w:val="000D60E5"/>
    <w:rsid w:val="000D642C"/>
    <w:rsid w:val="000D6A66"/>
    <w:rsid w:val="000E01A3"/>
    <w:rsid w:val="000E0582"/>
    <w:rsid w:val="000E1DFF"/>
    <w:rsid w:val="000E2716"/>
    <w:rsid w:val="000E3158"/>
    <w:rsid w:val="000E37D0"/>
    <w:rsid w:val="000E5568"/>
    <w:rsid w:val="000E557B"/>
    <w:rsid w:val="000E5C62"/>
    <w:rsid w:val="000E78DE"/>
    <w:rsid w:val="000F2D20"/>
    <w:rsid w:val="000F3E8D"/>
    <w:rsid w:val="000F4483"/>
    <w:rsid w:val="000F48AC"/>
    <w:rsid w:val="000F50CB"/>
    <w:rsid w:val="000F542B"/>
    <w:rsid w:val="000F5F5E"/>
    <w:rsid w:val="000F6190"/>
    <w:rsid w:val="001003C6"/>
    <w:rsid w:val="001004B3"/>
    <w:rsid w:val="00100F02"/>
    <w:rsid w:val="00101B1D"/>
    <w:rsid w:val="00101CB3"/>
    <w:rsid w:val="00103210"/>
    <w:rsid w:val="00107489"/>
    <w:rsid w:val="00107ABE"/>
    <w:rsid w:val="00110AED"/>
    <w:rsid w:val="001116ED"/>
    <w:rsid w:val="00111DD8"/>
    <w:rsid w:val="00112F94"/>
    <w:rsid w:val="00113DA9"/>
    <w:rsid w:val="001142BD"/>
    <w:rsid w:val="00114562"/>
    <w:rsid w:val="00122267"/>
    <w:rsid w:val="00122785"/>
    <w:rsid w:val="00122B1A"/>
    <w:rsid w:val="0012358A"/>
    <w:rsid w:val="00123A95"/>
    <w:rsid w:val="00124064"/>
    <w:rsid w:val="00124113"/>
    <w:rsid w:val="00124B96"/>
    <w:rsid w:val="0012634F"/>
    <w:rsid w:val="0013100A"/>
    <w:rsid w:val="00131376"/>
    <w:rsid w:val="00131B04"/>
    <w:rsid w:val="00137E9E"/>
    <w:rsid w:val="001424E5"/>
    <w:rsid w:val="00146D78"/>
    <w:rsid w:val="0014722F"/>
    <w:rsid w:val="00147805"/>
    <w:rsid w:val="00147D04"/>
    <w:rsid w:val="00152388"/>
    <w:rsid w:val="001551E8"/>
    <w:rsid w:val="001566FE"/>
    <w:rsid w:val="001602DB"/>
    <w:rsid w:val="001614E8"/>
    <w:rsid w:val="00162517"/>
    <w:rsid w:val="00163AC3"/>
    <w:rsid w:val="00164805"/>
    <w:rsid w:val="0016521B"/>
    <w:rsid w:val="00165C71"/>
    <w:rsid w:val="00165E70"/>
    <w:rsid w:val="00173301"/>
    <w:rsid w:val="0017347F"/>
    <w:rsid w:val="00173BF9"/>
    <w:rsid w:val="0017426B"/>
    <w:rsid w:val="00176AE2"/>
    <w:rsid w:val="00181759"/>
    <w:rsid w:val="00181F02"/>
    <w:rsid w:val="001825F0"/>
    <w:rsid w:val="00185A73"/>
    <w:rsid w:val="0018686B"/>
    <w:rsid w:val="00187480"/>
    <w:rsid w:val="001918C6"/>
    <w:rsid w:val="00192779"/>
    <w:rsid w:val="00193613"/>
    <w:rsid w:val="00193C69"/>
    <w:rsid w:val="00193D0F"/>
    <w:rsid w:val="00195327"/>
    <w:rsid w:val="0019678B"/>
    <w:rsid w:val="00196C5A"/>
    <w:rsid w:val="001A040D"/>
    <w:rsid w:val="001A088F"/>
    <w:rsid w:val="001A0C5E"/>
    <w:rsid w:val="001A1F38"/>
    <w:rsid w:val="001A22C9"/>
    <w:rsid w:val="001A3D5C"/>
    <w:rsid w:val="001A4133"/>
    <w:rsid w:val="001A5879"/>
    <w:rsid w:val="001A635E"/>
    <w:rsid w:val="001A7830"/>
    <w:rsid w:val="001B26F0"/>
    <w:rsid w:val="001B40CE"/>
    <w:rsid w:val="001B4385"/>
    <w:rsid w:val="001C0444"/>
    <w:rsid w:val="001C0E6C"/>
    <w:rsid w:val="001C2CD2"/>
    <w:rsid w:val="001C6063"/>
    <w:rsid w:val="001C6CB5"/>
    <w:rsid w:val="001C7061"/>
    <w:rsid w:val="001C7885"/>
    <w:rsid w:val="001C7FAF"/>
    <w:rsid w:val="001D02C0"/>
    <w:rsid w:val="001D02DC"/>
    <w:rsid w:val="001D0D36"/>
    <w:rsid w:val="001D13A0"/>
    <w:rsid w:val="001D13C7"/>
    <w:rsid w:val="001D255B"/>
    <w:rsid w:val="001D47D2"/>
    <w:rsid w:val="001D7939"/>
    <w:rsid w:val="001E0AAC"/>
    <w:rsid w:val="001E0E67"/>
    <w:rsid w:val="001E0E85"/>
    <w:rsid w:val="001E298E"/>
    <w:rsid w:val="001E3B88"/>
    <w:rsid w:val="001E73A7"/>
    <w:rsid w:val="001E76DF"/>
    <w:rsid w:val="001E79F8"/>
    <w:rsid w:val="001F0B5F"/>
    <w:rsid w:val="001F2FB7"/>
    <w:rsid w:val="001F4AD3"/>
    <w:rsid w:val="001F5874"/>
    <w:rsid w:val="001F5973"/>
    <w:rsid w:val="001F6ABF"/>
    <w:rsid w:val="002028F8"/>
    <w:rsid w:val="00202C78"/>
    <w:rsid w:val="002035C3"/>
    <w:rsid w:val="00203F8D"/>
    <w:rsid w:val="0020535F"/>
    <w:rsid w:val="00210524"/>
    <w:rsid w:val="00211A67"/>
    <w:rsid w:val="00211E5E"/>
    <w:rsid w:val="002121A9"/>
    <w:rsid w:val="00215E70"/>
    <w:rsid w:val="002202F2"/>
    <w:rsid w:val="0022056E"/>
    <w:rsid w:val="0022162B"/>
    <w:rsid w:val="00221E34"/>
    <w:rsid w:val="00222A5B"/>
    <w:rsid w:val="00223566"/>
    <w:rsid w:val="0022384C"/>
    <w:rsid w:val="00224E98"/>
    <w:rsid w:val="00225095"/>
    <w:rsid w:val="00225168"/>
    <w:rsid w:val="0022537E"/>
    <w:rsid w:val="00225543"/>
    <w:rsid w:val="00226E11"/>
    <w:rsid w:val="002277E7"/>
    <w:rsid w:val="00231944"/>
    <w:rsid w:val="00231D0E"/>
    <w:rsid w:val="00232CDD"/>
    <w:rsid w:val="0023302E"/>
    <w:rsid w:val="00234C16"/>
    <w:rsid w:val="0023526B"/>
    <w:rsid w:val="002353B1"/>
    <w:rsid w:val="00235F02"/>
    <w:rsid w:val="00235F7F"/>
    <w:rsid w:val="00237439"/>
    <w:rsid w:val="002415CC"/>
    <w:rsid w:val="00241D9C"/>
    <w:rsid w:val="00242159"/>
    <w:rsid w:val="00244102"/>
    <w:rsid w:val="002454A4"/>
    <w:rsid w:val="0024760A"/>
    <w:rsid w:val="00251BED"/>
    <w:rsid w:val="00252E4C"/>
    <w:rsid w:val="00253058"/>
    <w:rsid w:val="00255388"/>
    <w:rsid w:val="0025556C"/>
    <w:rsid w:val="00260603"/>
    <w:rsid w:val="0026172C"/>
    <w:rsid w:val="002706B0"/>
    <w:rsid w:val="00271EBF"/>
    <w:rsid w:val="00271FEC"/>
    <w:rsid w:val="00273075"/>
    <w:rsid w:val="00273362"/>
    <w:rsid w:val="002739B8"/>
    <w:rsid w:val="002754EA"/>
    <w:rsid w:val="00276848"/>
    <w:rsid w:val="00276D6E"/>
    <w:rsid w:val="0028150B"/>
    <w:rsid w:val="00281C7B"/>
    <w:rsid w:val="00286A95"/>
    <w:rsid w:val="00287DB5"/>
    <w:rsid w:val="00291390"/>
    <w:rsid w:val="00291486"/>
    <w:rsid w:val="0029264E"/>
    <w:rsid w:val="002937A2"/>
    <w:rsid w:val="00293852"/>
    <w:rsid w:val="00293CEA"/>
    <w:rsid w:val="0029543C"/>
    <w:rsid w:val="00296FE2"/>
    <w:rsid w:val="002A1C40"/>
    <w:rsid w:val="002A3392"/>
    <w:rsid w:val="002A397B"/>
    <w:rsid w:val="002A399A"/>
    <w:rsid w:val="002A43CE"/>
    <w:rsid w:val="002A6DB1"/>
    <w:rsid w:val="002A6FA4"/>
    <w:rsid w:val="002A7CD8"/>
    <w:rsid w:val="002B06F6"/>
    <w:rsid w:val="002B1374"/>
    <w:rsid w:val="002B1662"/>
    <w:rsid w:val="002B1975"/>
    <w:rsid w:val="002B2822"/>
    <w:rsid w:val="002B441B"/>
    <w:rsid w:val="002B5BD0"/>
    <w:rsid w:val="002B6C9C"/>
    <w:rsid w:val="002C10B8"/>
    <w:rsid w:val="002C1672"/>
    <w:rsid w:val="002C1B6D"/>
    <w:rsid w:val="002D0E7F"/>
    <w:rsid w:val="002D14F2"/>
    <w:rsid w:val="002D42A7"/>
    <w:rsid w:val="002D7196"/>
    <w:rsid w:val="002D72C7"/>
    <w:rsid w:val="002E174C"/>
    <w:rsid w:val="002E3757"/>
    <w:rsid w:val="002E5993"/>
    <w:rsid w:val="002F1D1D"/>
    <w:rsid w:val="002F48DD"/>
    <w:rsid w:val="002F5E08"/>
    <w:rsid w:val="00304849"/>
    <w:rsid w:val="00304B88"/>
    <w:rsid w:val="0030584C"/>
    <w:rsid w:val="003070D5"/>
    <w:rsid w:val="00310D54"/>
    <w:rsid w:val="0031396E"/>
    <w:rsid w:val="003209C8"/>
    <w:rsid w:val="00320E51"/>
    <w:rsid w:val="0032116B"/>
    <w:rsid w:val="00322B90"/>
    <w:rsid w:val="003231D9"/>
    <w:rsid w:val="003232E7"/>
    <w:rsid w:val="00323F6F"/>
    <w:rsid w:val="003243B5"/>
    <w:rsid w:val="00324541"/>
    <w:rsid w:val="00324B45"/>
    <w:rsid w:val="00324E8A"/>
    <w:rsid w:val="00326947"/>
    <w:rsid w:val="00331F1F"/>
    <w:rsid w:val="0033241D"/>
    <w:rsid w:val="0033310D"/>
    <w:rsid w:val="00333F67"/>
    <w:rsid w:val="00337062"/>
    <w:rsid w:val="00337BA1"/>
    <w:rsid w:val="00337ECE"/>
    <w:rsid w:val="00341CCC"/>
    <w:rsid w:val="003434C7"/>
    <w:rsid w:val="00344E8A"/>
    <w:rsid w:val="00346538"/>
    <w:rsid w:val="00347E59"/>
    <w:rsid w:val="003522CE"/>
    <w:rsid w:val="00353954"/>
    <w:rsid w:val="00360D92"/>
    <w:rsid w:val="00361053"/>
    <w:rsid w:val="003618FB"/>
    <w:rsid w:val="00362A45"/>
    <w:rsid w:val="00365804"/>
    <w:rsid w:val="00372360"/>
    <w:rsid w:val="00373BC8"/>
    <w:rsid w:val="00374585"/>
    <w:rsid w:val="00375206"/>
    <w:rsid w:val="00376318"/>
    <w:rsid w:val="003768C2"/>
    <w:rsid w:val="00376BE4"/>
    <w:rsid w:val="00383DE3"/>
    <w:rsid w:val="00384993"/>
    <w:rsid w:val="003928BA"/>
    <w:rsid w:val="00392A68"/>
    <w:rsid w:val="00395FC5"/>
    <w:rsid w:val="003A11AD"/>
    <w:rsid w:val="003A14A5"/>
    <w:rsid w:val="003A3EA2"/>
    <w:rsid w:val="003A4D67"/>
    <w:rsid w:val="003A5C1B"/>
    <w:rsid w:val="003B14E7"/>
    <w:rsid w:val="003B252D"/>
    <w:rsid w:val="003B3514"/>
    <w:rsid w:val="003B41E7"/>
    <w:rsid w:val="003B6EF1"/>
    <w:rsid w:val="003C1145"/>
    <w:rsid w:val="003C1EDA"/>
    <w:rsid w:val="003C269E"/>
    <w:rsid w:val="003C2AD4"/>
    <w:rsid w:val="003C46C6"/>
    <w:rsid w:val="003C4869"/>
    <w:rsid w:val="003C61DB"/>
    <w:rsid w:val="003C7A8E"/>
    <w:rsid w:val="003D04BA"/>
    <w:rsid w:val="003D17AE"/>
    <w:rsid w:val="003D1CEA"/>
    <w:rsid w:val="003D2B2F"/>
    <w:rsid w:val="003D4DB6"/>
    <w:rsid w:val="003D625A"/>
    <w:rsid w:val="003D6B2A"/>
    <w:rsid w:val="003E0003"/>
    <w:rsid w:val="003E0E93"/>
    <w:rsid w:val="003E1237"/>
    <w:rsid w:val="003E2AFA"/>
    <w:rsid w:val="003E38AF"/>
    <w:rsid w:val="003E3E53"/>
    <w:rsid w:val="003E4486"/>
    <w:rsid w:val="003E7A16"/>
    <w:rsid w:val="003E7D82"/>
    <w:rsid w:val="003F0670"/>
    <w:rsid w:val="003F07ED"/>
    <w:rsid w:val="003F137B"/>
    <w:rsid w:val="003F1883"/>
    <w:rsid w:val="003F2A08"/>
    <w:rsid w:val="003F5650"/>
    <w:rsid w:val="003F6D6A"/>
    <w:rsid w:val="003F7103"/>
    <w:rsid w:val="004008A9"/>
    <w:rsid w:val="00401BD9"/>
    <w:rsid w:val="00402666"/>
    <w:rsid w:val="00404031"/>
    <w:rsid w:val="00407222"/>
    <w:rsid w:val="0041099C"/>
    <w:rsid w:val="00415D6D"/>
    <w:rsid w:val="00416142"/>
    <w:rsid w:val="004165A6"/>
    <w:rsid w:val="00416954"/>
    <w:rsid w:val="00417CF2"/>
    <w:rsid w:val="0042072C"/>
    <w:rsid w:val="004226AE"/>
    <w:rsid w:val="00422D13"/>
    <w:rsid w:val="00423AF7"/>
    <w:rsid w:val="00424717"/>
    <w:rsid w:val="00425A92"/>
    <w:rsid w:val="0042655B"/>
    <w:rsid w:val="00427FBB"/>
    <w:rsid w:val="004313E0"/>
    <w:rsid w:val="004331E9"/>
    <w:rsid w:val="00433207"/>
    <w:rsid w:val="0043626E"/>
    <w:rsid w:val="004407F7"/>
    <w:rsid w:val="0044175D"/>
    <w:rsid w:val="004418C2"/>
    <w:rsid w:val="00441D40"/>
    <w:rsid w:val="004420A5"/>
    <w:rsid w:val="0044461C"/>
    <w:rsid w:val="00444A4D"/>
    <w:rsid w:val="00447365"/>
    <w:rsid w:val="004511CC"/>
    <w:rsid w:val="00451B1C"/>
    <w:rsid w:val="00456DE8"/>
    <w:rsid w:val="00457F81"/>
    <w:rsid w:val="00463A93"/>
    <w:rsid w:val="00464E96"/>
    <w:rsid w:val="0046618E"/>
    <w:rsid w:val="004714CF"/>
    <w:rsid w:val="004719C0"/>
    <w:rsid w:val="004728A0"/>
    <w:rsid w:val="00472A8C"/>
    <w:rsid w:val="00473534"/>
    <w:rsid w:val="004738F8"/>
    <w:rsid w:val="00473FE8"/>
    <w:rsid w:val="004745DD"/>
    <w:rsid w:val="00474E0D"/>
    <w:rsid w:val="00475D6B"/>
    <w:rsid w:val="00475EF6"/>
    <w:rsid w:val="00476F07"/>
    <w:rsid w:val="00477501"/>
    <w:rsid w:val="004778FF"/>
    <w:rsid w:val="00480821"/>
    <w:rsid w:val="00481AD8"/>
    <w:rsid w:val="0048508D"/>
    <w:rsid w:val="004854D7"/>
    <w:rsid w:val="0048646D"/>
    <w:rsid w:val="0048682D"/>
    <w:rsid w:val="00486AE6"/>
    <w:rsid w:val="00487A44"/>
    <w:rsid w:val="00491599"/>
    <w:rsid w:val="00492767"/>
    <w:rsid w:val="0049277C"/>
    <w:rsid w:val="00494103"/>
    <w:rsid w:val="00496AD4"/>
    <w:rsid w:val="00497148"/>
    <w:rsid w:val="00497209"/>
    <w:rsid w:val="004A0476"/>
    <w:rsid w:val="004A1503"/>
    <w:rsid w:val="004A485E"/>
    <w:rsid w:val="004A4A17"/>
    <w:rsid w:val="004A4A87"/>
    <w:rsid w:val="004A579B"/>
    <w:rsid w:val="004B0390"/>
    <w:rsid w:val="004B2D5D"/>
    <w:rsid w:val="004B4361"/>
    <w:rsid w:val="004B4547"/>
    <w:rsid w:val="004B4A45"/>
    <w:rsid w:val="004B5C07"/>
    <w:rsid w:val="004C0757"/>
    <w:rsid w:val="004C0E84"/>
    <w:rsid w:val="004C0F86"/>
    <w:rsid w:val="004C18AA"/>
    <w:rsid w:val="004C1BF7"/>
    <w:rsid w:val="004C1C8D"/>
    <w:rsid w:val="004C216F"/>
    <w:rsid w:val="004C3184"/>
    <w:rsid w:val="004C55F5"/>
    <w:rsid w:val="004C7569"/>
    <w:rsid w:val="004D0D40"/>
    <w:rsid w:val="004D14D7"/>
    <w:rsid w:val="004D32AE"/>
    <w:rsid w:val="004D41EE"/>
    <w:rsid w:val="004D4CEB"/>
    <w:rsid w:val="004D504F"/>
    <w:rsid w:val="004E6769"/>
    <w:rsid w:val="004E7580"/>
    <w:rsid w:val="004E78C2"/>
    <w:rsid w:val="004F0478"/>
    <w:rsid w:val="004F0CF7"/>
    <w:rsid w:val="004F2815"/>
    <w:rsid w:val="004F49A7"/>
    <w:rsid w:val="004F5484"/>
    <w:rsid w:val="004F5553"/>
    <w:rsid w:val="004F678C"/>
    <w:rsid w:val="005016F9"/>
    <w:rsid w:val="00501DA1"/>
    <w:rsid w:val="00502477"/>
    <w:rsid w:val="005029EE"/>
    <w:rsid w:val="005039D2"/>
    <w:rsid w:val="00504DE2"/>
    <w:rsid w:val="00506D17"/>
    <w:rsid w:val="00506EFB"/>
    <w:rsid w:val="0050732D"/>
    <w:rsid w:val="00507838"/>
    <w:rsid w:val="00511861"/>
    <w:rsid w:val="00511C86"/>
    <w:rsid w:val="00512A58"/>
    <w:rsid w:val="00514192"/>
    <w:rsid w:val="005145CC"/>
    <w:rsid w:val="00515446"/>
    <w:rsid w:val="00515651"/>
    <w:rsid w:val="0051772D"/>
    <w:rsid w:val="00520242"/>
    <w:rsid w:val="00521EE6"/>
    <w:rsid w:val="005226BB"/>
    <w:rsid w:val="0052522A"/>
    <w:rsid w:val="0052639B"/>
    <w:rsid w:val="00526759"/>
    <w:rsid w:val="00527C26"/>
    <w:rsid w:val="00531A00"/>
    <w:rsid w:val="00536433"/>
    <w:rsid w:val="00537730"/>
    <w:rsid w:val="005377EC"/>
    <w:rsid w:val="00537EFB"/>
    <w:rsid w:val="005415F1"/>
    <w:rsid w:val="0054209E"/>
    <w:rsid w:val="00542ED5"/>
    <w:rsid w:val="00545DDD"/>
    <w:rsid w:val="00547584"/>
    <w:rsid w:val="00547893"/>
    <w:rsid w:val="005478A6"/>
    <w:rsid w:val="00547F51"/>
    <w:rsid w:val="00550FEC"/>
    <w:rsid w:val="00551D26"/>
    <w:rsid w:val="00551EF8"/>
    <w:rsid w:val="00553B98"/>
    <w:rsid w:val="0055504E"/>
    <w:rsid w:val="00556A13"/>
    <w:rsid w:val="00556BE2"/>
    <w:rsid w:val="00560F82"/>
    <w:rsid w:val="005612B7"/>
    <w:rsid w:val="00561C17"/>
    <w:rsid w:val="00562265"/>
    <w:rsid w:val="005622C6"/>
    <w:rsid w:val="00563E0A"/>
    <w:rsid w:val="00564021"/>
    <w:rsid w:val="00565FF0"/>
    <w:rsid w:val="00570663"/>
    <w:rsid w:val="00571FC0"/>
    <w:rsid w:val="005729B9"/>
    <w:rsid w:val="00573CD2"/>
    <w:rsid w:val="005749F3"/>
    <w:rsid w:val="00575B0E"/>
    <w:rsid w:val="00576A1A"/>
    <w:rsid w:val="00580CCC"/>
    <w:rsid w:val="00581A3B"/>
    <w:rsid w:val="0058231F"/>
    <w:rsid w:val="005836D7"/>
    <w:rsid w:val="00583D2C"/>
    <w:rsid w:val="00585143"/>
    <w:rsid w:val="0058576A"/>
    <w:rsid w:val="00590787"/>
    <w:rsid w:val="005917D8"/>
    <w:rsid w:val="005928CA"/>
    <w:rsid w:val="00593472"/>
    <w:rsid w:val="005953FC"/>
    <w:rsid w:val="00595C39"/>
    <w:rsid w:val="005A0E35"/>
    <w:rsid w:val="005A1829"/>
    <w:rsid w:val="005A3F0E"/>
    <w:rsid w:val="005A42F0"/>
    <w:rsid w:val="005A61EF"/>
    <w:rsid w:val="005A6467"/>
    <w:rsid w:val="005A75EE"/>
    <w:rsid w:val="005B0C8E"/>
    <w:rsid w:val="005B3411"/>
    <w:rsid w:val="005B3DD2"/>
    <w:rsid w:val="005B4C16"/>
    <w:rsid w:val="005B5250"/>
    <w:rsid w:val="005B5916"/>
    <w:rsid w:val="005B61F1"/>
    <w:rsid w:val="005C26C3"/>
    <w:rsid w:val="005C77E4"/>
    <w:rsid w:val="005D0212"/>
    <w:rsid w:val="005D06F8"/>
    <w:rsid w:val="005D0744"/>
    <w:rsid w:val="005D0ED6"/>
    <w:rsid w:val="005D323B"/>
    <w:rsid w:val="005D338F"/>
    <w:rsid w:val="005D3584"/>
    <w:rsid w:val="005D4ECE"/>
    <w:rsid w:val="005D54DE"/>
    <w:rsid w:val="005D556F"/>
    <w:rsid w:val="005E0C02"/>
    <w:rsid w:val="005E155B"/>
    <w:rsid w:val="005E22E3"/>
    <w:rsid w:val="005E22F9"/>
    <w:rsid w:val="005E291E"/>
    <w:rsid w:val="005E32EC"/>
    <w:rsid w:val="005E3508"/>
    <w:rsid w:val="005E6C34"/>
    <w:rsid w:val="005E7179"/>
    <w:rsid w:val="005F0E98"/>
    <w:rsid w:val="005F3EB0"/>
    <w:rsid w:val="005F4B20"/>
    <w:rsid w:val="005F4D33"/>
    <w:rsid w:val="005F665F"/>
    <w:rsid w:val="005F728A"/>
    <w:rsid w:val="005F7F3B"/>
    <w:rsid w:val="00600452"/>
    <w:rsid w:val="006005B2"/>
    <w:rsid w:val="0060112E"/>
    <w:rsid w:val="0060134F"/>
    <w:rsid w:val="00601983"/>
    <w:rsid w:val="0060455E"/>
    <w:rsid w:val="00605517"/>
    <w:rsid w:val="006067D0"/>
    <w:rsid w:val="00606B45"/>
    <w:rsid w:val="00610364"/>
    <w:rsid w:val="00611D9A"/>
    <w:rsid w:val="00617BBF"/>
    <w:rsid w:val="00617F09"/>
    <w:rsid w:val="00620DBE"/>
    <w:rsid w:val="00621566"/>
    <w:rsid w:val="006272B1"/>
    <w:rsid w:val="00627C63"/>
    <w:rsid w:val="0063282A"/>
    <w:rsid w:val="0063345B"/>
    <w:rsid w:val="00636F6F"/>
    <w:rsid w:val="006400B4"/>
    <w:rsid w:val="00640BD1"/>
    <w:rsid w:val="00641997"/>
    <w:rsid w:val="006419A7"/>
    <w:rsid w:val="00643C46"/>
    <w:rsid w:val="0064407F"/>
    <w:rsid w:val="006458DA"/>
    <w:rsid w:val="00651073"/>
    <w:rsid w:val="00652F6D"/>
    <w:rsid w:val="00653097"/>
    <w:rsid w:val="00657BD7"/>
    <w:rsid w:val="00660E2F"/>
    <w:rsid w:val="0066298A"/>
    <w:rsid w:val="00662CFC"/>
    <w:rsid w:val="0066435E"/>
    <w:rsid w:val="00664653"/>
    <w:rsid w:val="006654B8"/>
    <w:rsid w:val="00665F55"/>
    <w:rsid w:val="006664EB"/>
    <w:rsid w:val="006678FE"/>
    <w:rsid w:val="006708B3"/>
    <w:rsid w:val="00672CBC"/>
    <w:rsid w:val="00673720"/>
    <w:rsid w:val="00673C28"/>
    <w:rsid w:val="00675528"/>
    <w:rsid w:val="00676419"/>
    <w:rsid w:val="006778CF"/>
    <w:rsid w:val="0068594F"/>
    <w:rsid w:val="00691C02"/>
    <w:rsid w:val="00691C5E"/>
    <w:rsid w:val="006926A7"/>
    <w:rsid w:val="00693787"/>
    <w:rsid w:val="006946C6"/>
    <w:rsid w:val="00694818"/>
    <w:rsid w:val="00697341"/>
    <w:rsid w:val="006A0ECA"/>
    <w:rsid w:val="006A1829"/>
    <w:rsid w:val="006A1E5E"/>
    <w:rsid w:val="006A308D"/>
    <w:rsid w:val="006A325C"/>
    <w:rsid w:val="006A39B2"/>
    <w:rsid w:val="006A3C86"/>
    <w:rsid w:val="006A49BE"/>
    <w:rsid w:val="006A4C85"/>
    <w:rsid w:val="006A4C99"/>
    <w:rsid w:val="006A51BB"/>
    <w:rsid w:val="006A5216"/>
    <w:rsid w:val="006A7F14"/>
    <w:rsid w:val="006B0176"/>
    <w:rsid w:val="006B020C"/>
    <w:rsid w:val="006B03FB"/>
    <w:rsid w:val="006B117A"/>
    <w:rsid w:val="006B1530"/>
    <w:rsid w:val="006B62B3"/>
    <w:rsid w:val="006C51E6"/>
    <w:rsid w:val="006C5A89"/>
    <w:rsid w:val="006C70A3"/>
    <w:rsid w:val="006C7AF1"/>
    <w:rsid w:val="006D1C59"/>
    <w:rsid w:val="006D27BE"/>
    <w:rsid w:val="006D2896"/>
    <w:rsid w:val="006D2968"/>
    <w:rsid w:val="006D2A05"/>
    <w:rsid w:val="006D35F9"/>
    <w:rsid w:val="006D3CAE"/>
    <w:rsid w:val="006D3E89"/>
    <w:rsid w:val="006D4A78"/>
    <w:rsid w:val="006D4CBE"/>
    <w:rsid w:val="006D58D7"/>
    <w:rsid w:val="006D6494"/>
    <w:rsid w:val="006D6B57"/>
    <w:rsid w:val="006D71DF"/>
    <w:rsid w:val="006D74BE"/>
    <w:rsid w:val="006D7C20"/>
    <w:rsid w:val="006E0C01"/>
    <w:rsid w:val="006E483E"/>
    <w:rsid w:val="006E53F5"/>
    <w:rsid w:val="006E54E7"/>
    <w:rsid w:val="006E64C6"/>
    <w:rsid w:val="006F4022"/>
    <w:rsid w:val="006F4F9D"/>
    <w:rsid w:val="006F5073"/>
    <w:rsid w:val="006F51EC"/>
    <w:rsid w:val="006F5DD0"/>
    <w:rsid w:val="006F5E7E"/>
    <w:rsid w:val="006F62A9"/>
    <w:rsid w:val="006F6E77"/>
    <w:rsid w:val="006F7384"/>
    <w:rsid w:val="007016E0"/>
    <w:rsid w:val="00703698"/>
    <w:rsid w:val="007040C3"/>
    <w:rsid w:val="007075C2"/>
    <w:rsid w:val="00710224"/>
    <w:rsid w:val="00710458"/>
    <w:rsid w:val="00710E1D"/>
    <w:rsid w:val="007117BC"/>
    <w:rsid w:val="00712255"/>
    <w:rsid w:val="00713278"/>
    <w:rsid w:val="00714002"/>
    <w:rsid w:val="00720372"/>
    <w:rsid w:val="0072099F"/>
    <w:rsid w:val="00720ED5"/>
    <w:rsid w:val="00724EE8"/>
    <w:rsid w:val="007250F5"/>
    <w:rsid w:val="00725880"/>
    <w:rsid w:val="00730070"/>
    <w:rsid w:val="00730129"/>
    <w:rsid w:val="007305DB"/>
    <w:rsid w:val="00731007"/>
    <w:rsid w:val="00734302"/>
    <w:rsid w:val="00735743"/>
    <w:rsid w:val="0073683A"/>
    <w:rsid w:val="00740D21"/>
    <w:rsid w:val="00740FD3"/>
    <w:rsid w:val="007422CE"/>
    <w:rsid w:val="0074411A"/>
    <w:rsid w:val="0074588D"/>
    <w:rsid w:val="0074628E"/>
    <w:rsid w:val="0074694A"/>
    <w:rsid w:val="00747A24"/>
    <w:rsid w:val="00751AFC"/>
    <w:rsid w:val="00753DCF"/>
    <w:rsid w:val="00755696"/>
    <w:rsid w:val="00755A52"/>
    <w:rsid w:val="0075617A"/>
    <w:rsid w:val="007569CC"/>
    <w:rsid w:val="00760C43"/>
    <w:rsid w:val="00761CE9"/>
    <w:rsid w:val="007621E7"/>
    <w:rsid w:val="00762B87"/>
    <w:rsid w:val="00762F75"/>
    <w:rsid w:val="00764153"/>
    <w:rsid w:val="00764645"/>
    <w:rsid w:val="00765B3D"/>
    <w:rsid w:val="0077064E"/>
    <w:rsid w:val="00770E23"/>
    <w:rsid w:val="007721A2"/>
    <w:rsid w:val="00772B03"/>
    <w:rsid w:val="00772E41"/>
    <w:rsid w:val="00777FC8"/>
    <w:rsid w:val="00781244"/>
    <w:rsid w:val="007862D5"/>
    <w:rsid w:val="00787686"/>
    <w:rsid w:val="00790A15"/>
    <w:rsid w:val="0079163C"/>
    <w:rsid w:val="007919D2"/>
    <w:rsid w:val="00792CDC"/>
    <w:rsid w:val="00793FE5"/>
    <w:rsid w:val="007A2BA0"/>
    <w:rsid w:val="007A3177"/>
    <w:rsid w:val="007A3BB1"/>
    <w:rsid w:val="007A5DDE"/>
    <w:rsid w:val="007A6237"/>
    <w:rsid w:val="007A6E4A"/>
    <w:rsid w:val="007A7291"/>
    <w:rsid w:val="007B0362"/>
    <w:rsid w:val="007B1F86"/>
    <w:rsid w:val="007B2BB7"/>
    <w:rsid w:val="007B31ED"/>
    <w:rsid w:val="007C277E"/>
    <w:rsid w:val="007C3405"/>
    <w:rsid w:val="007C3C0F"/>
    <w:rsid w:val="007C3EDC"/>
    <w:rsid w:val="007C4D22"/>
    <w:rsid w:val="007C6C03"/>
    <w:rsid w:val="007C7EDF"/>
    <w:rsid w:val="007D0188"/>
    <w:rsid w:val="007D0955"/>
    <w:rsid w:val="007D3C14"/>
    <w:rsid w:val="007D51BC"/>
    <w:rsid w:val="007D6AFE"/>
    <w:rsid w:val="007D782D"/>
    <w:rsid w:val="007E114B"/>
    <w:rsid w:val="007E2410"/>
    <w:rsid w:val="007E292E"/>
    <w:rsid w:val="007E3A5B"/>
    <w:rsid w:val="007E3B17"/>
    <w:rsid w:val="007E5A30"/>
    <w:rsid w:val="007E5F05"/>
    <w:rsid w:val="007E76E2"/>
    <w:rsid w:val="007F233E"/>
    <w:rsid w:val="0080169F"/>
    <w:rsid w:val="0080222E"/>
    <w:rsid w:val="00802D7D"/>
    <w:rsid w:val="008037B2"/>
    <w:rsid w:val="00804863"/>
    <w:rsid w:val="008056E3"/>
    <w:rsid w:val="00810DF8"/>
    <w:rsid w:val="0081362E"/>
    <w:rsid w:val="00815684"/>
    <w:rsid w:val="008162F6"/>
    <w:rsid w:val="008200A4"/>
    <w:rsid w:val="00820823"/>
    <w:rsid w:val="00822E24"/>
    <w:rsid w:val="00824B85"/>
    <w:rsid w:val="00832807"/>
    <w:rsid w:val="008331E2"/>
    <w:rsid w:val="00833836"/>
    <w:rsid w:val="00836E62"/>
    <w:rsid w:val="00837F7B"/>
    <w:rsid w:val="00843C98"/>
    <w:rsid w:val="00843DB8"/>
    <w:rsid w:val="00845551"/>
    <w:rsid w:val="00846D94"/>
    <w:rsid w:val="00847A5D"/>
    <w:rsid w:val="00850CC9"/>
    <w:rsid w:val="00850DE6"/>
    <w:rsid w:val="00851A48"/>
    <w:rsid w:val="00852EB6"/>
    <w:rsid w:val="00852F81"/>
    <w:rsid w:val="00855F42"/>
    <w:rsid w:val="00856BE3"/>
    <w:rsid w:val="008622E5"/>
    <w:rsid w:val="008638CA"/>
    <w:rsid w:val="008644B6"/>
    <w:rsid w:val="00864814"/>
    <w:rsid w:val="00866CF9"/>
    <w:rsid w:val="00870B48"/>
    <w:rsid w:val="00872EAC"/>
    <w:rsid w:val="0087347C"/>
    <w:rsid w:val="0087448C"/>
    <w:rsid w:val="00874952"/>
    <w:rsid w:val="00874EB8"/>
    <w:rsid w:val="00875405"/>
    <w:rsid w:val="00875994"/>
    <w:rsid w:val="00880521"/>
    <w:rsid w:val="00880D3D"/>
    <w:rsid w:val="00880DAD"/>
    <w:rsid w:val="00882002"/>
    <w:rsid w:val="008827E1"/>
    <w:rsid w:val="008828A3"/>
    <w:rsid w:val="00884C87"/>
    <w:rsid w:val="008879E4"/>
    <w:rsid w:val="00891192"/>
    <w:rsid w:val="0089291C"/>
    <w:rsid w:val="00895ED8"/>
    <w:rsid w:val="00896108"/>
    <w:rsid w:val="00896655"/>
    <w:rsid w:val="00897009"/>
    <w:rsid w:val="00897A11"/>
    <w:rsid w:val="008A2858"/>
    <w:rsid w:val="008A355D"/>
    <w:rsid w:val="008A506B"/>
    <w:rsid w:val="008B0D3D"/>
    <w:rsid w:val="008B189B"/>
    <w:rsid w:val="008B20E2"/>
    <w:rsid w:val="008B2644"/>
    <w:rsid w:val="008B2DCB"/>
    <w:rsid w:val="008C0F6B"/>
    <w:rsid w:val="008C2FB6"/>
    <w:rsid w:val="008C3365"/>
    <w:rsid w:val="008C36C5"/>
    <w:rsid w:val="008C6661"/>
    <w:rsid w:val="008C680C"/>
    <w:rsid w:val="008C6DB9"/>
    <w:rsid w:val="008C7F3E"/>
    <w:rsid w:val="008D0187"/>
    <w:rsid w:val="008D0771"/>
    <w:rsid w:val="008D217E"/>
    <w:rsid w:val="008D44DD"/>
    <w:rsid w:val="008D4C6D"/>
    <w:rsid w:val="008D5C63"/>
    <w:rsid w:val="008D5F4C"/>
    <w:rsid w:val="008E34BF"/>
    <w:rsid w:val="008E514E"/>
    <w:rsid w:val="008E5BC4"/>
    <w:rsid w:val="008E7102"/>
    <w:rsid w:val="008F01D5"/>
    <w:rsid w:val="008F06D4"/>
    <w:rsid w:val="008F07A8"/>
    <w:rsid w:val="008F14EB"/>
    <w:rsid w:val="008F323B"/>
    <w:rsid w:val="008F530F"/>
    <w:rsid w:val="008F5783"/>
    <w:rsid w:val="008F5D8E"/>
    <w:rsid w:val="008F5F9F"/>
    <w:rsid w:val="0090257D"/>
    <w:rsid w:val="00903A45"/>
    <w:rsid w:val="00904070"/>
    <w:rsid w:val="0090446D"/>
    <w:rsid w:val="009116C7"/>
    <w:rsid w:val="0091200C"/>
    <w:rsid w:val="0092042F"/>
    <w:rsid w:val="009205F7"/>
    <w:rsid w:val="00922851"/>
    <w:rsid w:val="0092390C"/>
    <w:rsid w:val="00923A63"/>
    <w:rsid w:val="00923E73"/>
    <w:rsid w:val="0092452C"/>
    <w:rsid w:val="009245A9"/>
    <w:rsid w:val="009254FA"/>
    <w:rsid w:val="00925BE7"/>
    <w:rsid w:val="00927A22"/>
    <w:rsid w:val="009300B8"/>
    <w:rsid w:val="009309D0"/>
    <w:rsid w:val="0093417D"/>
    <w:rsid w:val="0093476D"/>
    <w:rsid w:val="00935A4C"/>
    <w:rsid w:val="009363E2"/>
    <w:rsid w:val="00936D42"/>
    <w:rsid w:val="00940DD8"/>
    <w:rsid w:val="009447E7"/>
    <w:rsid w:val="00946788"/>
    <w:rsid w:val="00946D9E"/>
    <w:rsid w:val="00946DE5"/>
    <w:rsid w:val="00950444"/>
    <w:rsid w:val="00956154"/>
    <w:rsid w:val="00956630"/>
    <w:rsid w:val="009569E5"/>
    <w:rsid w:val="00956C3A"/>
    <w:rsid w:val="00960659"/>
    <w:rsid w:val="00961097"/>
    <w:rsid w:val="00961B1A"/>
    <w:rsid w:val="00963C01"/>
    <w:rsid w:val="009648EE"/>
    <w:rsid w:val="00966091"/>
    <w:rsid w:val="00967126"/>
    <w:rsid w:val="0096740B"/>
    <w:rsid w:val="00970551"/>
    <w:rsid w:val="009711A3"/>
    <w:rsid w:val="00972073"/>
    <w:rsid w:val="009723CD"/>
    <w:rsid w:val="009738C5"/>
    <w:rsid w:val="00973AD7"/>
    <w:rsid w:val="00974AB0"/>
    <w:rsid w:val="00975931"/>
    <w:rsid w:val="009759E1"/>
    <w:rsid w:val="00976CBB"/>
    <w:rsid w:val="00976DA4"/>
    <w:rsid w:val="009801B1"/>
    <w:rsid w:val="0098041A"/>
    <w:rsid w:val="009814E0"/>
    <w:rsid w:val="00981739"/>
    <w:rsid w:val="00982BAA"/>
    <w:rsid w:val="00984D32"/>
    <w:rsid w:val="0098552B"/>
    <w:rsid w:val="00986373"/>
    <w:rsid w:val="009869C2"/>
    <w:rsid w:val="00986FF8"/>
    <w:rsid w:val="00987969"/>
    <w:rsid w:val="00987CEA"/>
    <w:rsid w:val="00987E52"/>
    <w:rsid w:val="0099184A"/>
    <w:rsid w:val="0099325D"/>
    <w:rsid w:val="009934B2"/>
    <w:rsid w:val="00995724"/>
    <w:rsid w:val="00996487"/>
    <w:rsid w:val="00997C1E"/>
    <w:rsid w:val="009A0389"/>
    <w:rsid w:val="009A07E4"/>
    <w:rsid w:val="009A2101"/>
    <w:rsid w:val="009A2E5F"/>
    <w:rsid w:val="009A7F88"/>
    <w:rsid w:val="009B2CE4"/>
    <w:rsid w:val="009B5BC0"/>
    <w:rsid w:val="009B5CA0"/>
    <w:rsid w:val="009C121B"/>
    <w:rsid w:val="009C131F"/>
    <w:rsid w:val="009C2C98"/>
    <w:rsid w:val="009C59D0"/>
    <w:rsid w:val="009C7A16"/>
    <w:rsid w:val="009C7DF5"/>
    <w:rsid w:val="009D0E08"/>
    <w:rsid w:val="009D0FEC"/>
    <w:rsid w:val="009D1641"/>
    <w:rsid w:val="009E075C"/>
    <w:rsid w:val="009E14A7"/>
    <w:rsid w:val="009E36FE"/>
    <w:rsid w:val="009E39B7"/>
    <w:rsid w:val="009E48C3"/>
    <w:rsid w:val="009E6540"/>
    <w:rsid w:val="009E6F08"/>
    <w:rsid w:val="009F7B42"/>
    <w:rsid w:val="009F7E83"/>
    <w:rsid w:val="00A0023C"/>
    <w:rsid w:val="00A02D8C"/>
    <w:rsid w:val="00A05150"/>
    <w:rsid w:val="00A05374"/>
    <w:rsid w:val="00A05716"/>
    <w:rsid w:val="00A05B09"/>
    <w:rsid w:val="00A05B52"/>
    <w:rsid w:val="00A05F2F"/>
    <w:rsid w:val="00A1267A"/>
    <w:rsid w:val="00A12CC1"/>
    <w:rsid w:val="00A1335E"/>
    <w:rsid w:val="00A138CF"/>
    <w:rsid w:val="00A141C5"/>
    <w:rsid w:val="00A153FE"/>
    <w:rsid w:val="00A21A3E"/>
    <w:rsid w:val="00A22DB6"/>
    <w:rsid w:val="00A24207"/>
    <w:rsid w:val="00A255DC"/>
    <w:rsid w:val="00A26F1B"/>
    <w:rsid w:val="00A30B36"/>
    <w:rsid w:val="00A313F8"/>
    <w:rsid w:val="00A31E5A"/>
    <w:rsid w:val="00A32462"/>
    <w:rsid w:val="00A353A3"/>
    <w:rsid w:val="00A40A99"/>
    <w:rsid w:val="00A40BD7"/>
    <w:rsid w:val="00A42061"/>
    <w:rsid w:val="00A42215"/>
    <w:rsid w:val="00A42D2F"/>
    <w:rsid w:val="00A44426"/>
    <w:rsid w:val="00A44E03"/>
    <w:rsid w:val="00A5180E"/>
    <w:rsid w:val="00A5243D"/>
    <w:rsid w:val="00A54821"/>
    <w:rsid w:val="00A57CC2"/>
    <w:rsid w:val="00A60C6A"/>
    <w:rsid w:val="00A61ED1"/>
    <w:rsid w:val="00A62C6A"/>
    <w:rsid w:val="00A63C25"/>
    <w:rsid w:val="00A64474"/>
    <w:rsid w:val="00A6456A"/>
    <w:rsid w:val="00A6634E"/>
    <w:rsid w:val="00A67649"/>
    <w:rsid w:val="00A711D7"/>
    <w:rsid w:val="00A71310"/>
    <w:rsid w:val="00A720A0"/>
    <w:rsid w:val="00A76990"/>
    <w:rsid w:val="00A77869"/>
    <w:rsid w:val="00A80134"/>
    <w:rsid w:val="00A81CE8"/>
    <w:rsid w:val="00A82242"/>
    <w:rsid w:val="00A82EA3"/>
    <w:rsid w:val="00A8325A"/>
    <w:rsid w:val="00A835B6"/>
    <w:rsid w:val="00A83ACD"/>
    <w:rsid w:val="00A8605A"/>
    <w:rsid w:val="00A902F4"/>
    <w:rsid w:val="00A90802"/>
    <w:rsid w:val="00A91F11"/>
    <w:rsid w:val="00A9453C"/>
    <w:rsid w:val="00A95AB8"/>
    <w:rsid w:val="00A96A38"/>
    <w:rsid w:val="00A96F81"/>
    <w:rsid w:val="00AB234D"/>
    <w:rsid w:val="00AB6E1C"/>
    <w:rsid w:val="00AC0684"/>
    <w:rsid w:val="00AC10E6"/>
    <w:rsid w:val="00AC32CD"/>
    <w:rsid w:val="00AC469C"/>
    <w:rsid w:val="00AC71F4"/>
    <w:rsid w:val="00AC7563"/>
    <w:rsid w:val="00AC7D17"/>
    <w:rsid w:val="00AC7FF6"/>
    <w:rsid w:val="00AD0773"/>
    <w:rsid w:val="00AD0D44"/>
    <w:rsid w:val="00AD6425"/>
    <w:rsid w:val="00AE166D"/>
    <w:rsid w:val="00AE1F1C"/>
    <w:rsid w:val="00AE37DF"/>
    <w:rsid w:val="00AE5D9A"/>
    <w:rsid w:val="00AE6311"/>
    <w:rsid w:val="00AE64B2"/>
    <w:rsid w:val="00AE6D0D"/>
    <w:rsid w:val="00AF0973"/>
    <w:rsid w:val="00AF21D9"/>
    <w:rsid w:val="00AF5511"/>
    <w:rsid w:val="00AF5CAD"/>
    <w:rsid w:val="00AF6069"/>
    <w:rsid w:val="00AF6B77"/>
    <w:rsid w:val="00AF723E"/>
    <w:rsid w:val="00AF7737"/>
    <w:rsid w:val="00AF79E0"/>
    <w:rsid w:val="00AF7A71"/>
    <w:rsid w:val="00AF7DC1"/>
    <w:rsid w:val="00B0029C"/>
    <w:rsid w:val="00B02293"/>
    <w:rsid w:val="00B03923"/>
    <w:rsid w:val="00B03E31"/>
    <w:rsid w:val="00B057A5"/>
    <w:rsid w:val="00B0679B"/>
    <w:rsid w:val="00B076CC"/>
    <w:rsid w:val="00B07D76"/>
    <w:rsid w:val="00B07FAC"/>
    <w:rsid w:val="00B13190"/>
    <w:rsid w:val="00B17CF9"/>
    <w:rsid w:val="00B2117B"/>
    <w:rsid w:val="00B212F1"/>
    <w:rsid w:val="00B2166D"/>
    <w:rsid w:val="00B21BAF"/>
    <w:rsid w:val="00B22C1A"/>
    <w:rsid w:val="00B25590"/>
    <w:rsid w:val="00B2656B"/>
    <w:rsid w:val="00B26CA7"/>
    <w:rsid w:val="00B26F19"/>
    <w:rsid w:val="00B275AF"/>
    <w:rsid w:val="00B27C20"/>
    <w:rsid w:val="00B33194"/>
    <w:rsid w:val="00B33250"/>
    <w:rsid w:val="00B33725"/>
    <w:rsid w:val="00B34FA6"/>
    <w:rsid w:val="00B35707"/>
    <w:rsid w:val="00B359CF"/>
    <w:rsid w:val="00B368D8"/>
    <w:rsid w:val="00B37FFD"/>
    <w:rsid w:val="00B41056"/>
    <w:rsid w:val="00B41D5D"/>
    <w:rsid w:val="00B44186"/>
    <w:rsid w:val="00B44E88"/>
    <w:rsid w:val="00B45050"/>
    <w:rsid w:val="00B45CA5"/>
    <w:rsid w:val="00B47917"/>
    <w:rsid w:val="00B5206A"/>
    <w:rsid w:val="00B527F6"/>
    <w:rsid w:val="00B52F6B"/>
    <w:rsid w:val="00B53DC2"/>
    <w:rsid w:val="00B54100"/>
    <w:rsid w:val="00B5472E"/>
    <w:rsid w:val="00B54A16"/>
    <w:rsid w:val="00B550BF"/>
    <w:rsid w:val="00B55861"/>
    <w:rsid w:val="00B56C68"/>
    <w:rsid w:val="00B56C8B"/>
    <w:rsid w:val="00B56F4F"/>
    <w:rsid w:val="00B611C6"/>
    <w:rsid w:val="00B618BD"/>
    <w:rsid w:val="00B61FDC"/>
    <w:rsid w:val="00B63735"/>
    <w:rsid w:val="00B646D1"/>
    <w:rsid w:val="00B66489"/>
    <w:rsid w:val="00B70CD7"/>
    <w:rsid w:val="00B71C85"/>
    <w:rsid w:val="00B755CF"/>
    <w:rsid w:val="00B75D38"/>
    <w:rsid w:val="00B803CD"/>
    <w:rsid w:val="00B843E8"/>
    <w:rsid w:val="00B852F5"/>
    <w:rsid w:val="00B85F14"/>
    <w:rsid w:val="00B875AE"/>
    <w:rsid w:val="00B90BB6"/>
    <w:rsid w:val="00B943B5"/>
    <w:rsid w:val="00BA0F1E"/>
    <w:rsid w:val="00BA20DF"/>
    <w:rsid w:val="00BA2322"/>
    <w:rsid w:val="00BA3AB5"/>
    <w:rsid w:val="00BA4A07"/>
    <w:rsid w:val="00BA60AA"/>
    <w:rsid w:val="00BA6E1E"/>
    <w:rsid w:val="00BA7580"/>
    <w:rsid w:val="00BA7606"/>
    <w:rsid w:val="00BB0033"/>
    <w:rsid w:val="00BB164A"/>
    <w:rsid w:val="00BB2404"/>
    <w:rsid w:val="00BB2B33"/>
    <w:rsid w:val="00BB350C"/>
    <w:rsid w:val="00BB36BC"/>
    <w:rsid w:val="00BB375B"/>
    <w:rsid w:val="00BB41FC"/>
    <w:rsid w:val="00BB4ED0"/>
    <w:rsid w:val="00BC065A"/>
    <w:rsid w:val="00BC2823"/>
    <w:rsid w:val="00BC3532"/>
    <w:rsid w:val="00BC378D"/>
    <w:rsid w:val="00BC4256"/>
    <w:rsid w:val="00BC4722"/>
    <w:rsid w:val="00BC5083"/>
    <w:rsid w:val="00BC5177"/>
    <w:rsid w:val="00BC5192"/>
    <w:rsid w:val="00BC78ED"/>
    <w:rsid w:val="00BD1C5D"/>
    <w:rsid w:val="00BD3FA4"/>
    <w:rsid w:val="00BD4FEE"/>
    <w:rsid w:val="00BD57D2"/>
    <w:rsid w:val="00BD5CB4"/>
    <w:rsid w:val="00BD6F40"/>
    <w:rsid w:val="00BE0E6B"/>
    <w:rsid w:val="00BE15BB"/>
    <w:rsid w:val="00BE429E"/>
    <w:rsid w:val="00BE49B8"/>
    <w:rsid w:val="00BF018F"/>
    <w:rsid w:val="00BF06CA"/>
    <w:rsid w:val="00BF0C1C"/>
    <w:rsid w:val="00BF3C63"/>
    <w:rsid w:val="00BF42F9"/>
    <w:rsid w:val="00BF4694"/>
    <w:rsid w:val="00BF7268"/>
    <w:rsid w:val="00BF7459"/>
    <w:rsid w:val="00C003F7"/>
    <w:rsid w:val="00C00830"/>
    <w:rsid w:val="00C00D7F"/>
    <w:rsid w:val="00C02946"/>
    <w:rsid w:val="00C03D8A"/>
    <w:rsid w:val="00C05FB7"/>
    <w:rsid w:val="00C06B4B"/>
    <w:rsid w:val="00C07C73"/>
    <w:rsid w:val="00C12EFB"/>
    <w:rsid w:val="00C13480"/>
    <w:rsid w:val="00C14E10"/>
    <w:rsid w:val="00C1531F"/>
    <w:rsid w:val="00C15EEA"/>
    <w:rsid w:val="00C172B7"/>
    <w:rsid w:val="00C17833"/>
    <w:rsid w:val="00C17C31"/>
    <w:rsid w:val="00C20DD0"/>
    <w:rsid w:val="00C253A6"/>
    <w:rsid w:val="00C26C52"/>
    <w:rsid w:val="00C322F4"/>
    <w:rsid w:val="00C32868"/>
    <w:rsid w:val="00C3335A"/>
    <w:rsid w:val="00C3658D"/>
    <w:rsid w:val="00C36AEF"/>
    <w:rsid w:val="00C370D9"/>
    <w:rsid w:val="00C431F3"/>
    <w:rsid w:val="00C43412"/>
    <w:rsid w:val="00C43A52"/>
    <w:rsid w:val="00C44B37"/>
    <w:rsid w:val="00C46A1C"/>
    <w:rsid w:val="00C46F01"/>
    <w:rsid w:val="00C53833"/>
    <w:rsid w:val="00C5404C"/>
    <w:rsid w:val="00C54F52"/>
    <w:rsid w:val="00C56769"/>
    <w:rsid w:val="00C56CE6"/>
    <w:rsid w:val="00C60B5F"/>
    <w:rsid w:val="00C61EC6"/>
    <w:rsid w:val="00C6252C"/>
    <w:rsid w:val="00C63036"/>
    <w:rsid w:val="00C638E7"/>
    <w:rsid w:val="00C64FAF"/>
    <w:rsid w:val="00C65303"/>
    <w:rsid w:val="00C65BB9"/>
    <w:rsid w:val="00C729B2"/>
    <w:rsid w:val="00C72E57"/>
    <w:rsid w:val="00C74A8B"/>
    <w:rsid w:val="00C75346"/>
    <w:rsid w:val="00C75523"/>
    <w:rsid w:val="00C80F2B"/>
    <w:rsid w:val="00C816D2"/>
    <w:rsid w:val="00C817E1"/>
    <w:rsid w:val="00C834DF"/>
    <w:rsid w:val="00C843B3"/>
    <w:rsid w:val="00C92B4F"/>
    <w:rsid w:val="00C94B91"/>
    <w:rsid w:val="00C94D16"/>
    <w:rsid w:val="00C95093"/>
    <w:rsid w:val="00C95920"/>
    <w:rsid w:val="00C95B39"/>
    <w:rsid w:val="00CA5A3B"/>
    <w:rsid w:val="00CA60A7"/>
    <w:rsid w:val="00CA616D"/>
    <w:rsid w:val="00CA711A"/>
    <w:rsid w:val="00CA7284"/>
    <w:rsid w:val="00CB2D0B"/>
    <w:rsid w:val="00CB4592"/>
    <w:rsid w:val="00CB76F9"/>
    <w:rsid w:val="00CC1C2E"/>
    <w:rsid w:val="00CC3C7B"/>
    <w:rsid w:val="00CD0DAE"/>
    <w:rsid w:val="00CD1425"/>
    <w:rsid w:val="00CD1B7B"/>
    <w:rsid w:val="00CD2149"/>
    <w:rsid w:val="00CD29D4"/>
    <w:rsid w:val="00CD4E71"/>
    <w:rsid w:val="00CD6491"/>
    <w:rsid w:val="00CD6C29"/>
    <w:rsid w:val="00CE07D2"/>
    <w:rsid w:val="00CE340A"/>
    <w:rsid w:val="00CE5BD9"/>
    <w:rsid w:val="00CF0A97"/>
    <w:rsid w:val="00CF785D"/>
    <w:rsid w:val="00D07725"/>
    <w:rsid w:val="00D11615"/>
    <w:rsid w:val="00D1366B"/>
    <w:rsid w:val="00D15733"/>
    <w:rsid w:val="00D164D4"/>
    <w:rsid w:val="00D1692C"/>
    <w:rsid w:val="00D2021E"/>
    <w:rsid w:val="00D20D13"/>
    <w:rsid w:val="00D23EF3"/>
    <w:rsid w:val="00D2475B"/>
    <w:rsid w:val="00D249AB"/>
    <w:rsid w:val="00D26D1C"/>
    <w:rsid w:val="00D27220"/>
    <w:rsid w:val="00D323A9"/>
    <w:rsid w:val="00D3275F"/>
    <w:rsid w:val="00D33545"/>
    <w:rsid w:val="00D33FB3"/>
    <w:rsid w:val="00D34FA2"/>
    <w:rsid w:val="00D40E5A"/>
    <w:rsid w:val="00D42747"/>
    <w:rsid w:val="00D42CC9"/>
    <w:rsid w:val="00D430AD"/>
    <w:rsid w:val="00D4314D"/>
    <w:rsid w:val="00D43F9B"/>
    <w:rsid w:val="00D45244"/>
    <w:rsid w:val="00D45B72"/>
    <w:rsid w:val="00D50300"/>
    <w:rsid w:val="00D50AE1"/>
    <w:rsid w:val="00D50F8E"/>
    <w:rsid w:val="00D518A7"/>
    <w:rsid w:val="00D5270E"/>
    <w:rsid w:val="00D53764"/>
    <w:rsid w:val="00D55E82"/>
    <w:rsid w:val="00D562C1"/>
    <w:rsid w:val="00D60E3C"/>
    <w:rsid w:val="00D6346C"/>
    <w:rsid w:val="00D65CA7"/>
    <w:rsid w:val="00D675C6"/>
    <w:rsid w:val="00D719A1"/>
    <w:rsid w:val="00D721A3"/>
    <w:rsid w:val="00D721C2"/>
    <w:rsid w:val="00D722F3"/>
    <w:rsid w:val="00D74E19"/>
    <w:rsid w:val="00D75429"/>
    <w:rsid w:val="00D7625E"/>
    <w:rsid w:val="00D762D0"/>
    <w:rsid w:val="00D824C2"/>
    <w:rsid w:val="00D82FFF"/>
    <w:rsid w:val="00D846F0"/>
    <w:rsid w:val="00D85EB6"/>
    <w:rsid w:val="00D860B2"/>
    <w:rsid w:val="00D87D1F"/>
    <w:rsid w:val="00D9105E"/>
    <w:rsid w:val="00D91784"/>
    <w:rsid w:val="00D94470"/>
    <w:rsid w:val="00D966CB"/>
    <w:rsid w:val="00D97D50"/>
    <w:rsid w:val="00DA010C"/>
    <w:rsid w:val="00DA116E"/>
    <w:rsid w:val="00DA184E"/>
    <w:rsid w:val="00DA2207"/>
    <w:rsid w:val="00DA27BA"/>
    <w:rsid w:val="00DA4D27"/>
    <w:rsid w:val="00DA51B1"/>
    <w:rsid w:val="00DA51FD"/>
    <w:rsid w:val="00DA69CF"/>
    <w:rsid w:val="00DA69D0"/>
    <w:rsid w:val="00DA6F13"/>
    <w:rsid w:val="00DA738E"/>
    <w:rsid w:val="00DA7BEF"/>
    <w:rsid w:val="00DB0B39"/>
    <w:rsid w:val="00DB2F17"/>
    <w:rsid w:val="00DB3072"/>
    <w:rsid w:val="00DB3AAC"/>
    <w:rsid w:val="00DB405E"/>
    <w:rsid w:val="00DB5A8F"/>
    <w:rsid w:val="00DC0015"/>
    <w:rsid w:val="00DC0AD5"/>
    <w:rsid w:val="00DC1A13"/>
    <w:rsid w:val="00DC31B3"/>
    <w:rsid w:val="00DC60E7"/>
    <w:rsid w:val="00DC6798"/>
    <w:rsid w:val="00DC7682"/>
    <w:rsid w:val="00DD1881"/>
    <w:rsid w:val="00DD1D18"/>
    <w:rsid w:val="00DD2D23"/>
    <w:rsid w:val="00DD31E3"/>
    <w:rsid w:val="00DD3847"/>
    <w:rsid w:val="00DD4BB3"/>
    <w:rsid w:val="00DD4DE5"/>
    <w:rsid w:val="00DD6D7C"/>
    <w:rsid w:val="00DE095E"/>
    <w:rsid w:val="00DE1E48"/>
    <w:rsid w:val="00DE2F64"/>
    <w:rsid w:val="00DE3333"/>
    <w:rsid w:val="00DE4F17"/>
    <w:rsid w:val="00DE521F"/>
    <w:rsid w:val="00DF023A"/>
    <w:rsid w:val="00DF2C1C"/>
    <w:rsid w:val="00DF3E79"/>
    <w:rsid w:val="00DF40C1"/>
    <w:rsid w:val="00DF5410"/>
    <w:rsid w:val="00DF57A6"/>
    <w:rsid w:val="00DF5C12"/>
    <w:rsid w:val="00DF636C"/>
    <w:rsid w:val="00E011A1"/>
    <w:rsid w:val="00E01B2C"/>
    <w:rsid w:val="00E033D7"/>
    <w:rsid w:val="00E03C7B"/>
    <w:rsid w:val="00E0580F"/>
    <w:rsid w:val="00E06342"/>
    <w:rsid w:val="00E0793B"/>
    <w:rsid w:val="00E1222F"/>
    <w:rsid w:val="00E12717"/>
    <w:rsid w:val="00E20BC3"/>
    <w:rsid w:val="00E21736"/>
    <w:rsid w:val="00E25067"/>
    <w:rsid w:val="00E26CB2"/>
    <w:rsid w:val="00E31C6C"/>
    <w:rsid w:val="00E3410A"/>
    <w:rsid w:val="00E36F43"/>
    <w:rsid w:val="00E37C7B"/>
    <w:rsid w:val="00E41AF4"/>
    <w:rsid w:val="00E4202A"/>
    <w:rsid w:val="00E42B94"/>
    <w:rsid w:val="00E43D28"/>
    <w:rsid w:val="00E45137"/>
    <w:rsid w:val="00E45F8D"/>
    <w:rsid w:val="00E539D4"/>
    <w:rsid w:val="00E55C05"/>
    <w:rsid w:val="00E55C0F"/>
    <w:rsid w:val="00E5702C"/>
    <w:rsid w:val="00E57D49"/>
    <w:rsid w:val="00E6121D"/>
    <w:rsid w:val="00E61F32"/>
    <w:rsid w:val="00E62234"/>
    <w:rsid w:val="00E663B7"/>
    <w:rsid w:val="00E67BA3"/>
    <w:rsid w:val="00E717D0"/>
    <w:rsid w:val="00E71CF2"/>
    <w:rsid w:val="00E72215"/>
    <w:rsid w:val="00E73857"/>
    <w:rsid w:val="00E761BF"/>
    <w:rsid w:val="00E771CE"/>
    <w:rsid w:val="00E8062F"/>
    <w:rsid w:val="00E83E37"/>
    <w:rsid w:val="00E85533"/>
    <w:rsid w:val="00E86688"/>
    <w:rsid w:val="00E86932"/>
    <w:rsid w:val="00E86DC3"/>
    <w:rsid w:val="00E90A71"/>
    <w:rsid w:val="00E918D5"/>
    <w:rsid w:val="00E9437D"/>
    <w:rsid w:val="00E961CB"/>
    <w:rsid w:val="00E97515"/>
    <w:rsid w:val="00EA3065"/>
    <w:rsid w:val="00EA4032"/>
    <w:rsid w:val="00EA4543"/>
    <w:rsid w:val="00EA56E8"/>
    <w:rsid w:val="00EA6DD4"/>
    <w:rsid w:val="00EB1CAF"/>
    <w:rsid w:val="00EB2B1E"/>
    <w:rsid w:val="00EB4459"/>
    <w:rsid w:val="00EB5613"/>
    <w:rsid w:val="00EB6378"/>
    <w:rsid w:val="00EC08A5"/>
    <w:rsid w:val="00EC08FF"/>
    <w:rsid w:val="00EC0D1D"/>
    <w:rsid w:val="00EC1493"/>
    <w:rsid w:val="00EC17DA"/>
    <w:rsid w:val="00EC2C2D"/>
    <w:rsid w:val="00EC33CB"/>
    <w:rsid w:val="00ED0E4E"/>
    <w:rsid w:val="00ED161A"/>
    <w:rsid w:val="00ED1966"/>
    <w:rsid w:val="00ED3090"/>
    <w:rsid w:val="00ED4D13"/>
    <w:rsid w:val="00ED5DF2"/>
    <w:rsid w:val="00ED6463"/>
    <w:rsid w:val="00ED7B60"/>
    <w:rsid w:val="00EE20E8"/>
    <w:rsid w:val="00EE27D2"/>
    <w:rsid w:val="00EE379F"/>
    <w:rsid w:val="00EE5896"/>
    <w:rsid w:val="00EE64D2"/>
    <w:rsid w:val="00EE6882"/>
    <w:rsid w:val="00EE77AC"/>
    <w:rsid w:val="00EF0B4B"/>
    <w:rsid w:val="00EF0E21"/>
    <w:rsid w:val="00EF3218"/>
    <w:rsid w:val="00EF4B77"/>
    <w:rsid w:val="00EF5DB4"/>
    <w:rsid w:val="00EF76BB"/>
    <w:rsid w:val="00F0080B"/>
    <w:rsid w:val="00F029BB"/>
    <w:rsid w:val="00F038C0"/>
    <w:rsid w:val="00F04064"/>
    <w:rsid w:val="00F0723C"/>
    <w:rsid w:val="00F0759C"/>
    <w:rsid w:val="00F07F32"/>
    <w:rsid w:val="00F1119B"/>
    <w:rsid w:val="00F11677"/>
    <w:rsid w:val="00F127F2"/>
    <w:rsid w:val="00F13334"/>
    <w:rsid w:val="00F165B0"/>
    <w:rsid w:val="00F174A2"/>
    <w:rsid w:val="00F2100A"/>
    <w:rsid w:val="00F21293"/>
    <w:rsid w:val="00F22174"/>
    <w:rsid w:val="00F2351E"/>
    <w:rsid w:val="00F23F89"/>
    <w:rsid w:val="00F255B3"/>
    <w:rsid w:val="00F255F8"/>
    <w:rsid w:val="00F27FF2"/>
    <w:rsid w:val="00F31310"/>
    <w:rsid w:val="00F31F5D"/>
    <w:rsid w:val="00F32593"/>
    <w:rsid w:val="00F41609"/>
    <w:rsid w:val="00F42162"/>
    <w:rsid w:val="00F43B60"/>
    <w:rsid w:val="00F44F23"/>
    <w:rsid w:val="00F5021D"/>
    <w:rsid w:val="00F50A16"/>
    <w:rsid w:val="00F53E47"/>
    <w:rsid w:val="00F5406A"/>
    <w:rsid w:val="00F54EC6"/>
    <w:rsid w:val="00F564BA"/>
    <w:rsid w:val="00F574FA"/>
    <w:rsid w:val="00F5775E"/>
    <w:rsid w:val="00F63DF0"/>
    <w:rsid w:val="00F65BC1"/>
    <w:rsid w:val="00F6639B"/>
    <w:rsid w:val="00F74314"/>
    <w:rsid w:val="00F74B08"/>
    <w:rsid w:val="00F74DDD"/>
    <w:rsid w:val="00F825BE"/>
    <w:rsid w:val="00F83DD0"/>
    <w:rsid w:val="00F85149"/>
    <w:rsid w:val="00F8623F"/>
    <w:rsid w:val="00F86BFD"/>
    <w:rsid w:val="00F87E2F"/>
    <w:rsid w:val="00F92565"/>
    <w:rsid w:val="00F928D3"/>
    <w:rsid w:val="00F93307"/>
    <w:rsid w:val="00F93D2B"/>
    <w:rsid w:val="00F940F2"/>
    <w:rsid w:val="00F9673C"/>
    <w:rsid w:val="00F9676E"/>
    <w:rsid w:val="00F96EEB"/>
    <w:rsid w:val="00F9712E"/>
    <w:rsid w:val="00FA00C9"/>
    <w:rsid w:val="00FA0870"/>
    <w:rsid w:val="00FA0F93"/>
    <w:rsid w:val="00FA1055"/>
    <w:rsid w:val="00FA19A0"/>
    <w:rsid w:val="00FA2633"/>
    <w:rsid w:val="00FA33AC"/>
    <w:rsid w:val="00FA3FF1"/>
    <w:rsid w:val="00FA78BA"/>
    <w:rsid w:val="00FB0038"/>
    <w:rsid w:val="00FB06E6"/>
    <w:rsid w:val="00FB1205"/>
    <w:rsid w:val="00FB1AE9"/>
    <w:rsid w:val="00FB3978"/>
    <w:rsid w:val="00FB6950"/>
    <w:rsid w:val="00FC253D"/>
    <w:rsid w:val="00FC2695"/>
    <w:rsid w:val="00FC276D"/>
    <w:rsid w:val="00FC431E"/>
    <w:rsid w:val="00FD0081"/>
    <w:rsid w:val="00FD1ADD"/>
    <w:rsid w:val="00FD1E2B"/>
    <w:rsid w:val="00FD1E9F"/>
    <w:rsid w:val="00FD2C09"/>
    <w:rsid w:val="00FD3C69"/>
    <w:rsid w:val="00FD5609"/>
    <w:rsid w:val="00FD5732"/>
    <w:rsid w:val="00FD6A4E"/>
    <w:rsid w:val="00FD762B"/>
    <w:rsid w:val="00FD7F7D"/>
    <w:rsid w:val="00FE0F6A"/>
    <w:rsid w:val="00FE2CBD"/>
    <w:rsid w:val="00FE494E"/>
    <w:rsid w:val="00FE5276"/>
    <w:rsid w:val="00FE6123"/>
    <w:rsid w:val="00FF2E6F"/>
    <w:rsid w:val="00FF2F78"/>
    <w:rsid w:val="00FF34C5"/>
    <w:rsid w:val="00FF4DC1"/>
    <w:rsid w:val="00FF555E"/>
    <w:rsid w:val="00FF5C19"/>
    <w:rsid w:val="00FF683A"/>
    <w:rsid w:val="00FF723F"/>
    <w:rsid w:val="02764396"/>
    <w:rsid w:val="02B5158C"/>
    <w:rsid w:val="02D50DC8"/>
    <w:rsid w:val="035335B2"/>
    <w:rsid w:val="035D3297"/>
    <w:rsid w:val="04956A61"/>
    <w:rsid w:val="064A532C"/>
    <w:rsid w:val="0767189D"/>
    <w:rsid w:val="07C1431C"/>
    <w:rsid w:val="083A646A"/>
    <w:rsid w:val="08940DDD"/>
    <w:rsid w:val="08B26897"/>
    <w:rsid w:val="0A4313C9"/>
    <w:rsid w:val="0BAD0897"/>
    <w:rsid w:val="0C0C730C"/>
    <w:rsid w:val="0C176B42"/>
    <w:rsid w:val="0D055CC8"/>
    <w:rsid w:val="0ED40938"/>
    <w:rsid w:val="0EF92602"/>
    <w:rsid w:val="0FB73CCD"/>
    <w:rsid w:val="11420B82"/>
    <w:rsid w:val="11462B8C"/>
    <w:rsid w:val="130A75F4"/>
    <w:rsid w:val="15804F08"/>
    <w:rsid w:val="16934B6C"/>
    <w:rsid w:val="16A775A8"/>
    <w:rsid w:val="17D85C91"/>
    <w:rsid w:val="182466DB"/>
    <w:rsid w:val="191F64A1"/>
    <w:rsid w:val="193439BA"/>
    <w:rsid w:val="19CF0288"/>
    <w:rsid w:val="1A4331A7"/>
    <w:rsid w:val="1D0105C6"/>
    <w:rsid w:val="1D4762C6"/>
    <w:rsid w:val="1D7C04EA"/>
    <w:rsid w:val="1E2A600D"/>
    <w:rsid w:val="1E5F62CA"/>
    <w:rsid w:val="1E717B30"/>
    <w:rsid w:val="1E7B6870"/>
    <w:rsid w:val="1E852579"/>
    <w:rsid w:val="1F314C58"/>
    <w:rsid w:val="20502118"/>
    <w:rsid w:val="208C689F"/>
    <w:rsid w:val="2100676C"/>
    <w:rsid w:val="22540715"/>
    <w:rsid w:val="22D54988"/>
    <w:rsid w:val="22F1799F"/>
    <w:rsid w:val="241237D2"/>
    <w:rsid w:val="259530D5"/>
    <w:rsid w:val="264756A6"/>
    <w:rsid w:val="277D42CB"/>
    <w:rsid w:val="27814C5A"/>
    <w:rsid w:val="283E56EF"/>
    <w:rsid w:val="28E46BC6"/>
    <w:rsid w:val="290B5047"/>
    <w:rsid w:val="295E2AA7"/>
    <w:rsid w:val="2A082FC9"/>
    <w:rsid w:val="2B6E3083"/>
    <w:rsid w:val="2CBE59CA"/>
    <w:rsid w:val="2DE54126"/>
    <w:rsid w:val="2E150D0B"/>
    <w:rsid w:val="2E2014F0"/>
    <w:rsid w:val="2F475EFF"/>
    <w:rsid w:val="31217C02"/>
    <w:rsid w:val="31896E6C"/>
    <w:rsid w:val="31C77E9C"/>
    <w:rsid w:val="32A419F8"/>
    <w:rsid w:val="32EF72C3"/>
    <w:rsid w:val="32F60219"/>
    <w:rsid w:val="335449BA"/>
    <w:rsid w:val="34974367"/>
    <w:rsid w:val="356528DC"/>
    <w:rsid w:val="37ED3C8C"/>
    <w:rsid w:val="38DE044D"/>
    <w:rsid w:val="39145924"/>
    <w:rsid w:val="3A255B4D"/>
    <w:rsid w:val="3BF94A3C"/>
    <w:rsid w:val="3C213D65"/>
    <w:rsid w:val="3D423749"/>
    <w:rsid w:val="3E8A1BCD"/>
    <w:rsid w:val="3E8A744E"/>
    <w:rsid w:val="3ED951C1"/>
    <w:rsid w:val="3F2202B7"/>
    <w:rsid w:val="3F367F1D"/>
    <w:rsid w:val="3FFE2A48"/>
    <w:rsid w:val="400F7C24"/>
    <w:rsid w:val="40163EC8"/>
    <w:rsid w:val="403018F6"/>
    <w:rsid w:val="40E52E63"/>
    <w:rsid w:val="414D25C5"/>
    <w:rsid w:val="41B14CAF"/>
    <w:rsid w:val="42184042"/>
    <w:rsid w:val="42C402C3"/>
    <w:rsid w:val="43F405F0"/>
    <w:rsid w:val="440A3726"/>
    <w:rsid w:val="4532655F"/>
    <w:rsid w:val="454E1E45"/>
    <w:rsid w:val="45863B74"/>
    <w:rsid w:val="45DD6E08"/>
    <w:rsid w:val="45F3363C"/>
    <w:rsid w:val="45F5144B"/>
    <w:rsid w:val="46841270"/>
    <w:rsid w:val="46A52985"/>
    <w:rsid w:val="46D422EC"/>
    <w:rsid w:val="47466258"/>
    <w:rsid w:val="48A25CFB"/>
    <w:rsid w:val="48BD15B7"/>
    <w:rsid w:val="48D715B9"/>
    <w:rsid w:val="48DC4285"/>
    <w:rsid w:val="49F7612A"/>
    <w:rsid w:val="4A0D5A4B"/>
    <w:rsid w:val="4A6150FE"/>
    <w:rsid w:val="4AD407F4"/>
    <w:rsid w:val="4BF6778D"/>
    <w:rsid w:val="4C0D78AC"/>
    <w:rsid w:val="4D463522"/>
    <w:rsid w:val="4D703043"/>
    <w:rsid w:val="4F1B2C05"/>
    <w:rsid w:val="4F440AA9"/>
    <w:rsid w:val="50606793"/>
    <w:rsid w:val="514A5AAA"/>
    <w:rsid w:val="52091C54"/>
    <w:rsid w:val="52662470"/>
    <w:rsid w:val="5380100F"/>
    <w:rsid w:val="53B9403D"/>
    <w:rsid w:val="53C374A7"/>
    <w:rsid w:val="53D251ED"/>
    <w:rsid w:val="54965E45"/>
    <w:rsid w:val="55A23D2C"/>
    <w:rsid w:val="55DD34BC"/>
    <w:rsid w:val="56D95906"/>
    <w:rsid w:val="57453D38"/>
    <w:rsid w:val="57A46524"/>
    <w:rsid w:val="57B72DDD"/>
    <w:rsid w:val="58F55FB4"/>
    <w:rsid w:val="59187AB8"/>
    <w:rsid w:val="592D39AB"/>
    <w:rsid w:val="598136B3"/>
    <w:rsid w:val="5A53097D"/>
    <w:rsid w:val="5A5A0E07"/>
    <w:rsid w:val="5A7A46F1"/>
    <w:rsid w:val="5AFB5E3F"/>
    <w:rsid w:val="5B017A8A"/>
    <w:rsid w:val="5B125EE8"/>
    <w:rsid w:val="5B4E1D0B"/>
    <w:rsid w:val="5BF06376"/>
    <w:rsid w:val="5C7671D0"/>
    <w:rsid w:val="5DB01FCD"/>
    <w:rsid w:val="5F8313F0"/>
    <w:rsid w:val="60A70456"/>
    <w:rsid w:val="60D37040"/>
    <w:rsid w:val="61D25DB1"/>
    <w:rsid w:val="629531C1"/>
    <w:rsid w:val="630F6899"/>
    <w:rsid w:val="640D6CC8"/>
    <w:rsid w:val="643735C6"/>
    <w:rsid w:val="64754794"/>
    <w:rsid w:val="656B3441"/>
    <w:rsid w:val="65E109E2"/>
    <w:rsid w:val="674A40AB"/>
    <w:rsid w:val="680D3662"/>
    <w:rsid w:val="68454974"/>
    <w:rsid w:val="69D60F31"/>
    <w:rsid w:val="6AED15DF"/>
    <w:rsid w:val="6AFE64A8"/>
    <w:rsid w:val="6DE41605"/>
    <w:rsid w:val="6EBA25CB"/>
    <w:rsid w:val="6F431E03"/>
    <w:rsid w:val="6FEB193D"/>
    <w:rsid w:val="70EA71C4"/>
    <w:rsid w:val="72F6722D"/>
    <w:rsid w:val="73B21561"/>
    <w:rsid w:val="74BA4D14"/>
    <w:rsid w:val="75263FB5"/>
    <w:rsid w:val="75B066AA"/>
    <w:rsid w:val="76125964"/>
    <w:rsid w:val="76171B4F"/>
    <w:rsid w:val="763136B9"/>
    <w:rsid w:val="766C6630"/>
    <w:rsid w:val="78A70CD0"/>
    <w:rsid w:val="78A771BA"/>
    <w:rsid w:val="78AE1964"/>
    <w:rsid w:val="78BA6A44"/>
    <w:rsid w:val="792F3E2D"/>
    <w:rsid w:val="7A364984"/>
    <w:rsid w:val="7A792DD8"/>
    <w:rsid w:val="7B253E1D"/>
    <w:rsid w:val="7B872044"/>
    <w:rsid w:val="7B8B073C"/>
    <w:rsid w:val="7CCF57E5"/>
    <w:rsid w:val="7D003960"/>
    <w:rsid w:val="7DB174FD"/>
    <w:rsid w:val="7E0D3EFA"/>
    <w:rsid w:val="7E2B7D45"/>
    <w:rsid w:val="7FCE0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nhideWhenUsed="0" w:uiPriority="0" w:semiHidden="0" w:name="footnote reference"/>
    <w:lsdException w:qFormat="1" w:uiPriority="99" w:semiHidden="0" w:name="annotation reference"/>
    <w:lsdException w:uiPriority="0" w:name="line number"/>
    <w:lsdException w:uiPriority="0" w:name="page number"/>
    <w:lsdException w:qFormat="1" w:uiPriority="99" w:semiHidden="0" w:name="endnote reference"/>
    <w:lsdException w:qFormat="1" w:uiPriority="99" w:semiHidden="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99" w:semiHidden="0" w:name="Body Text"/>
    <w:lsdException w:qFormat="1"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qFormat="1"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黑体"/>
      <w:kern w:val="2"/>
      <w:sz w:val="21"/>
      <w:szCs w:val="22"/>
      <w:lang w:val="en-US" w:eastAsia="zh-CN" w:bidi="ar-SA"/>
    </w:rPr>
  </w:style>
  <w:style w:type="paragraph" w:styleId="3">
    <w:name w:val="heading 1"/>
    <w:basedOn w:val="1"/>
    <w:next w:val="1"/>
    <w:link w:val="46"/>
    <w:qFormat/>
    <w:uiPriority w:val="9"/>
    <w:pPr>
      <w:keepNext/>
      <w:keepLines/>
      <w:spacing w:before="340" w:after="330" w:line="578" w:lineRule="auto"/>
      <w:outlineLvl w:val="0"/>
    </w:pPr>
    <w:rPr>
      <w:b/>
      <w:bCs/>
      <w:kern w:val="44"/>
      <w:sz w:val="44"/>
      <w:szCs w:val="44"/>
    </w:rPr>
  </w:style>
  <w:style w:type="paragraph" w:styleId="4">
    <w:name w:val="heading 2"/>
    <w:basedOn w:val="3"/>
    <w:next w:val="1"/>
    <w:unhideWhenUsed/>
    <w:qFormat/>
    <w:uiPriority w:val="0"/>
    <w:pPr>
      <w:ind w:firstLine="643"/>
      <w:outlineLvl w:val="1"/>
    </w:pPr>
    <w:rPr>
      <w:rFonts w:eastAsia="楷体"/>
    </w:rPr>
  </w:style>
  <w:style w:type="paragraph" w:styleId="5">
    <w:name w:val="heading 3"/>
    <w:basedOn w:val="1"/>
    <w:next w:val="1"/>
    <w:link w:val="61"/>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unhideWhenUsed/>
    <w:qFormat/>
    <w:uiPriority w:val="9"/>
    <w:pPr>
      <w:keepNext/>
      <w:keepLines/>
      <w:spacing w:before="280" w:after="290" w:line="376" w:lineRule="auto"/>
      <w:outlineLvl w:val="3"/>
    </w:pPr>
    <w:rPr>
      <w:rFonts w:ascii="等线 Light" w:hAnsi="等线 Light" w:eastAsia="等线 Light"/>
      <w:b/>
      <w:bCs/>
      <w:sz w:val="28"/>
      <w:szCs w:val="28"/>
    </w:rPr>
  </w:style>
  <w:style w:type="character" w:default="1" w:styleId="21">
    <w:name w:val="Default Paragraph Font"/>
    <w:semiHidden/>
    <w:unhideWhenUsed/>
    <w:qFormat/>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qFormat/>
    <w:uiPriority w:val="99"/>
    <w:pPr>
      <w:ind w:firstLine="680"/>
    </w:pPr>
    <w:rPr>
      <w:szCs w:val="32"/>
    </w:rPr>
  </w:style>
  <w:style w:type="paragraph" w:styleId="7">
    <w:name w:val="annotation subject"/>
    <w:basedOn w:val="8"/>
    <w:next w:val="8"/>
    <w:link w:val="43"/>
    <w:unhideWhenUsed/>
    <w:qFormat/>
    <w:uiPriority w:val="99"/>
    <w:rPr>
      <w:b/>
      <w:bCs/>
    </w:rPr>
  </w:style>
  <w:style w:type="paragraph" w:styleId="8">
    <w:name w:val="annotation text"/>
    <w:basedOn w:val="1"/>
    <w:link w:val="42"/>
    <w:unhideWhenUsed/>
    <w:qFormat/>
    <w:uiPriority w:val="99"/>
    <w:pPr>
      <w:jc w:val="left"/>
    </w:pPr>
  </w:style>
  <w:style w:type="paragraph" w:styleId="9">
    <w:name w:val="Body Text"/>
    <w:basedOn w:val="1"/>
    <w:link w:val="47"/>
    <w:unhideWhenUsed/>
    <w:qFormat/>
    <w:uiPriority w:val="99"/>
    <w:pPr>
      <w:spacing w:after="120"/>
    </w:pPr>
  </w:style>
  <w:style w:type="paragraph" w:styleId="10">
    <w:name w:val="Body Text Indent"/>
    <w:basedOn w:val="1"/>
    <w:link w:val="44"/>
    <w:unhideWhenUsed/>
    <w:qFormat/>
    <w:uiPriority w:val="99"/>
    <w:pPr>
      <w:spacing w:after="120"/>
      <w:ind w:left="420" w:leftChars="200"/>
    </w:pPr>
  </w:style>
  <w:style w:type="paragraph" w:styleId="11">
    <w:name w:val="toc 3"/>
    <w:basedOn w:val="1"/>
    <w:next w:val="1"/>
    <w:unhideWhenUsed/>
    <w:qFormat/>
    <w:uiPriority w:val="39"/>
    <w:pPr>
      <w:widowControl/>
      <w:spacing w:after="100" w:line="259" w:lineRule="auto"/>
      <w:ind w:left="440"/>
      <w:jc w:val="left"/>
    </w:pPr>
    <w:rPr>
      <w:rFonts w:cs="Times New Roman"/>
      <w:kern w:val="0"/>
      <w:sz w:val="22"/>
    </w:rPr>
  </w:style>
  <w:style w:type="paragraph" w:styleId="12">
    <w:name w:val="endnote text"/>
    <w:basedOn w:val="1"/>
    <w:link w:val="41"/>
    <w:unhideWhenUsed/>
    <w:qFormat/>
    <w:uiPriority w:val="99"/>
    <w:pPr>
      <w:snapToGrid w:val="0"/>
      <w:jc w:val="left"/>
    </w:pPr>
  </w:style>
  <w:style w:type="paragraph" w:styleId="13">
    <w:name w:val="Balloon Text"/>
    <w:basedOn w:val="1"/>
    <w:link w:val="50"/>
    <w:unhideWhenUsed/>
    <w:qFormat/>
    <w:uiPriority w:val="99"/>
    <w:rPr>
      <w:sz w:val="18"/>
      <w:szCs w:val="18"/>
    </w:rPr>
  </w:style>
  <w:style w:type="paragraph" w:styleId="14">
    <w:name w:val="footer"/>
    <w:basedOn w:val="1"/>
    <w:link w:val="49"/>
    <w:unhideWhenUsed/>
    <w:qFormat/>
    <w:uiPriority w:val="99"/>
    <w:pPr>
      <w:tabs>
        <w:tab w:val="center" w:pos="4153"/>
        <w:tab w:val="right" w:pos="8306"/>
      </w:tabs>
      <w:snapToGrid w:val="0"/>
      <w:jc w:val="left"/>
    </w:pPr>
    <w:rPr>
      <w:sz w:val="18"/>
      <w:szCs w:val="18"/>
    </w:rPr>
  </w:style>
  <w:style w:type="paragraph" w:styleId="15">
    <w:name w:val="Body Text First Indent 2"/>
    <w:basedOn w:val="10"/>
    <w:link w:val="45"/>
    <w:unhideWhenUsed/>
    <w:qFormat/>
    <w:uiPriority w:val="99"/>
    <w:pPr>
      <w:ind w:firstLine="420" w:firstLineChars="200"/>
    </w:pPr>
    <w:rPr>
      <w:rFonts w:ascii="Calibri" w:hAnsi="Calibri" w:eastAsia="宋体"/>
      <w:szCs w:val="24"/>
    </w:rPr>
  </w:style>
  <w:style w:type="paragraph" w:styleId="16">
    <w:name w:val="header"/>
    <w:basedOn w:val="1"/>
    <w:link w:val="48"/>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widowControl/>
      <w:spacing w:after="100" w:line="259" w:lineRule="auto"/>
      <w:jc w:val="left"/>
    </w:pPr>
    <w:rPr>
      <w:rFonts w:cs="Times New Roman"/>
      <w:kern w:val="0"/>
      <w:sz w:val="22"/>
    </w:rPr>
  </w:style>
  <w:style w:type="paragraph" w:styleId="18">
    <w:name w:val="footnote text"/>
    <w:basedOn w:val="1"/>
    <w:link w:val="39"/>
    <w:unhideWhenUsed/>
    <w:qFormat/>
    <w:uiPriority w:val="99"/>
    <w:pPr>
      <w:widowControl/>
      <w:jc w:val="left"/>
    </w:pPr>
    <w:rPr>
      <w:rFonts w:cs="Times New Roman"/>
      <w:kern w:val="0"/>
      <w:sz w:val="20"/>
      <w:szCs w:val="20"/>
    </w:rPr>
  </w:style>
  <w:style w:type="paragraph" w:styleId="19">
    <w:name w:val="toc 2"/>
    <w:basedOn w:val="1"/>
    <w:next w:val="1"/>
    <w:unhideWhenUsed/>
    <w:qFormat/>
    <w:uiPriority w:val="39"/>
    <w:pPr>
      <w:widowControl/>
      <w:spacing w:after="100" w:line="259" w:lineRule="auto"/>
      <w:ind w:left="220"/>
      <w:jc w:val="left"/>
    </w:pPr>
    <w:rPr>
      <w:rFonts w:cs="Times New Roman"/>
      <w:kern w:val="0"/>
      <w:sz w:val="22"/>
    </w:rPr>
  </w:style>
  <w:style w:type="paragraph" w:styleId="20">
    <w:name w:val="Normal (Web)"/>
    <w:basedOn w:val="1"/>
    <w:unhideWhenUsed/>
    <w:qFormat/>
    <w:uiPriority w:val="99"/>
    <w:rPr>
      <w:sz w:val="24"/>
    </w:rPr>
  </w:style>
  <w:style w:type="character" w:styleId="22">
    <w:name w:val="endnote reference"/>
    <w:unhideWhenUsed/>
    <w:qFormat/>
    <w:uiPriority w:val="99"/>
    <w:rPr>
      <w:vertAlign w:val="superscript"/>
    </w:rPr>
  </w:style>
  <w:style w:type="character" w:styleId="23">
    <w:name w:val="Hyperlink"/>
    <w:unhideWhenUsed/>
    <w:qFormat/>
    <w:uiPriority w:val="99"/>
    <w:rPr>
      <w:color w:val="6B9F25"/>
      <w:u w:val="single"/>
    </w:rPr>
  </w:style>
  <w:style w:type="character" w:styleId="24">
    <w:name w:val="annotation reference"/>
    <w:unhideWhenUsed/>
    <w:qFormat/>
    <w:uiPriority w:val="99"/>
    <w:rPr>
      <w:sz w:val="21"/>
      <w:szCs w:val="21"/>
    </w:rPr>
  </w:style>
  <w:style w:type="character" w:styleId="25">
    <w:name w:val="footnote reference"/>
    <w:qFormat/>
    <w:uiPriority w:val="0"/>
    <w:rPr>
      <w:vertAlign w:val="superscript"/>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28">
    <w:name w:val="Light Shading Accent 1"/>
    <w:basedOn w:val="26"/>
    <w:qFormat/>
    <w:uiPriority w:val="60"/>
    <w:rPr>
      <w:color w:val="3E742A"/>
      <w:sz w:val="22"/>
    </w:rPr>
    <w:tblPr>
      <w:tblBorders>
        <w:top w:val="single" w:color="549E39" w:sz="8" w:space="0"/>
        <w:bottom w:val="single" w:color="549E39" w:sz="8" w:space="0"/>
      </w:tblBorders>
      <w:tblLayout w:type="fixed"/>
    </w:tblPr>
    <w:tblStylePr w:type="firstRow">
      <w:pPr>
        <w:spacing w:before="0" w:after="0" w:line="240" w:lineRule="auto"/>
      </w:pPr>
      <w:rPr>
        <w:b/>
        <w:bCs/>
      </w:rPr>
      <w:tblPr>
        <w:tblLayout w:type="fixed"/>
      </w:tblPr>
      <w:tcPr>
        <w:tcBorders>
          <w:top w:val="single" w:color="549E39" w:sz="8" w:space="0"/>
          <w:left w:val="nil"/>
          <w:bottom w:val="single" w:color="549E39" w:sz="8" w:space="0"/>
          <w:right w:val="nil"/>
          <w:insideH w:val="nil"/>
          <w:insideV w:val="nil"/>
          <w:tl2br w:val="nil"/>
          <w:tr2bl w:val="nil"/>
        </w:tcBorders>
      </w:tcPr>
    </w:tblStylePr>
    <w:tblStylePr w:type="lastRow">
      <w:pPr>
        <w:spacing w:before="0" w:after="0" w:line="240" w:lineRule="auto"/>
      </w:pPr>
      <w:rPr>
        <w:b/>
        <w:bCs/>
      </w:rPr>
      <w:tblPr>
        <w:tblLayout w:type="fixed"/>
      </w:tblPr>
      <w:tcPr>
        <w:tcBorders>
          <w:top w:val="single" w:color="549E39" w:sz="8" w:space="0"/>
          <w:left w:val="nil"/>
          <w:bottom w:val="single" w:color="549E39" w:sz="8" w:space="0"/>
          <w:right w:val="nil"/>
          <w:insideH w:val="nil"/>
          <w:insideV w:val="nil"/>
          <w:tl2br w:val="nil"/>
          <w:tr2bl w:val="nil"/>
        </w:tcBorders>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l2br w:val="nil"/>
          <w:tr2bl w:val="nil"/>
        </w:tcBorders>
        <w:shd w:val="clear" w:color="auto" w:fill="D2EBC9"/>
      </w:tcPr>
    </w:tblStylePr>
    <w:tblStylePr w:type="band1Horz">
      <w:tblPr>
        <w:tblLayout w:type="fixed"/>
      </w:tblPr>
      <w:tcPr>
        <w:tcBorders>
          <w:top w:val="nil"/>
          <w:left w:val="nil"/>
          <w:bottom w:val="nil"/>
          <w:right w:val="nil"/>
          <w:insideH w:val="nil"/>
          <w:insideV w:val="nil"/>
          <w:tl2br w:val="nil"/>
          <w:tr2bl w:val="nil"/>
        </w:tcBorders>
        <w:shd w:val="clear" w:color="auto" w:fill="D2EBC9"/>
      </w:tcPr>
    </w:tblStylePr>
  </w:style>
  <w:style w:type="table" w:styleId="29">
    <w:name w:val="Medium Shading 2 Accent 5"/>
    <w:basedOn w:val="26"/>
    <w:qFormat/>
    <w:uiPriority w:val="64"/>
    <w:rPr>
      <w:sz w:val="22"/>
    </w:rPr>
    <w:tblPr>
      <w:tblBorders>
        <w:top w:val="single" w:color="auto" w:sz="18" w:space="0"/>
        <w:bottom w:val="single" w:color="auto" w:sz="18" w:space="0"/>
      </w:tblBorders>
      <w:tblLayout w:type="fixed"/>
    </w:tblPr>
    <w:tblStylePr w:type="firstRow">
      <w:pPr>
        <w:spacing w:before="0" w:after="0" w:line="240" w:lineRule="auto"/>
      </w:pPr>
      <w:rPr>
        <w:b/>
        <w:bCs/>
        <w:color w:val="FFFFFF"/>
      </w:rPr>
      <w:tblPr>
        <w:tblLayout w:type="fixed"/>
      </w:tblPr>
      <w:tcPr>
        <w:tcBorders>
          <w:top w:val="single" w:color="auto" w:sz="18" w:space="0"/>
          <w:left w:val="nil"/>
          <w:bottom w:val="single" w:color="auto" w:sz="18" w:space="0"/>
          <w:right w:val="nil"/>
          <w:insideH w:val="nil"/>
          <w:insideV w:val="nil"/>
          <w:tl2br w:val="nil"/>
          <w:tr2bl w:val="nil"/>
        </w:tcBorders>
        <w:shd w:val="clear" w:color="auto" w:fill="4AB5C4"/>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blPr>
        <w:tblLayout w:type="fixed"/>
      </w:tblPr>
      <w:tcPr>
        <w:tcBorders>
          <w:top w:val="nil"/>
          <w:left w:val="nil"/>
          <w:bottom w:val="single" w:color="auto" w:sz="18" w:space="0"/>
          <w:right w:val="nil"/>
          <w:insideH w:val="nil"/>
          <w:insideV w:val="nil"/>
          <w:tl2br w:val="nil"/>
          <w:tr2bl w:val="nil"/>
        </w:tcBorders>
        <w:shd w:val="clear" w:color="auto" w:fill="4AB5C4"/>
      </w:tcPr>
    </w:tblStylePr>
    <w:tblStylePr w:type="lastCol">
      <w:rPr>
        <w:b/>
        <w:bCs/>
        <w:color w:val="FFFFFF"/>
      </w:rPr>
      <w:tblPr>
        <w:tblLayout w:type="fixed"/>
      </w:tblPr>
      <w:tcPr>
        <w:tcBorders>
          <w:top w:val="nil"/>
          <w:left w:val="nil"/>
          <w:bottom w:val="nil"/>
          <w:right w:val="nil"/>
          <w:insideH w:val="nil"/>
          <w:insideV w:val="nil"/>
          <w:tl2br w:val="nil"/>
          <w:tr2bl w:val="nil"/>
        </w:tcBorders>
        <w:shd w:val="clear" w:color="auto" w:fill="4AB5C4"/>
      </w:tcPr>
    </w:tblStylePr>
    <w:tblStylePr w:type="band1Vert">
      <w:tblPr>
        <w:tblLayout w:type="fixed"/>
      </w:tblPr>
      <w:tcPr>
        <w:tcBorders>
          <w:top w:val="nil"/>
          <w:left w:val="nil"/>
          <w:bottom w:val="nil"/>
          <w:right w:val="nil"/>
          <w:insideH w:val="nil"/>
          <w:insideV w:val="nil"/>
          <w:tl2br w:val="nil"/>
          <w:tr2bl w:val="nil"/>
        </w:tcBorders>
        <w:shd w:val="clear" w:color="auto" w:fill="D8D8D8"/>
      </w:tcPr>
    </w:tblStylePr>
    <w:tblStylePr w:type="band1Horz">
      <w:tblPr>
        <w:tblLayout w:type="fixed"/>
      </w:tblPr>
      <w:tcPr>
        <w:shd w:val="clear" w:color="auto" w:fill="D8D8D8"/>
      </w:tcPr>
    </w:tblStylePr>
    <w:tblStylePr w:type="neCell">
      <w:tblPr>
        <w:tblLayout w:type="fixed"/>
      </w:tblPr>
      <w:tcPr>
        <w:tcBorders>
          <w:top w:val="single" w:color="auto" w:sz="18" w:space="0"/>
          <w:left w:val="nil"/>
          <w:bottom w:val="single" w:color="auto" w:sz="18" w:space="0"/>
          <w:right w:val="nil"/>
          <w:insideH w:val="nil"/>
          <w:insideV w:val="nil"/>
          <w:tl2br w:val="nil"/>
          <w:tr2bl w:val="nil"/>
        </w:tcBorders>
      </w:tcPr>
    </w:tblStylePr>
    <w:tblStylePr w:type="nwCell">
      <w:rPr>
        <w:color w:val="FFFFFF"/>
      </w:rPr>
      <w:tblPr>
        <w:tblLayout w:type="fixed"/>
      </w:tblPr>
      <w:tcPr>
        <w:tcBorders>
          <w:top w:val="single" w:color="auto" w:sz="18" w:space="0"/>
          <w:left w:val="nil"/>
          <w:bottom w:val="single" w:color="auto" w:sz="18" w:space="0"/>
          <w:right w:val="nil"/>
          <w:insideH w:val="nil"/>
          <w:insideV w:val="nil"/>
          <w:tl2br w:val="nil"/>
          <w:tr2bl w:val="nil"/>
        </w:tcBorders>
      </w:tcPr>
    </w:tblStylePr>
  </w:style>
  <w:style w:type="paragraph" w:customStyle="1" w:styleId="30">
    <w:name w:val="Default"/>
    <w:qFormat/>
    <w:uiPriority w:val="0"/>
    <w:pPr>
      <w:widowControl w:val="0"/>
      <w:autoSpaceDE w:val="0"/>
      <w:autoSpaceDN w:val="0"/>
      <w:adjustRightInd w:val="0"/>
    </w:pPr>
    <w:rPr>
      <w:rFonts w:ascii="FZLanTingKanHei-R-GBK" w:hAnsi="等线" w:eastAsia="FZLanTingKanHei-R-GBK" w:cs="FZLanTingKanHei-R-GBK"/>
      <w:color w:val="000000"/>
      <w:sz w:val="24"/>
      <w:szCs w:val="24"/>
      <w:lang w:val="en-US" w:eastAsia="zh-CN" w:bidi="ar-SA"/>
    </w:rPr>
  </w:style>
  <w:style w:type="paragraph" w:customStyle="1" w:styleId="31">
    <w:name w:val="列出段落1"/>
    <w:basedOn w:val="1"/>
    <w:qFormat/>
    <w:uiPriority w:val="1"/>
    <w:pPr>
      <w:ind w:firstLine="420" w:firstLineChars="200"/>
    </w:pPr>
  </w:style>
  <w:style w:type="paragraph" w:customStyle="1" w:styleId="32">
    <w:name w:val="Decimal Aligned"/>
    <w:basedOn w:val="1"/>
    <w:qFormat/>
    <w:uiPriority w:val="40"/>
    <w:pPr>
      <w:widowControl/>
      <w:tabs>
        <w:tab w:val="decimal" w:pos="360"/>
      </w:tabs>
      <w:spacing w:after="200" w:line="276" w:lineRule="auto"/>
      <w:jc w:val="left"/>
    </w:pPr>
    <w:rPr>
      <w:rFonts w:cs="Times New Roman"/>
      <w:kern w:val="0"/>
      <w:sz w:val="22"/>
    </w:rPr>
  </w:style>
  <w:style w:type="paragraph" w:customStyle="1" w:styleId="33">
    <w:name w:val="Table Paragraph"/>
    <w:basedOn w:val="1"/>
    <w:qFormat/>
    <w:uiPriority w:val="1"/>
    <w:pPr>
      <w:autoSpaceDE w:val="0"/>
      <w:autoSpaceDN w:val="0"/>
      <w:adjustRightInd w:val="0"/>
      <w:spacing w:before="132"/>
      <w:ind w:left="940"/>
      <w:jc w:val="left"/>
    </w:pPr>
    <w:rPr>
      <w:rFonts w:ascii="宋体" w:hAnsi="Times New Roman" w:eastAsia="宋体" w:cs="宋体"/>
      <w:kern w:val="0"/>
      <w:sz w:val="24"/>
      <w:szCs w:val="24"/>
    </w:rPr>
  </w:style>
  <w:style w:type="paragraph" w:customStyle="1" w:styleId="34">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35">
    <w:name w:val="TOC 标题1"/>
    <w:basedOn w:val="3"/>
    <w:next w:val="1"/>
    <w:unhideWhenUsed/>
    <w:qFormat/>
    <w:uiPriority w:val="39"/>
    <w:pPr>
      <w:widowControl/>
      <w:spacing w:before="240" w:after="0" w:line="259" w:lineRule="auto"/>
      <w:jc w:val="left"/>
      <w:outlineLvl w:val="9"/>
    </w:pPr>
    <w:rPr>
      <w:rFonts w:ascii="等线 Light" w:hAnsi="等线 Light" w:eastAsia="等线 Light"/>
      <w:b w:val="0"/>
      <w:bCs w:val="0"/>
      <w:color w:val="3E742A"/>
      <w:kern w:val="0"/>
      <w:sz w:val="32"/>
      <w:szCs w:val="32"/>
    </w:rPr>
  </w:style>
  <w:style w:type="paragraph" w:customStyle="1" w:styleId="36">
    <w:name w:val="样式1"/>
    <w:basedOn w:val="1"/>
    <w:qFormat/>
    <w:uiPriority w:val="0"/>
    <w:pPr>
      <w:spacing w:line="360" w:lineRule="auto"/>
      <w:ind w:firstLine="420" w:firstLineChars="200"/>
    </w:pPr>
    <w:rPr>
      <w:rFonts w:hint="eastAsia" w:ascii="宋体" w:hAnsi="宋体" w:eastAsia="宋体"/>
      <w:color w:val="252525"/>
      <w:sz w:val="24"/>
      <w:szCs w:val="24"/>
    </w:rPr>
  </w:style>
  <w:style w:type="paragraph" w:customStyle="1" w:styleId="37">
    <w:name w:val="无间隔1"/>
    <w:link w:val="51"/>
    <w:qFormat/>
    <w:uiPriority w:val="1"/>
    <w:rPr>
      <w:rFonts w:ascii="等线" w:hAnsi="等线" w:eastAsia="等线" w:cs="黑体"/>
      <w:sz w:val="22"/>
      <w:szCs w:val="22"/>
      <w:lang w:val="en-US" w:eastAsia="zh-CN" w:bidi="ar-SA"/>
    </w:rPr>
  </w:style>
  <w:style w:type="paragraph" w:customStyle="1" w:styleId="38">
    <w:name w:val="列表段落1"/>
    <w:basedOn w:val="1"/>
    <w:qFormat/>
    <w:uiPriority w:val="1"/>
    <w:pPr>
      <w:ind w:firstLine="420" w:firstLineChars="200"/>
    </w:pPr>
  </w:style>
  <w:style w:type="character" w:customStyle="1" w:styleId="39">
    <w:name w:val="脚注文本 字符"/>
    <w:link w:val="18"/>
    <w:qFormat/>
    <w:uiPriority w:val="99"/>
    <w:rPr>
      <w:rFonts w:cs="Times New Roman"/>
      <w:kern w:val="0"/>
      <w:sz w:val="20"/>
      <w:szCs w:val="20"/>
    </w:rPr>
  </w:style>
  <w:style w:type="character" w:customStyle="1" w:styleId="40">
    <w:name w:val="不明显强调1"/>
    <w:qFormat/>
    <w:uiPriority w:val="19"/>
    <w:rPr>
      <w:i/>
      <w:iCs/>
    </w:rPr>
  </w:style>
  <w:style w:type="character" w:customStyle="1" w:styleId="41">
    <w:name w:val="尾注文本 字符"/>
    <w:basedOn w:val="21"/>
    <w:link w:val="12"/>
    <w:semiHidden/>
    <w:qFormat/>
    <w:uiPriority w:val="99"/>
  </w:style>
  <w:style w:type="character" w:customStyle="1" w:styleId="42">
    <w:name w:val="批注文字 字符"/>
    <w:basedOn w:val="21"/>
    <w:link w:val="8"/>
    <w:qFormat/>
    <w:uiPriority w:val="99"/>
  </w:style>
  <w:style w:type="character" w:customStyle="1" w:styleId="43">
    <w:name w:val="批注主题 字符"/>
    <w:link w:val="7"/>
    <w:semiHidden/>
    <w:qFormat/>
    <w:uiPriority w:val="99"/>
    <w:rPr>
      <w:b/>
      <w:bCs/>
    </w:rPr>
  </w:style>
  <w:style w:type="character" w:customStyle="1" w:styleId="44">
    <w:name w:val="正文文本缩进 字符"/>
    <w:basedOn w:val="21"/>
    <w:link w:val="10"/>
    <w:semiHidden/>
    <w:qFormat/>
    <w:uiPriority w:val="99"/>
  </w:style>
  <w:style w:type="character" w:customStyle="1" w:styleId="45">
    <w:name w:val="正文文本首行缩进 2 字符"/>
    <w:link w:val="15"/>
    <w:qFormat/>
    <w:uiPriority w:val="99"/>
    <w:rPr>
      <w:rFonts w:ascii="Calibri" w:hAnsi="Calibri" w:eastAsia="宋体" w:cs="黑体"/>
      <w:szCs w:val="24"/>
    </w:rPr>
  </w:style>
  <w:style w:type="character" w:customStyle="1" w:styleId="46">
    <w:name w:val="标题 1 字符"/>
    <w:link w:val="3"/>
    <w:qFormat/>
    <w:uiPriority w:val="9"/>
    <w:rPr>
      <w:b/>
      <w:bCs/>
      <w:kern w:val="44"/>
      <w:sz w:val="44"/>
      <w:szCs w:val="44"/>
    </w:rPr>
  </w:style>
  <w:style w:type="character" w:customStyle="1" w:styleId="47">
    <w:name w:val="正文文本 字符"/>
    <w:basedOn w:val="21"/>
    <w:link w:val="9"/>
    <w:semiHidden/>
    <w:qFormat/>
    <w:uiPriority w:val="99"/>
  </w:style>
  <w:style w:type="character" w:customStyle="1" w:styleId="48">
    <w:name w:val="页眉 字符"/>
    <w:link w:val="16"/>
    <w:qFormat/>
    <w:uiPriority w:val="99"/>
    <w:rPr>
      <w:sz w:val="18"/>
      <w:szCs w:val="18"/>
    </w:rPr>
  </w:style>
  <w:style w:type="character" w:customStyle="1" w:styleId="49">
    <w:name w:val="页脚 字符"/>
    <w:link w:val="14"/>
    <w:qFormat/>
    <w:uiPriority w:val="99"/>
    <w:rPr>
      <w:sz w:val="18"/>
      <w:szCs w:val="18"/>
    </w:rPr>
  </w:style>
  <w:style w:type="character" w:customStyle="1" w:styleId="50">
    <w:name w:val="批注框文本 字符"/>
    <w:link w:val="13"/>
    <w:semiHidden/>
    <w:qFormat/>
    <w:uiPriority w:val="99"/>
    <w:rPr>
      <w:rFonts w:ascii="等线" w:hAnsi="等线" w:eastAsia="等线" w:cs="黑体"/>
      <w:kern w:val="2"/>
      <w:sz w:val="18"/>
      <w:szCs w:val="18"/>
    </w:rPr>
  </w:style>
  <w:style w:type="character" w:customStyle="1" w:styleId="51">
    <w:name w:val="无间隔 字符"/>
    <w:link w:val="37"/>
    <w:qFormat/>
    <w:uiPriority w:val="1"/>
    <w:rPr>
      <w:rFonts w:ascii="等线" w:hAnsi="等线" w:eastAsia="等线" w:cs="黑体"/>
      <w:sz w:val="22"/>
      <w:szCs w:val="22"/>
    </w:rPr>
  </w:style>
  <w:style w:type="table" w:customStyle="1" w:styleId="52">
    <w:name w:val="网格表 4 - 着色 11"/>
    <w:basedOn w:val="26"/>
    <w:qFormat/>
    <w:uiPriority w:val="49"/>
    <w:tblPr>
      <w:tblBorders>
        <w:top w:val="single" w:color="93D07C" w:sz="4" w:space="0"/>
        <w:left w:val="single" w:color="93D07C" w:sz="4" w:space="0"/>
        <w:bottom w:val="single" w:color="93D07C" w:sz="4" w:space="0"/>
        <w:right w:val="single" w:color="93D07C" w:sz="4" w:space="0"/>
        <w:insideH w:val="single" w:color="93D07C" w:sz="4" w:space="0"/>
        <w:insideV w:val="single" w:color="93D07C" w:sz="4" w:space="0"/>
      </w:tblBorders>
      <w:tblLayout w:type="fixed"/>
    </w:tblPr>
    <w:tblStylePr w:type="firstRow">
      <w:rPr>
        <w:b/>
        <w:bCs/>
        <w:color w:val="FFFFFF"/>
      </w:rPr>
      <w:tcPr>
        <w:tcBorders>
          <w:top w:val="single" w:color="549E39" w:sz="4" w:space="0"/>
          <w:left w:val="single" w:color="549E39" w:sz="4" w:space="0"/>
          <w:bottom w:val="single" w:color="549E39" w:sz="4" w:space="0"/>
          <w:right w:val="single" w:color="549E39" w:sz="4" w:space="0"/>
          <w:insideH w:val="nil"/>
          <w:insideV w:val="nil"/>
          <w:tl2br w:val="nil"/>
          <w:tr2bl w:val="nil"/>
        </w:tcBorders>
        <w:shd w:val="clear" w:color="auto" w:fill="549E39"/>
      </w:tcPr>
    </w:tblStylePr>
    <w:tblStylePr w:type="lastRow">
      <w:rPr>
        <w:b/>
        <w:bCs/>
      </w:rPr>
      <w:tcPr>
        <w:tcBorders>
          <w:top w:val="double" w:color="549E39"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AEFD3"/>
      </w:tcPr>
    </w:tblStylePr>
    <w:tblStylePr w:type="band1Horz">
      <w:tcPr>
        <w:shd w:val="clear" w:color="auto" w:fill="DAEFD3"/>
      </w:tcPr>
    </w:tblStylePr>
  </w:style>
  <w:style w:type="table" w:customStyle="1" w:styleId="53">
    <w:name w:val="网格表 5 深色 - 着色 51"/>
    <w:basedOn w:val="26"/>
    <w:qFormat/>
    <w:uiPriority w:val="50"/>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Pr>
    <w:tcPr>
      <w:shd w:val="clear" w:color="auto" w:fill="DAF0F3"/>
    </w:tcPr>
    <w:tblStylePr w:type="firstRow">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AB5C4"/>
      </w:tcPr>
    </w:tblStylePr>
    <w:tblStylePr w:type="lastRow">
      <w:rPr>
        <w:b/>
        <w:bCs/>
        <w:color w:val="FFFFFF"/>
      </w:rPr>
      <w:tcPr>
        <w:tcBorders>
          <w:top w:val="nil"/>
          <w:left w:val="single" w:color="FFFFFF" w:sz="4" w:space="0"/>
          <w:bottom w:val="single" w:color="FFFFFF" w:sz="4" w:space="0"/>
          <w:right w:val="single" w:color="FFFFFF" w:sz="4" w:space="0"/>
          <w:insideH w:val="nil"/>
          <w:insideV w:val="nil"/>
          <w:tl2br w:val="nil"/>
          <w:tr2bl w:val="nil"/>
        </w:tcBorders>
        <w:shd w:val="clear" w:color="auto" w:fill="4AB5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AB5C4"/>
      </w:tcPr>
    </w:tblStylePr>
    <w:tblStylePr w:type="lastCol">
      <w:rPr>
        <w:b/>
        <w:bCs/>
        <w:color w:val="FFFFFF"/>
      </w:rPr>
      <w:tcPr>
        <w:tcBorders>
          <w:top w:val="single" w:color="FFFFFF" w:sz="4" w:space="0"/>
          <w:left w:val="nil"/>
          <w:bottom w:val="single" w:color="FFFFFF" w:sz="4" w:space="0"/>
          <w:right w:val="single" w:color="FFFFFF" w:sz="4" w:space="0"/>
          <w:insideH w:val="nil"/>
          <w:insideV w:val="nil"/>
          <w:tl2br w:val="nil"/>
          <w:tr2bl w:val="nil"/>
        </w:tcBorders>
        <w:shd w:val="clear" w:color="auto" w:fill="4AB5C4"/>
      </w:tcPr>
    </w:tblStylePr>
    <w:tblStylePr w:type="band1Vert">
      <w:tcPr>
        <w:shd w:val="clear" w:color="auto" w:fill="B6E1E7"/>
      </w:tcPr>
    </w:tblStylePr>
    <w:tblStylePr w:type="band1Horz">
      <w:tcPr>
        <w:shd w:val="clear" w:color="auto" w:fill="B6E1E7"/>
      </w:tcPr>
    </w:tblStylePr>
  </w:style>
  <w:style w:type="table" w:customStyle="1" w:styleId="54">
    <w:name w:val="网格表 4 - 着色 51"/>
    <w:basedOn w:val="26"/>
    <w:qFormat/>
    <w:uiPriority w:val="49"/>
    <w:tblPr>
      <w:tblBorders>
        <w:top w:val="single" w:color="92D2DB" w:sz="4" w:space="0"/>
        <w:left w:val="single" w:color="92D2DB" w:sz="4" w:space="0"/>
        <w:bottom w:val="single" w:color="92D2DB" w:sz="4" w:space="0"/>
        <w:right w:val="single" w:color="92D2DB" w:sz="4" w:space="0"/>
        <w:insideH w:val="single" w:color="92D2DB" w:sz="4" w:space="0"/>
        <w:insideV w:val="single" w:color="92D2DB" w:sz="4" w:space="0"/>
      </w:tblBorders>
      <w:tblLayout w:type="fixed"/>
    </w:tblPr>
    <w:tblStylePr w:type="firstRow">
      <w:rPr>
        <w:b/>
        <w:bCs/>
        <w:color w:val="FFFFFF"/>
      </w:rPr>
      <w:tcPr>
        <w:tcBorders>
          <w:top w:val="single" w:color="4AB5C4" w:sz="4" w:space="0"/>
          <w:left w:val="single" w:color="4AB5C4" w:sz="4" w:space="0"/>
          <w:bottom w:val="single" w:color="4AB5C4" w:sz="4" w:space="0"/>
          <w:right w:val="single" w:color="4AB5C4" w:sz="4" w:space="0"/>
          <w:insideH w:val="nil"/>
          <w:insideV w:val="nil"/>
          <w:tl2br w:val="nil"/>
          <w:tr2bl w:val="nil"/>
        </w:tcBorders>
        <w:shd w:val="clear" w:color="auto" w:fill="4AB5C4"/>
      </w:tcPr>
    </w:tblStylePr>
    <w:tblStylePr w:type="lastRow">
      <w:rPr>
        <w:b/>
        <w:bCs/>
      </w:rPr>
      <w:tcPr>
        <w:tcBorders>
          <w:top w:val="double" w:color="4AB5C4"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AF0F3"/>
      </w:tcPr>
    </w:tblStylePr>
    <w:tblStylePr w:type="band1Horz">
      <w:tcPr>
        <w:shd w:val="clear" w:color="auto" w:fill="DAF0F3"/>
      </w:tcPr>
    </w:tblStylePr>
  </w:style>
  <w:style w:type="table" w:customStyle="1" w:styleId="55">
    <w:name w:val="中等深浅底纹 2 - 着色 51"/>
    <w:basedOn w:val="26"/>
    <w:qFormat/>
    <w:uiPriority w:val="64"/>
    <w:rPr>
      <w:rFonts w:ascii="等线" w:hAnsi="等线" w:eastAsia="等线"/>
      <w:sz w:val="22"/>
      <w:szCs w:val="22"/>
    </w:rPr>
    <w:tblPr>
      <w:tblBorders>
        <w:top w:val="single" w:color="auto" w:sz="18" w:space="0"/>
        <w:bottom w:val="single" w:color="auto" w:sz="18" w:space="0"/>
      </w:tblBorders>
      <w:tblLayout w:type="fixed"/>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AB5C4"/>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AB5C4"/>
      </w:tcPr>
    </w:tblStylePr>
    <w:tblStylePr w:type="lastCol">
      <w:rPr>
        <w:b/>
        <w:bCs/>
        <w:color w:val="FFFFFF"/>
      </w:rPr>
      <w:tcPr>
        <w:tcBorders>
          <w:top w:val="nil"/>
          <w:left w:val="nil"/>
          <w:bottom w:val="nil"/>
          <w:right w:val="nil"/>
          <w:insideH w:val="nil"/>
          <w:insideV w:val="nil"/>
          <w:tl2br w:val="nil"/>
          <w:tr2bl w:val="nil"/>
        </w:tcBorders>
        <w:shd w:val="clear" w:color="auto" w:fill="4AB5C4"/>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56">
    <w:name w:val="中等深浅底纹 2 - 着色 52"/>
    <w:basedOn w:val="26"/>
    <w:qFormat/>
    <w:uiPriority w:val="64"/>
    <w:rPr>
      <w:rFonts w:ascii="等线" w:hAnsi="等线" w:eastAsia="等线"/>
      <w:sz w:val="22"/>
      <w:szCs w:val="22"/>
    </w:rPr>
    <w:tblPr>
      <w:tblBorders>
        <w:top w:val="single" w:color="auto" w:sz="18" w:space="0"/>
        <w:bottom w:val="single" w:color="auto" w:sz="18" w:space="0"/>
      </w:tblBorders>
      <w:tblLayout w:type="fixed"/>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AB5C4"/>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AB5C4"/>
      </w:tcPr>
    </w:tblStylePr>
    <w:tblStylePr w:type="lastCol">
      <w:rPr>
        <w:b/>
        <w:bCs/>
        <w:color w:val="FFFFFF"/>
      </w:rPr>
      <w:tcPr>
        <w:tcBorders>
          <w:top w:val="nil"/>
          <w:left w:val="nil"/>
          <w:bottom w:val="nil"/>
          <w:right w:val="nil"/>
          <w:insideH w:val="nil"/>
          <w:insideV w:val="nil"/>
          <w:tl2br w:val="nil"/>
          <w:tr2bl w:val="nil"/>
        </w:tcBorders>
        <w:shd w:val="clear" w:color="auto" w:fill="4AB5C4"/>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57">
    <w:name w:val="网格表 4 - 着色 31"/>
    <w:basedOn w:val="26"/>
    <w:qFormat/>
    <w:uiPriority w:val="49"/>
    <w:tblPr>
      <w:tblBorders>
        <w:top w:val="single" w:color="D9E288" w:sz="4" w:space="0"/>
        <w:left w:val="single" w:color="D9E288" w:sz="4" w:space="0"/>
        <w:bottom w:val="single" w:color="D9E288" w:sz="4" w:space="0"/>
        <w:right w:val="single" w:color="D9E288" w:sz="4" w:space="0"/>
        <w:insideH w:val="single" w:color="D9E288" w:sz="4" w:space="0"/>
        <w:insideV w:val="single" w:color="D9E288" w:sz="4" w:space="0"/>
      </w:tblBorders>
      <w:tblLayout w:type="fixed"/>
    </w:tblPr>
    <w:tblStylePr w:type="firstRow">
      <w:rPr>
        <w:b/>
        <w:bCs/>
        <w:color w:val="FFFFFF"/>
      </w:rPr>
      <w:tcPr>
        <w:tcBorders>
          <w:top w:val="single" w:color="C0CF3A" w:sz="4" w:space="0"/>
          <w:left w:val="single" w:color="C0CF3A" w:sz="4" w:space="0"/>
          <w:bottom w:val="single" w:color="C0CF3A" w:sz="4" w:space="0"/>
          <w:right w:val="single" w:color="C0CF3A" w:sz="4" w:space="0"/>
          <w:insideH w:val="nil"/>
          <w:insideV w:val="nil"/>
          <w:tl2br w:val="nil"/>
          <w:tr2bl w:val="nil"/>
        </w:tcBorders>
        <w:shd w:val="clear" w:color="auto" w:fill="C0CF3A"/>
      </w:tcPr>
    </w:tblStylePr>
    <w:tblStylePr w:type="lastRow">
      <w:rPr>
        <w:b/>
        <w:bCs/>
      </w:rPr>
      <w:tcPr>
        <w:tcBorders>
          <w:top w:val="double" w:color="C0CF3A"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2F5D7"/>
      </w:tcPr>
    </w:tblStylePr>
    <w:tblStylePr w:type="band1Horz">
      <w:tcPr>
        <w:shd w:val="clear" w:color="auto" w:fill="F2F5D7"/>
      </w:tcPr>
    </w:tblStylePr>
  </w:style>
  <w:style w:type="table" w:customStyle="1" w:styleId="58">
    <w:name w:val="网格表 5 深色 - 着色 52"/>
    <w:basedOn w:val="26"/>
    <w:qFormat/>
    <w:uiPriority w:val="50"/>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Pr>
    <w:tcPr>
      <w:shd w:val="clear" w:color="auto" w:fill="DAF0F3"/>
    </w:tcPr>
    <w:tblStylePr w:type="firstRow">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AB5C4"/>
      </w:tcPr>
    </w:tblStylePr>
    <w:tblStylePr w:type="lastRow">
      <w:rPr>
        <w:b/>
        <w:bCs/>
        <w:color w:val="FFFFFF"/>
      </w:rPr>
      <w:tcPr>
        <w:tcBorders>
          <w:top w:val="nil"/>
          <w:left w:val="single" w:color="FFFFFF" w:sz="4" w:space="0"/>
          <w:bottom w:val="single" w:color="FFFFFF" w:sz="4" w:space="0"/>
          <w:right w:val="single" w:color="FFFFFF" w:sz="4" w:space="0"/>
          <w:insideH w:val="nil"/>
          <w:insideV w:val="nil"/>
          <w:tl2br w:val="nil"/>
          <w:tr2bl w:val="nil"/>
        </w:tcBorders>
        <w:shd w:val="clear" w:color="auto" w:fill="4AB5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AB5C4"/>
      </w:tcPr>
    </w:tblStylePr>
    <w:tblStylePr w:type="lastCol">
      <w:rPr>
        <w:b/>
        <w:bCs/>
        <w:color w:val="FFFFFF"/>
      </w:rPr>
      <w:tcPr>
        <w:tcBorders>
          <w:top w:val="single" w:color="FFFFFF" w:sz="4" w:space="0"/>
          <w:left w:val="nil"/>
          <w:bottom w:val="single" w:color="FFFFFF" w:sz="4" w:space="0"/>
          <w:right w:val="single" w:color="FFFFFF" w:sz="4" w:space="0"/>
          <w:insideH w:val="nil"/>
          <w:insideV w:val="nil"/>
          <w:tl2br w:val="nil"/>
          <w:tr2bl w:val="nil"/>
        </w:tcBorders>
        <w:shd w:val="clear" w:color="auto" w:fill="4AB5C4"/>
      </w:tcPr>
    </w:tblStylePr>
    <w:tblStylePr w:type="band1Vert">
      <w:tcPr>
        <w:shd w:val="clear" w:color="auto" w:fill="B6E1E7"/>
      </w:tcPr>
    </w:tblStylePr>
    <w:tblStylePr w:type="band1Horz">
      <w:tcPr>
        <w:shd w:val="clear" w:color="auto" w:fill="B6E1E7"/>
      </w:tcPr>
    </w:tblStylePr>
  </w:style>
  <w:style w:type="paragraph" w:customStyle="1" w:styleId="59">
    <w:name w:val="Revision"/>
    <w:hidden/>
    <w:unhideWhenUsed/>
    <w:qFormat/>
    <w:uiPriority w:val="99"/>
    <w:rPr>
      <w:rFonts w:ascii="等线" w:hAnsi="等线" w:eastAsia="等线" w:cs="黑体"/>
      <w:kern w:val="2"/>
      <w:sz w:val="21"/>
      <w:szCs w:val="22"/>
      <w:lang w:val="en-US" w:eastAsia="zh-CN" w:bidi="ar-SA"/>
    </w:rPr>
  </w:style>
  <w:style w:type="paragraph" w:styleId="60">
    <w:name w:val="List Paragraph"/>
    <w:basedOn w:val="1"/>
    <w:unhideWhenUsed/>
    <w:qFormat/>
    <w:uiPriority w:val="99"/>
    <w:pPr>
      <w:ind w:firstLine="420" w:firstLineChars="200"/>
    </w:pPr>
  </w:style>
  <w:style w:type="character" w:customStyle="1" w:styleId="61">
    <w:name w:val="标题 3 字符"/>
    <w:basedOn w:val="21"/>
    <w:link w:val="5"/>
    <w:semiHidden/>
    <w:qFormat/>
    <w:uiPriority w:val="9"/>
    <w:rPr>
      <w:rFonts w:ascii="等线" w:hAnsi="等线" w:eastAsia="等线" w:cs="黑体"/>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71DFC3-FD22-405E-9040-8DF74F02733D}">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14107</Words>
  <Characters>15315</Characters>
  <Lines>123</Lines>
  <Paragraphs>34</Paragraphs>
  <TotalTime>8</TotalTime>
  <ScaleCrop>false</ScaleCrop>
  <LinksUpToDate>false</LinksUpToDate>
  <CharactersWithSpaces>15486</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2024-06-26T08:28:00Z</dcterms:created>
  <dc:creator>2021年11月</dc:creator>
  <cp:lastModifiedBy>罗幼强</cp:lastModifiedBy>
  <cp:lastPrinted>2023-10-30T05:30:00Z</cp:lastPrinted>
  <dcterms:modified xsi:type="dcterms:W3CDTF">2024-10-17T02:49:30Z</dcterms:modified>
  <dc:title>四川长虹集团财务有限公司</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87FFEB807433438192D4094DA372E81D_13</vt:lpwstr>
  </property>
</Properties>
</file>